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809B" w14:textId="77777777" w:rsidR="00D42A36" w:rsidRPr="00FA0C92" w:rsidRDefault="00D42A36" w:rsidP="00D42A36">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S2 Table. Signature Coefficients.</w:t>
      </w:r>
      <w:r w:rsidRPr="009F3506">
        <w:rPr>
          <w:rFonts w:ascii="Times New Roman" w:hAnsi="Times New Roman" w:cs="Times New Roman"/>
          <w:sz w:val="24"/>
          <w:szCs w:val="24"/>
        </w:rPr>
        <w:t xml:space="preserve"> Coefficients for the signature peptides are given.  Caution should be exercised in interpreting these coefficients: 1. Lower coefficient does not imply less importance because the scales of the intensity values are different between the peptides, and 2. These values should not be applied directly in practice unless the same exact assay platform is used.</w:t>
      </w:r>
    </w:p>
    <w:tbl>
      <w:tblPr>
        <w:tblStyle w:val="TableGrid"/>
        <w:tblW w:w="0" w:type="auto"/>
        <w:tblLook w:val="04A0" w:firstRow="1" w:lastRow="0" w:firstColumn="1" w:lastColumn="0" w:noHBand="0" w:noVBand="1"/>
      </w:tblPr>
      <w:tblGrid>
        <w:gridCol w:w="4788"/>
        <w:gridCol w:w="4788"/>
      </w:tblGrid>
      <w:tr w:rsidR="00E45760" w14:paraId="5D8F18FB" w14:textId="77777777" w:rsidTr="00E45760">
        <w:trPr>
          <w:trHeight w:val="315"/>
        </w:trPr>
        <w:tc>
          <w:tcPr>
            <w:tcW w:w="4788" w:type="dxa"/>
            <w:shd w:val="clear" w:color="auto" w:fill="EEECE1" w:themeFill="background2"/>
            <w:noWrap/>
            <w:hideMark/>
          </w:tcPr>
          <w:p w14:paraId="6DBC8383" w14:textId="77777777" w:rsidR="00E45760" w:rsidRDefault="00E45760">
            <w:pPr>
              <w:jc w:val="center"/>
              <w:rPr>
                <w:rFonts w:ascii="Calibri" w:hAnsi="Calibri"/>
                <w:b/>
                <w:bCs/>
                <w:color w:val="000000"/>
              </w:rPr>
            </w:pPr>
            <w:r>
              <w:rPr>
                <w:b/>
                <w:bCs/>
                <w:color w:val="000000"/>
              </w:rPr>
              <w:t>Signature peptides</w:t>
            </w:r>
          </w:p>
        </w:tc>
        <w:tc>
          <w:tcPr>
            <w:tcW w:w="4788" w:type="dxa"/>
            <w:shd w:val="clear" w:color="auto" w:fill="EEECE1" w:themeFill="background2"/>
            <w:noWrap/>
            <w:hideMark/>
          </w:tcPr>
          <w:p w14:paraId="740E242F" w14:textId="77777777" w:rsidR="00E45760" w:rsidRDefault="00E45760">
            <w:pPr>
              <w:jc w:val="center"/>
              <w:rPr>
                <w:rFonts w:ascii="Calibri" w:hAnsi="Calibri"/>
                <w:b/>
                <w:bCs/>
                <w:color w:val="000000"/>
              </w:rPr>
            </w:pPr>
            <w:r>
              <w:rPr>
                <w:b/>
                <w:bCs/>
                <w:color w:val="000000"/>
              </w:rPr>
              <w:t>Coefficient</w:t>
            </w:r>
          </w:p>
        </w:tc>
      </w:tr>
      <w:tr w:rsidR="00E45760" w14:paraId="6F2968D8" w14:textId="77777777" w:rsidTr="00E45760">
        <w:trPr>
          <w:trHeight w:val="300"/>
        </w:trPr>
        <w:tc>
          <w:tcPr>
            <w:tcW w:w="4788" w:type="dxa"/>
            <w:hideMark/>
          </w:tcPr>
          <w:p w14:paraId="55BE4367" w14:textId="77777777" w:rsidR="00E45760" w:rsidRDefault="00E45760">
            <w:pPr>
              <w:jc w:val="center"/>
              <w:rPr>
                <w:rFonts w:ascii="Calibri" w:hAnsi="Calibri"/>
                <w:color w:val="000000"/>
              </w:rPr>
            </w:pPr>
            <w:r>
              <w:rPr>
                <w:color w:val="000000"/>
              </w:rPr>
              <w:t>FABPH.SIVTLDGGK</w:t>
            </w:r>
          </w:p>
        </w:tc>
        <w:tc>
          <w:tcPr>
            <w:tcW w:w="4788" w:type="dxa"/>
            <w:noWrap/>
            <w:hideMark/>
          </w:tcPr>
          <w:p w14:paraId="7F2CA7AC" w14:textId="77777777" w:rsidR="00E45760" w:rsidRDefault="00E45760">
            <w:pPr>
              <w:jc w:val="center"/>
              <w:rPr>
                <w:rFonts w:ascii="Calibri" w:hAnsi="Calibri"/>
                <w:color w:val="000000"/>
              </w:rPr>
            </w:pPr>
            <w:r>
              <w:rPr>
                <w:color w:val="000000"/>
              </w:rPr>
              <w:t>2.2</w:t>
            </w:r>
          </w:p>
        </w:tc>
      </w:tr>
      <w:tr w:rsidR="00E45760" w14:paraId="3FFA45DF" w14:textId="77777777" w:rsidTr="00E45760">
        <w:trPr>
          <w:trHeight w:val="300"/>
        </w:trPr>
        <w:tc>
          <w:tcPr>
            <w:tcW w:w="4788" w:type="dxa"/>
            <w:hideMark/>
          </w:tcPr>
          <w:p w14:paraId="22A80DF2" w14:textId="77777777" w:rsidR="00E45760" w:rsidRDefault="00E45760">
            <w:pPr>
              <w:jc w:val="center"/>
              <w:rPr>
                <w:rFonts w:ascii="Calibri" w:hAnsi="Calibri"/>
                <w:color w:val="000000"/>
              </w:rPr>
            </w:pPr>
            <w:r>
              <w:rPr>
                <w:color w:val="000000"/>
              </w:rPr>
              <w:t>FABPH.SLGVGFATR</w:t>
            </w:r>
          </w:p>
        </w:tc>
        <w:tc>
          <w:tcPr>
            <w:tcW w:w="4788" w:type="dxa"/>
            <w:noWrap/>
            <w:hideMark/>
          </w:tcPr>
          <w:p w14:paraId="242BD0E9" w14:textId="77777777" w:rsidR="00E45760" w:rsidRDefault="00E45760">
            <w:pPr>
              <w:jc w:val="center"/>
              <w:rPr>
                <w:rFonts w:ascii="Calibri" w:hAnsi="Calibri"/>
                <w:color w:val="000000"/>
              </w:rPr>
            </w:pPr>
            <w:r>
              <w:rPr>
                <w:color w:val="000000"/>
              </w:rPr>
              <w:t>1.9</w:t>
            </w:r>
          </w:p>
        </w:tc>
      </w:tr>
      <w:tr w:rsidR="00E45760" w14:paraId="1724AAA3" w14:textId="77777777" w:rsidTr="00E45760">
        <w:trPr>
          <w:trHeight w:val="300"/>
        </w:trPr>
        <w:tc>
          <w:tcPr>
            <w:tcW w:w="4788" w:type="dxa"/>
            <w:hideMark/>
          </w:tcPr>
          <w:p w14:paraId="7F5763EF" w14:textId="77777777" w:rsidR="00E45760" w:rsidRDefault="00E45760">
            <w:pPr>
              <w:jc w:val="center"/>
              <w:rPr>
                <w:rFonts w:ascii="Calibri" w:hAnsi="Calibri"/>
                <w:color w:val="000000"/>
              </w:rPr>
            </w:pPr>
            <w:r>
              <w:rPr>
                <w:color w:val="000000"/>
              </w:rPr>
              <w:t>NPTXR.ELDVLQGR</w:t>
            </w:r>
          </w:p>
        </w:tc>
        <w:tc>
          <w:tcPr>
            <w:tcW w:w="4788" w:type="dxa"/>
            <w:noWrap/>
            <w:hideMark/>
          </w:tcPr>
          <w:p w14:paraId="56A1C58E" w14:textId="77777777" w:rsidR="00E45760" w:rsidRDefault="00E45760">
            <w:pPr>
              <w:jc w:val="center"/>
              <w:rPr>
                <w:rFonts w:ascii="Calibri" w:hAnsi="Calibri"/>
                <w:color w:val="000000"/>
              </w:rPr>
            </w:pPr>
            <w:r>
              <w:rPr>
                <w:color w:val="000000"/>
              </w:rPr>
              <w:t>-1.7</w:t>
            </w:r>
          </w:p>
        </w:tc>
      </w:tr>
      <w:tr w:rsidR="00E45760" w14:paraId="4A204AB7" w14:textId="77777777" w:rsidTr="00E45760">
        <w:trPr>
          <w:trHeight w:val="300"/>
        </w:trPr>
        <w:tc>
          <w:tcPr>
            <w:tcW w:w="4788" w:type="dxa"/>
            <w:hideMark/>
          </w:tcPr>
          <w:p w14:paraId="74B2DEB7" w14:textId="77777777" w:rsidR="00E45760" w:rsidRDefault="00E45760">
            <w:pPr>
              <w:jc w:val="center"/>
              <w:rPr>
                <w:rFonts w:ascii="Calibri" w:hAnsi="Calibri"/>
                <w:color w:val="000000"/>
              </w:rPr>
            </w:pPr>
            <w:r>
              <w:rPr>
                <w:color w:val="000000"/>
              </w:rPr>
              <w:t>TTHY.TSESGELHGLTTEEEFVEGIYK</w:t>
            </w:r>
          </w:p>
        </w:tc>
        <w:tc>
          <w:tcPr>
            <w:tcW w:w="4788" w:type="dxa"/>
            <w:noWrap/>
            <w:hideMark/>
          </w:tcPr>
          <w:p w14:paraId="0D1718D5" w14:textId="77777777" w:rsidR="00E45760" w:rsidRDefault="00E45760">
            <w:pPr>
              <w:jc w:val="center"/>
              <w:rPr>
                <w:rFonts w:ascii="Calibri" w:hAnsi="Calibri"/>
                <w:color w:val="000000"/>
              </w:rPr>
            </w:pPr>
            <w:r>
              <w:rPr>
                <w:color w:val="000000"/>
              </w:rPr>
              <w:t>1.6</w:t>
            </w:r>
          </w:p>
        </w:tc>
      </w:tr>
      <w:tr w:rsidR="00E45760" w14:paraId="50E04507" w14:textId="77777777" w:rsidTr="00E45760">
        <w:trPr>
          <w:trHeight w:val="300"/>
        </w:trPr>
        <w:tc>
          <w:tcPr>
            <w:tcW w:w="4788" w:type="dxa"/>
            <w:hideMark/>
          </w:tcPr>
          <w:p w14:paraId="53DF362E" w14:textId="77777777" w:rsidR="00E45760" w:rsidRDefault="00E45760">
            <w:pPr>
              <w:jc w:val="center"/>
              <w:rPr>
                <w:rFonts w:ascii="Calibri" w:hAnsi="Calibri"/>
                <w:color w:val="000000"/>
              </w:rPr>
            </w:pPr>
            <w:r>
              <w:rPr>
                <w:color w:val="000000"/>
              </w:rPr>
              <w:t>ALDOA.ALQASALK</w:t>
            </w:r>
          </w:p>
        </w:tc>
        <w:tc>
          <w:tcPr>
            <w:tcW w:w="4788" w:type="dxa"/>
            <w:noWrap/>
            <w:hideMark/>
          </w:tcPr>
          <w:p w14:paraId="352E6B89" w14:textId="77777777" w:rsidR="00E45760" w:rsidRDefault="00E45760">
            <w:pPr>
              <w:jc w:val="center"/>
              <w:rPr>
                <w:rFonts w:ascii="Calibri" w:hAnsi="Calibri"/>
                <w:color w:val="000000"/>
              </w:rPr>
            </w:pPr>
            <w:r>
              <w:rPr>
                <w:color w:val="000000"/>
              </w:rPr>
              <w:t>1.4</w:t>
            </w:r>
          </w:p>
        </w:tc>
      </w:tr>
      <w:tr w:rsidR="00E45760" w14:paraId="7032DA9C" w14:textId="77777777" w:rsidTr="00E45760">
        <w:trPr>
          <w:trHeight w:val="300"/>
        </w:trPr>
        <w:tc>
          <w:tcPr>
            <w:tcW w:w="4788" w:type="dxa"/>
            <w:hideMark/>
          </w:tcPr>
          <w:p w14:paraId="46C50AB7" w14:textId="77777777" w:rsidR="00E45760" w:rsidRDefault="00E45760">
            <w:pPr>
              <w:jc w:val="center"/>
              <w:rPr>
                <w:rFonts w:ascii="Calibri" w:hAnsi="Calibri"/>
                <w:color w:val="000000"/>
              </w:rPr>
            </w:pPr>
            <w:r>
              <w:rPr>
                <w:color w:val="000000"/>
              </w:rPr>
              <w:t>DAG1.GVHYISVSATR</w:t>
            </w:r>
          </w:p>
        </w:tc>
        <w:tc>
          <w:tcPr>
            <w:tcW w:w="4788" w:type="dxa"/>
            <w:noWrap/>
            <w:hideMark/>
          </w:tcPr>
          <w:p w14:paraId="1038DAE9" w14:textId="77777777" w:rsidR="00E45760" w:rsidRDefault="00E45760">
            <w:pPr>
              <w:jc w:val="center"/>
              <w:rPr>
                <w:rFonts w:ascii="Calibri" w:hAnsi="Calibri"/>
                <w:color w:val="000000"/>
              </w:rPr>
            </w:pPr>
            <w:r>
              <w:rPr>
                <w:color w:val="000000"/>
              </w:rPr>
              <w:t>-1.3</w:t>
            </w:r>
          </w:p>
        </w:tc>
      </w:tr>
      <w:tr w:rsidR="00E45760" w14:paraId="05122057" w14:textId="77777777" w:rsidTr="00E45760">
        <w:trPr>
          <w:trHeight w:val="300"/>
        </w:trPr>
        <w:tc>
          <w:tcPr>
            <w:tcW w:w="4788" w:type="dxa"/>
            <w:hideMark/>
          </w:tcPr>
          <w:p w14:paraId="69F974D3" w14:textId="77777777" w:rsidR="00E45760" w:rsidRDefault="00E45760">
            <w:pPr>
              <w:jc w:val="center"/>
              <w:rPr>
                <w:rFonts w:ascii="Calibri" w:hAnsi="Calibri"/>
                <w:color w:val="000000"/>
              </w:rPr>
            </w:pPr>
            <w:r>
              <w:rPr>
                <w:color w:val="000000"/>
              </w:rPr>
              <w:t>PTPRN.AEAPALFSR</w:t>
            </w:r>
          </w:p>
        </w:tc>
        <w:tc>
          <w:tcPr>
            <w:tcW w:w="4788" w:type="dxa"/>
            <w:noWrap/>
            <w:hideMark/>
          </w:tcPr>
          <w:p w14:paraId="2203C10F" w14:textId="77777777" w:rsidR="00E45760" w:rsidRDefault="00E45760">
            <w:pPr>
              <w:jc w:val="center"/>
              <w:rPr>
                <w:rFonts w:ascii="Calibri" w:hAnsi="Calibri"/>
                <w:color w:val="000000"/>
              </w:rPr>
            </w:pPr>
            <w:r>
              <w:rPr>
                <w:color w:val="000000"/>
              </w:rPr>
              <w:t>-1.1</w:t>
            </w:r>
          </w:p>
        </w:tc>
      </w:tr>
      <w:tr w:rsidR="00E45760" w14:paraId="1A984FA3" w14:textId="77777777" w:rsidTr="00E45760">
        <w:trPr>
          <w:trHeight w:val="300"/>
        </w:trPr>
        <w:tc>
          <w:tcPr>
            <w:tcW w:w="4788" w:type="dxa"/>
            <w:hideMark/>
          </w:tcPr>
          <w:p w14:paraId="236F4C73" w14:textId="77777777" w:rsidR="00E45760" w:rsidRDefault="00E45760">
            <w:pPr>
              <w:jc w:val="center"/>
              <w:rPr>
                <w:rFonts w:ascii="Calibri" w:hAnsi="Calibri"/>
                <w:color w:val="000000"/>
              </w:rPr>
            </w:pPr>
            <w:r>
              <w:rPr>
                <w:color w:val="000000"/>
              </w:rPr>
              <w:t>AMD.IVQFSPSGK</w:t>
            </w:r>
          </w:p>
        </w:tc>
        <w:tc>
          <w:tcPr>
            <w:tcW w:w="4788" w:type="dxa"/>
            <w:noWrap/>
            <w:hideMark/>
          </w:tcPr>
          <w:p w14:paraId="7FD49D02" w14:textId="77777777" w:rsidR="00E45760" w:rsidRDefault="00E45760">
            <w:pPr>
              <w:jc w:val="center"/>
              <w:rPr>
                <w:rFonts w:ascii="Calibri" w:hAnsi="Calibri"/>
                <w:color w:val="000000"/>
              </w:rPr>
            </w:pPr>
            <w:r>
              <w:rPr>
                <w:color w:val="000000"/>
              </w:rPr>
              <w:t>-0.8</w:t>
            </w:r>
          </w:p>
        </w:tc>
      </w:tr>
      <w:tr w:rsidR="00E45760" w14:paraId="32AEF21C" w14:textId="77777777" w:rsidTr="00E45760">
        <w:trPr>
          <w:trHeight w:val="300"/>
        </w:trPr>
        <w:tc>
          <w:tcPr>
            <w:tcW w:w="4788" w:type="dxa"/>
            <w:hideMark/>
          </w:tcPr>
          <w:p w14:paraId="6033E812" w14:textId="77777777" w:rsidR="00E45760" w:rsidRDefault="00E45760">
            <w:pPr>
              <w:jc w:val="center"/>
              <w:rPr>
                <w:rFonts w:ascii="Calibri" w:hAnsi="Calibri"/>
                <w:color w:val="000000"/>
              </w:rPr>
            </w:pPr>
            <w:r>
              <w:rPr>
                <w:color w:val="000000"/>
              </w:rPr>
              <w:t>PIMT.VQLVVGDGR</w:t>
            </w:r>
          </w:p>
        </w:tc>
        <w:tc>
          <w:tcPr>
            <w:tcW w:w="4788" w:type="dxa"/>
            <w:noWrap/>
            <w:hideMark/>
          </w:tcPr>
          <w:p w14:paraId="425ADBCC" w14:textId="77777777" w:rsidR="00E45760" w:rsidRDefault="00E45760">
            <w:pPr>
              <w:jc w:val="center"/>
              <w:rPr>
                <w:rFonts w:ascii="Calibri" w:hAnsi="Calibri"/>
                <w:color w:val="000000"/>
              </w:rPr>
            </w:pPr>
            <w:r>
              <w:rPr>
                <w:color w:val="000000"/>
              </w:rPr>
              <w:t>-0.8</w:t>
            </w:r>
          </w:p>
        </w:tc>
      </w:tr>
      <w:tr w:rsidR="00E45760" w14:paraId="3CC2027F" w14:textId="77777777" w:rsidTr="00E45760">
        <w:trPr>
          <w:trHeight w:val="300"/>
        </w:trPr>
        <w:tc>
          <w:tcPr>
            <w:tcW w:w="4788" w:type="dxa"/>
            <w:hideMark/>
          </w:tcPr>
          <w:p w14:paraId="7C8ADD35" w14:textId="77777777" w:rsidR="00E45760" w:rsidRDefault="00E45760">
            <w:pPr>
              <w:jc w:val="center"/>
              <w:rPr>
                <w:rFonts w:ascii="Calibri" w:hAnsi="Calibri"/>
                <w:color w:val="000000"/>
              </w:rPr>
            </w:pPr>
            <w:r>
              <w:rPr>
                <w:color w:val="000000"/>
              </w:rPr>
              <w:t>CA2D1.FVVTDGGITR</w:t>
            </w:r>
          </w:p>
        </w:tc>
        <w:tc>
          <w:tcPr>
            <w:tcW w:w="4788" w:type="dxa"/>
            <w:noWrap/>
            <w:hideMark/>
          </w:tcPr>
          <w:p w14:paraId="76552D91" w14:textId="77777777" w:rsidR="00E45760" w:rsidRDefault="00E45760">
            <w:pPr>
              <w:jc w:val="center"/>
              <w:rPr>
                <w:rFonts w:ascii="Calibri" w:hAnsi="Calibri"/>
                <w:color w:val="000000"/>
              </w:rPr>
            </w:pPr>
            <w:r>
              <w:rPr>
                <w:color w:val="000000"/>
              </w:rPr>
              <w:t>-0.7</w:t>
            </w:r>
          </w:p>
        </w:tc>
      </w:tr>
      <w:tr w:rsidR="00E45760" w14:paraId="051021FF" w14:textId="77777777" w:rsidTr="00E45760">
        <w:trPr>
          <w:trHeight w:val="300"/>
        </w:trPr>
        <w:tc>
          <w:tcPr>
            <w:tcW w:w="4788" w:type="dxa"/>
            <w:hideMark/>
          </w:tcPr>
          <w:p w14:paraId="79E68E7C" w14:textId="77777777" w:rsidR="00E45760" w:rsidRDefault="00E45760">
            <w:pPr>
              <w:jc w:val="center"/>
              <w:rPr>
                <w:rFonts w:ascii="Calibri" w:hAnsi="Calibri"/>
                <w:color w:val="000000"/>
              </w:rPr>
            </w:pPr>
            <w:r>
              <w:rPr>
                <w:color w:val="000000"/>
              </w:rPr>
              <w:t>KLK11.LPHTLR</w:t>
            </w:r>
          </w:p>
        </w:tc>
        <w:tc>
          <w:tcPr>
            <w:tcW w:w="4788" w:type="dxa"/>
            <w:noWrap/>
            <w:hideMark/>
          </w:tcPr>
          <w:p w14:paraId="1CF52EC6" w14:textId="77777777" w:rsidR="00E45760" w:rsidRDefault="00E45760">
            <w:pPr>
              <w:jc w:val="center"/>
              <w:rPr>
                <w:rFonts w:ascii="Calibri" w:hAnsi="Calibri"/>
                <w:color w:val="000000"/>
              </w:rPr>
            </w:pPr>
            <w:r>
              <w:rPr>
                <w:color w:val="000000"/>
              </w:rPr>
              <w:t>0.6</w:t>
            </w:r>
          </w:p>
        </w:tc>
      </w:tr>
      <w:tr w:rsidR="00E45760" w14:paraId="2F0388B3" w14:textId="77777777" w:rsidTr="00E45760">
        <w:trPr>
          <w:trHeight w:val="300"/>
        </w:trPr>
        <w:tc>
          <w:tcPr>
            <w:tcW w:w="4788" w:type="dxa"/>
            <w:hideMark/>
          </w:tcPr>
          <w:p w14:paraId="56F4F2BA" w14:textId="77777777" w:rsidR="00E45760" w:rsidRDefault="00E45760">
            <w:pPr>
              <w:jc w:val="center"/>
              <w:rPr>
                <w:rFonts w:ascii="Calibri" w:hAnsi="Calibri"/>
                <w:color w:val="000000"/>
              </w:rPr>
            </w:pPr>
            <w:r>
              <w:rPr>
                <w:color w:val="000000"/>
              </w:rPr>
              <w:t>CATD.LVDQNIFSFYLSR</w:t>
            </w:r>
          </w:p>
        </w:tc>
        <w:tc>
          <w:tcPr>
            <w:tcW w:w="4788" w:type="dxa"/>
            <w:noWrap/>
            <w:hideMark/>
          </w:tcPr>
          <w:p w14:paraId="0E10A12A" w14:textId="77777777" w:rsidR="00E45760" w:rsidRDefault="00E45760">
            <w:pPr>
              <w:jc w:val="center"/>
              <w:rPr>
                <w:rFonts w:ascii="Calibri" w:hAnsi="Calibri"/>
                <w:color w:val="000000"/>
              </w:rPr>
            </w:pPr>
            <w:r>
              <w:rPr>
                <w:color w:val="000000"/>
              </w:rPr>
              <w:t>0.4</w:t>
            </w:r>
          </w:p>
        </w:tc>
      </w:tr>
      <w:tr w:rsidR="00E45760" w14:paraId="006FB95B" w14:textId="77777777" w:rsidTr="00E45760">
        <w:trPr>
          <w:trHeight w:val="300"/>
        </w:trPr>
        <w:tc>
          <w:tcPr>
            <w:tcW w:w="4788" w:type="dxa"/>
            <w:hideMark/>
          </w:tcPr>
          <w:p w14:paraId="359FF699" w14:textId="77777777" w:rsidR="00E45760" w:rsidRDefault="00E45760">
            <w:pPr>
              <w:jc w:val="center"/>
              <w:rPr>
                <w:rFonts w:ascii="Calibri" w:hAnsi="Calibri"/>
                <w:color w:val="000000"/>
              </w:rPr>
            </w:pPr>
            <w:r>
              <w:rPr>
                <w:color w:val="000000"/>
              </w:rPr>
              <w:t>PRDX1.LVQAFQFTDK</w:t>
            </w:r>
          </w:p>
        </w:tc>
        <w:tc>
          <w:tcPr>
            <w:tcW w:w="4788" w:type="dxa"/>
            <w:noWrap/>
            <w:hideMark/>
          </w:tcPr>
          <w:p w14:paraId="54C40E91" w14:textId="77777777" w:rsidR="00E45760" w:rsidRDefault="00E45760">
            <w:pPr>
              <w:jc w:val="center"/>
              <w:rPr>
                <w:rFonts w:ascii="Calibri" w:hAnsi="Calibri"/>
                <w:color w:val="000000"/>
              </w:rPr>
            </w:pPr>
            <w:r>
              <w:rPr>
                <w:color w:val="000000"/>
              </w:rPr>
              <w:t>0.3</w:t>
            </w:r>
          </w:p>
        </w:tc>
      </w:tr>
      <w:tr w:rsidR="00E45760" w14:paraId="5D64C3CA" w14:textId="77777777" w:rsidTr="00E45760">
        <w:trPr>
          <w:trHeight w:val="300"/>
        </w:trPr>
        <w:tc>
          <w:tcPr>
            <w:tcW w:w="4788" w:type="dxa"/>
            <w:hideMark/>
          </w:tcPr>
          <w:p w14:paraId="59268204" w14:textId="77777777" w:rsidR="00E45760" w:rsidRDefault="00E45760">
            <w:pPr>
              <w:jc w:val="center"/>
              <w:rPr>
                <w:rFonts w:ascii="Calibri" w:hAnsi="Calibri"/>
                <w:color w:val="000000"/>
              </w:rPr>
            </w:pPr>
            <w:r>
              <w:rPr>
                <w:color w:val="000000"/>
              </w:rPr>
              <w:t>APOE.LGADMEDVR</w:t>
            </w:r>
          </w:p>
        </w:tc>
        <w:tc>
          <w:tcPr>
            <w:tcW w:w="4788" w:type="dxa"/>
            <w:noWrap/>
            <w:hideMark/>
          </w:tcPr>
          <w:p w14:paraId="3556C8DE" w14:textId="77777777" w:rsidR="00E45760" w:rsidRDefault="00E45760">
            <w:pPr>
              <w:jc w:val="center"/>
              <w:rPr>
                <w:rFonts w:ascii="Calibri" w:hAnsi="Calibri"/>
                <w:color w:val="000000"/>
              </w:rPr>
            </w:pPr>
            <w:r>
              <w:rPr>
                <w:color w:val="000000"/>
              </w:rPr>
              <w:t>0.1</w:t>
            </w:r>
          </w:p>
        </w:tc>
      </w:tr>
      <w:tr w:rsidR="00E45760" w14:paraId="62827CD1" w14:textId="77777777" w:rsidTr="00E45760">
        <w:trPr>
          <w:trHeight w:val="300"/>
        </w:trPr>
        <w:tc>
          <w:tcPr>
            <w:tcW w:w="4788" w:type="dxa"/>
            <w:hideMark/>
          </w:tcPr>
          <w:p w14:paraId="7DB7FFBC" w14:textId="77777777" w:rsidR="00E45760" w:rsidRDefault="00E45760">
            <w:pPr>
              <w:jc w:val="center"/>
              <w:rPr>
                <w:rFonts w:ascii="Calibri" w:hAnsi="Calibri"/>
                <w:color w:val="000000"/>
              </w:rPr>
            </w:pPr>
            <w:r>
              <w:rPr>
                <w:color w:val="000000"/>
              </w:rPr>
              <w:t>PTPRN.SELEAQTGLQILQTGVGQR</w:t>
            </w:r>
          </w:p>
        </w:tc>
        <w:tc>
          <w:tcPr>
            <w:tcW w:w="4788" w:type="dxa"/>
            <w:noWrap/>
            <w:hideMark/>
          </w:tcPr>
          <w:p w14:paraId="16DAC9F5" w14:textId="77777777" w:rsidR="00E45760" w:rsidRDefault="00E45760">
            <w:pPr>
              <w:jc w:val="center"/>
              <w:rPr>
                <w:rFonts w:ascii="Calibri" w:hAnsi="Calibri"/>
                <w:color w:val="000000"/>
              </w:rPr>
            </w:pPr>
            <w:r>
              <w:rPr>
                <w:color w:val="000000"/>
              </w:rPr>
              <w:t>-0.1</w:t>
            </w:r>
          </w:p>
        </w:tc>
      </w:tr>
      <w:tr w:rsidR="00E45760" w14:paraId="1B424519" w14:textId="77777777" w:rsidTr="00E45760">
        <w:trPr>
          <w:trHeight w:val="315"/>
        </w:trPr>
        <w:tc>
          <w:tcPr>
            <w:tcW w:w="4788" w:type="dxa"/>
            <w:hideMark/>
          </w:tcPr>
          <w:p w14:paraId="42FB3C56" w14:textId="77777777" w:rsidR="00E45760" w:rsidRDefault="00E45760">
            <w:pPr>
              <w:jc w:val="center"/>
              <w:rPr>
                <w:rFonts w:ascii="Calibri" w:hAnsi="Calibri"/>
                <w:color w:val="000000"/>
              </w:rPr>
            </w:pPr>
            <w:r>
              <w:rPr>
                <w:color w:val="000000"/>
              </w:rPr>
              <w:t>VGF.NSEPQDEGELFQGVDPR</w:t>
            </w:r>
          </w:p>
        </w:tc>
        <w:tc>
          <w:tcPr>
            <w:tcW w:w="4788" w:type="dxa"/>
            <w:noWrap/>
            <w:hideMark/>
          </w:tcPr>
          <w:p w14:paraId="3B4683FD" w14:textId="77777777" w:rsidR="00E45760" w:rsidRDefault="00E45760">
            <w:pPr>
              <w:jc w:val="center"/>
              <w:rPr>
                <w:rFonts w:ascii="Calibri" w:hAnsi="Calibri"/>
                <w:color w:val="000000"/>
              </w:rPr>
            </w:pPr>
            <w:r>
              <w:rPr>
                <w:color w:val="000000"/>
              </w:rPr>
              <w:t>-0.1</w:t>
            </w:r>
          </w:p>
        </w:tc>
      </w:tr>
    </w:tbl>
    <w:p w14:paraId="58618ECC" w14:textId="77777777" w:rsidR="006502F7" w:rsidRDefault="00483DFF"/>
    <w:p w14:paraId="31B00339" w14:textId="77777777" w:rsidR="00E45760" w:rsidRDefault="00E45760"/>
    <w:sectPr w:rsidR="00E4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60"/>
    <w:rsid w:val="00057C30"/>
    <w:rsid w:val="00183BCB"/>
    <w:rsid w:val="002D3932"/>
    <w:rsid w:val="00483DFF"/>
    <w:rsid w:val="006D1732"/>
    <w:rsid w:val="006F7C7E"/>
    <w:rsid w:val="00D42A36"/>
    <w:rsid w:val="00E457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8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Llano</dc:creator>
  <cp:lastModifiedBy>Microsoft Office User</cp:lastModifiedBy>
  <cp:revision>2</cp:revision>
  <cp:lastPrinted>2016-12-19T17:57:00Z</cp:lastPrinted>
  <dcterms:created xsi:type="dcterms:W3CDTF">2017-07-21T20:56:00Z</dcterms:created>
  <dcterms:modified xsi:type="dcterms:W3CDTF">2017-07-21T20:56:00Z</dcterms:modified>
</cp:coreProperties>
</file>