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8B" w:rsidRPr="00FF71D6" w:rsidRDefault="0098708B" w:rsidP="0098708B">
      <w:pPr>
        <w:pStyle w:val="Caption"/>
        <w:keepNext/>
        <w:rPr>
          <w:sz w:val="24"/>
          <w:szCs w:val="24"/>
        </w:rPr>
      </w:pPr>
      <w:bookmarkStart w:id="0" w:name="_Toc431136098"/>
      <w:r>
        <w:rPr>
          <w:sz w:val="24"/>
          <w:szCs w:val="24"/>
        </w:rPr>
        <w:t>Table S5</w:t>
      </w:r>
      <w:r w:rsidRPr="00FF71D6">
        <w:rPr>
          <w:sz w:val="24"/>
          <w:szCs w:val="24"/>
        </w:rPr>
        <w:t xml:space="preserve">. OTUs isolated from fetal membranes significantly associated with differences in </w:t>
      </w:r>
      <w:r>
        <w:rPr>
          <w:sz w:val="24"/>
          <w:szCs w:val="24"/>
        </w:rPr>
        <w:t>length</w:t>
      </w:r>
      <w:r w:rsidRPr="00FF71D6">
        <w:rPr>
          <w:sz w:val="24"/>
          <w:szCs w:val="24"/>
        </w:rPr>
        <w:t>-for-age Z-score.</w:t>
      </w:r>
      <w:bookmarkEnd w:id="0"/>
    </w:p>
    <w:tbl>
      <w:tblPr>
        <w:tblStyle w:val="TableGrid"/>
        <w:tblW w:w="14000" w:type="dxa"/>
        <w:tblLayout w:type="fixed"/>
        <w:tblLook w:val="04A0" w:firstRow="1" w:lastRow="0" w:firstColumn="1" w:lastColumn="0" w:noHBand="0" w:noVBand="1"/>
      </w:tblPr>
      <w:tblGrid>
        <w:gridCol w:w="1809"/>
        <w:gridCol w:w="3261"/>
        <w:gridCol w:w="2693"/>
        <w:gridCol w:w="1276"/>
        <w:gridCol w:w="850"/>
        <w:gridCol w:w="567"/>
        <w:gridCol w:w="1843"/>
        <w:gridCol w:w="851"/>
        <w:gridCol w:w="850"/>
      </w:tblGrid>
      <w:tr w:rsidR="0098708B" w:rsidRPr="00FF71D6" w:rsidTr="000F51F8">
        <w:trPr>
          <w:trHeight w:val="765"/>
        </w:trPr>
        <w:tc>
          <w:tcPr>
            <w:tcW w:w="1809" w:type="dxa"/>
            <w:vAlign w:val="center"/>
          </w:tcPr>
          <w:p w:rsidR="0098708B" w:rsidRPr="00FF71D6" w:rsidRDefault="0098708B" w:rsidP="000F51F8">
            <w:pPr>
              <w:rPr>
                <w:bCs/>
                <w:color w:val="000000"/>
                <w:sz w:val="20"/>
                <w:lang w:eastAsia="en-GB"/>
              </w:rPr>
            </w:pPr>
          </w:p>
        </w:tc>
        <w:tc>
          <w:tcPr>
            <w:tcW w:w="3261" w:type="dxa"/>
            <w:vAlign w:val="center"/>
          </w:tcPr>
          <w:p w:rsidR="0098708B" w:rsidRPr="00FF71D6" w:rsidRDefault="0098708B" w:rsidP="000F51F8">
            <w:pPr>
              <w:jc w:val="center"/>
              <w:rPr>
                <w:bCs/>
                <w:color w:val="000000"/>
                <w:sz w:val="20"/>
                <w:lang w:eastAsia="en-GB"/>
              </w:rPr>
            </w:pPr>
          </w:p>
        </w:tc>
        <w:tc>
          <w:tcPr>
            <w:tcW w:w="2693" w:type="dxa"/>
            <w:vAlign w:val="center"/>
          </w:tcPr>
          <w:p w:rsidR="0098708B" w:rsidRPr="00FF71D6" w:rsidRDefault="0098708B" w:rsidP="000F51F8">
            <w:pPr>
              <w:jc w:val="center"/>
              <w:rPr>
                <w:bCs/>
                <w:color w:val="000000"/>
                <w:sz w:val="20"/>
                <w:lang w:eastAsia="en-GB"/>
              </w:rPr>
            </w:pPr>
          </w:p>
        </w:tc>
        <w:tc>
          <w:tcPr>
            <w:tcW w:w="2693" w:type="dxa"/>
            <w:gridSpan w:val="3"/>
            <w:vAlign w:val="center"/>
          </w:tcPr>
          <w:p w:rsidR="0098708B" w:rsidRPr="00FF71D6" w:rsidRDefault="0098708B" w:rsidP="000F51F8">
            <w:pPr>
              <w:rPr>
                <w:bCs/>
                <w:iCs/>
                <w:color w:val="000000"/>
                <w:sz w:val="20"/>
                <w:lang w:eastAsia="en-GB"/>
              </w:rPr>
            </w:pPr>
            <w:r w:rsidRPr="00FF71D6">
              <w:rPr>
                <w:bCs/>
                <w:iCs/>
                <w:color w:val="000000"/>
                <w:sz w:val="20"/>
                <w:lang w:eastAsia="en-GB"/>
              </w:rPr>
              <w:t>Unadjusted analysis</w:t>
            </w:r>
          </w:p>
        </w:tc>
        <w:tc>
          <w:tcPr>
            <w:tcW w:w="3544" w:type="dxa"/>
            <w:gridSpan w:val="3"/>
            <w:vAlign w:val="center"/>
          </w:tcPr>
          <w:p w:rsidR="0098708B" w:rsidRPr="00FF71D6" w:rsidRDefault="0098708B" w:rsidP="000F51F8">
            <w:pPr>
              <w:rPr>
                <w:bCs/>
                <w:iCs/>
                <w:color w:val="000000"/>
                <w:sz w:val="20"/>
                <w:lang w:eastAsia="en-GB"/>
              </w:rPr>
            </w:pPr>
            <w:r w:rsidRPr="00FF71D6">
              <w:rPr>
                <w:bCs/>
                <w:iCs/>
                <w:color w:val="000000"/>
                <w:sz w:val="20"/>
                <w:lang w:eastAsia="en-GB"/>
              </w:rPr>
              <w:t>Adjusted analysis</w:t>
            </w:r>
          </w:p>
        </w:tc>
      </w:tr>
      <w:tr w:rsidR="0098708B" w:rsidRPr="00FF71D6" w:rsidTr="000F51F8">
        <w:trPr>
          <w:trHeight w:val="765"/>
        </w:trPr>
        <w:tc>
          <w:tcPr>
            <w:tcW w:w="1809" w:type="dxa"/>
            <w:vAlign w:val="center"/>
            <w:hideMark/>
          </w:tcPr>
          <w:p w:rsidR="0098708B" w:rsidRPr="00FF71D6" w:rsidRDefault="0098708B" w:rsidP="000F51F8">
            <w:pPr>
              <w:rPr>
                <w:bCs/>
                <w:color w:val="000000"/>
                <w:sz w:val="20"/>
                <w:lang w:eastAsia="en-GB"/>
              </w:rPr>
            </w:pPr>
            <w:r w:rsidRPr="00FF71D6">
              <w:rPr>
                <w:bCs/>
                <w:color w:val="000000"/>
                <w:sz w:val="20"/>
                <w:lang w:eastAsia="en-GB"/>
              </w:rPr>
              <w:t xml:space="preserve">O.T.U ID (Custom database and </w:t>
            </w:r>
            <w:proofErr w:type="spellStart"/>
            <w:r w:rsidRPr="00FF71D6">
              <w:rPr>
                <w:bCs/>
                <w:color w:val="000000"/>
                <w:sz w:val="20"/>
                <w:lang w:eastAsia="en-GB"/>
              </w:rPr>
              <w:t>greengenes</w:t>
            </w:r>
            <w:proofErr w:type="spellEnd"/>
            <w:r w:rsidRPr="00FF71D6">
              <w:rPr>
                <w:bCs/>
                <w:color w:val="000000"/>
                <w:sz w:val="20"/>
                <w:lang w:eastAsia="en-GB"/>
              </w:rPr>
              <w:t>)</w:t>
            </w:r>
          </w:p>
        </w:tc>
        <w:tc>
          <w:tcPr>
            <w:tcW w:w="3261" w:type="dxa"/>
            <w:vAlign w:val="center"/>
            <w:hideMark/>
          </w:tcPr>
          <w:p w:rsidR="0098708B" w:rsidRPr="00FF71D6" w:rsidRDefault="0098708B" w:rsidP="000F51F8">
            <w:pPr>
              <w:jc w:val="center"/>
              <w:rPr>
                <w:bCs/>
                <w:color w:val="000000"/>
                <w:sz w:val="20"/>
                <w:lang w:eastAsia="en-GB"/>
              </w:rPr>
            </w:pPr>
            <w:proofErr w:type="spellStart"/>
            <w:r w:rsidRPr="00FF71D6">
              <w:rPr>
                <w:bCs/>
                <w:color w:val="000000"/>
                <w:sz w:val="20"/>
                <w:lang w:eastAsia="en-GB"/>
              </w:rPr>
              <w:t>Greengenes</w:t>
            </w:r>
            <w:proofErr w:type="spellEnd"/>
            <w:r w:rsidRPr="00FF71D6">
              <w:rPr>
                <w:bCs/>
                <w:color w:val="000000"/>
                <w:sz w:val="20"/>
                <w:lang w:eastAsia="en-GB"/>
              </w:rPr>
              <w:t xml:space="preserve"> Taxonomy</w:t>
            </w:r>
          </w:p>
        </w:tc>
        <w:tc>
          <w:tcPr>
            <w:tcW w:w="2693" w:type="dxa"/>
            <w:vAlign w:val="center"/>
            <w:hideMark/>
          </w:tcPr>
          <w:p w:rsidR="0098708B" w:rsidRPr="00FF71D6" w:rsidRDefault="0098708B" w:rsidP="000F51F8">
            <w:pPr>
              <w:jc w:val="center"/>
              <w:rPr>
                <w:bCs/>
                <w:color w:val="000000"/>
                <w:sz w:val="20"/>
                <w:lang w:eastAsia="en-GB"/>
              </w:rPr>
            </w:pPr>
            <w:proofErr w:type="spellStart"/>
            <w:r w:rsidRPr="00FF71D6">
              <w:rPr>
                <w:bCs/>
                <w:color w:val="000000"/>
                <w:sz w:val="20"/>
                <w:lang w:eastAsia="en-GB"/>
              </w:rPr>
              <w:t>Genbank</w:t>
            </w:r>
            <w:proofErr w:type="spellEnd"/>
            <w:r w:rsidRPr="00FF71D6">
              <w:rPr>
                <w:bCs/>
                <w:color w:val="000000"/>
                <w:sz w:val="20"/>
                <w:lang w:eastAsia="en-GB"/>
              </w:rPr>
              <w:t xml:space="preserve"> BLASTN result</w:t>
            </w:r>
          </w:p>
        </w:tc>
        <w:tc>
          <w:tcPr>
            <w:tcW w:w="1276" w:type="dxa"/>
            <w:vAlign w:val="center"/>
            <w:hideMark/>
          </w:tcPr>
          <w:p w:rsidR="0098708B" w:rsidRPr="00FF71D6" w:rsidRDefault="0098708B" w:rsidP="000F51F8">
            <w:pPr>
              <w:jc w:val="center"/>
              <w:rPr>
                <w:bCs/>
                <w:color w:val="000000"/>
                <w:sz w:val="20"/>
                <w:lang w:eastAsia="en-GB"/>
              </w:rPr>
            </w:pPr>
            <w:r w:rsidRPr="00FF71D6">
              <w:rPr>
                <w:bCs/>
                <w:color w:val="000000"/>
                <w:sz w:val="20"/>
                <w:lang w:eastAsia="en-GB"/>
              </w:rPr>
              <w:t>Correlation coefficient</w:t>
            </w:r>
          </w:p>
        </w:tc>
        <w:tc>
          <w:tcPr>
            <w:tcW w:w="850" w:type="dxa"/>
            <w:vAlign w:val="center"/>
          </w:tcPr>
          <w:p w:rsidR="0098708B" w:rsidRPr="00FF71D6" w:rsidRDefault="0098708B" w:rsidP="000F51F8">
            <w:pPr>
              <w:jc w:val="center"/>
              <w:rPr>
                <w:bCs/>
                <w:iCs/>
                <w:color w:val="000000"/>
                <w:sz w:val="20"/>
                <w:lang w:eastAsia="en-GB"/>
              </w:rPr>
            </w:pPr>
            <w:r w:rsidRPr="00FF71D6">
              <w:rPr>
                <w:bCs/>
                <w:i/>
                <w:iCs/>
                <w:color w:val="000000"/>
                <w:sz w:val="20"/>
                <w:lang w:eastAsia="en-GB"/>
              </w:rPr>
              <w:t xml:space="preserve">P </w:t>
            </w:r>
            <w:r w:rsidRPr="00FF71D6">
              <w:rPr>
                <w:bCs/>
                <w:iCs/>
                <w:color w:val="000000"/>
                <w:sz w:val="20"/>
                <w:lang w:eastAsia="en-GB"/>
              </w:rPr>
              <w:t>value</w:t>
            </w:r>
            <w:r w:rsidRPr="00FF71D6">
              <w:rPr>
                <w:bCs/>
                <w:iCs/>
                <w:color w:val="000000"/>
                <w:sz w:val="20"/>
                <w:vertAlign w:val="superscript"/>
                <w:lang w:eastAsia="en-GB"/>
              </w:rPr>
              <w:t>1</w:t>
            </w:r>
          </w:p>
        </w:tc>
        <w:tc>
          <w:tcPr>
            <w:tcW w:w="567" w:type="dxa"/>
            <w:vAlign w:val="center"/>
          </w:tcPr>
          <w:p w:rsidR="0098708B" w:rsidRPr="00FF71D6" w:rsidRDefault="0098708B" w:rsidP="000F51F8">
            <w:pPr>
              <w:jc w:val="center"/>
              <w:rPr>
                <w:bCs/>
                <w:iCs/>
                <w:color w:val="000000"/>
                <w:sz w:val="20"/>
                <w:lang w:eastAsia="en-GB"/>
              </w:rPr>
            </w:pPr>
            <w:r w:rsidRPr="00FF71D6">
              <w:rPr>
                <w:bCs/>
                <w:iCs/>
                <w:color w:val="000000"/>
                <w:sz w:val="20"/>
                <w:lang w:eastAsia="en-GB"/>
              </w:rPr>
              <w:t>N</w:t>
            </w:r>
          </w:p>
        </w:tc>
        <w:tc>
          <w:tcPr>
            <w:tcW w:w="1843" w:type="dxa"/>
            <w:vAlign w:val="center"/>
          </w:tcPr>
          <w:p w:rsidR="0098708B" w:rsidRPr="00FF71D6" w:rsidRDefault="0098708B" w:rsidP="000F51F8">
            <w:pPr>
              <w:jc w:val="center"/>
              <w:rPr>
                <w:bCs/>
                <w:iCs/>
                <w:color w:val="000000"/>
                <w:sz w:val="20"/>
                <w:lang w:eastAsia="en-GB"/>
              </w:rPr>
            </w:pPr>
            <w:r w:rsidRPr="00FF71D6">
              <w:rPr>
                <w:bCs/>
                <w:iCs/>
                <w:color w:val="000000"/>
                <w:sz w:val="20"/>
                <w:lang w:eastAsia="en-GB"/>
              </w:rPr>
              <w:t>Regression coefficient (95%CI)</w:t>
            </w:r>
          </w:p>
        </w:tc>
        <w:tc>
          <w:tcPr>
            <w:tcW w:w="851" w:type="dxa"/>
            <w:vAlign w:val="center"/>
          </w:tcPr>
          <w:p w:rsidR="0098708B" w:rsidRPr="00FF71D6" w:rsidRDefault="0098708B" w:rsidP="000F51F8">
            <w:pPr>
              <w:jc w:val="center"/>
              <w:rPr>
                <w:bCs/>
                <w:iCs/>
                <w:color w:val="000000"/>
                <w:sz w:val="20"/>
                <w:lang w:eastAsia="en-GB"/>
              </w:rPr>
            </w:pPr>
            <w:r w:rsidRPr="00FF71D6">
              <w:rPr>
                <w:bCs/>
                <w:i/>
                <w:iCs/>
                <w:color w:val="000000"/>
                <w:sz w:val="20"/>
                <w:lang w:eastAsia="en-GB"/>
              </w:rPr>
              <w:t>P</w:t>
            </w:r>
            <w:r w:rsidRPr="00FF71D6">
              <w:rPr>
                <w:bCs/>
                <w:iCs/>
                <w:color w:val="000000"/>
                <w:sz w:val="20"/>
                <w:lang w:eastAsia="en-GB"/>
              </w:rPr>
              <w:t xml:space="preserve"> value</w:t>
            </w:r>
            <w:r w:rsidRPr="00FF71D6">
              <w:rPr>
                <w:bCs/>
                <w:iCs/>
                <w:color w:val="000000"/>
                <w:sz w:val="20"/>
                <w:vertAlign w:val="superscript"/>
                <w:lang w:eastAsia="en-GB"/>
              </w:rPr>
              <w:t>2</w:t>
            </w:r>
          </w:p>
        </w:tc>
        <w:tc>
          <w:tcPr>
            <w:tcW w:w="850" w:type="dxa"/>
            <w:vAlign w:val="center"/>
          </w:tcPr>
          <w:p w:rsidR="0098708B" w:rsidRPr="00FF71D6" w:rsidRDefault="0098708B" w:rsidP="000F51F8">
            <w:pPr>
              <w:jc w:val="center"/>
              <w:rPr>
                <w:bCs/>
                <w:iCs/>
                <w:color w:val="000000"/>
                <w:sz w:val="20"/>
                <w:lang w:eastAsia="en-GB"/>
              </w:rPr>
            </w:pPr>
            <w:r w:rsidRPr="00FF71D6">
              <w:rPr>
                <w:bCs/>
                <w:i/>
                <w:iCs/>
                <w:color w:val="000000"/>
                <w:sz w:val="20"/>
                <w:lang w:eastAsia="en-GB"/>
              </w:rPr>
              <w:t xml:space="preserve">q </w:t>
            </w:r>
            <w:r w:rsidRPr="00FF71D6">
              <w:rPr>
                <w:bCs/>
                <w:iCs/>
                <w:color w:val="000000"/>
                <w:sz w:val="20"/>
                <w:lang w:eastAsia="en-GB"/>
              </w:rPr>
              <w:t>value</w:t>
            </w:r>
          </w:p>
        </w:tc>
      </w:tr>
      <w:tr w:rsidR="0098708B" w:rsidRPr="00FF71D6" w:rsidTr="000F51F8">
        <w:trPr>
          <w:trHeight w:val="454"/>
        </w:trPr>
        <w:tc>
          <w:tcPr>
            <w:tcW w:w="1809" w:type="dxa"/>
            <w:vAlign w:val="center"/>
          </w:tcPr>
          <w:p w:rsidR="0098708B" w:rsidRPr="00FF71D6" w:rsidRDefault="0098708B" w:rsidP="000F51F8">
            <w:pPr>
              <w:jc w:val="center"/>
              <w:rPr>
                <w:color w:val="000000"/>
                <w:sz w:val="20"/>
              </w:rPr>
            </w:pPr>
            <w:r w:rsidRPr="00FF71D6">
              <w:rPr>
                <w:color w:val="000000"/>
                <w:sz w:val="20"/>
              </w:rPr>
              <w:t>2386814</w:t>
            </w:r>
          </w:p>
        </w:tc>
        <w:tc>
          <w:tcPr>
            <w:tcW w:w="3261" w:type="dxa"/>
            <w:vAlign w:val="center"/>
          </w:tcPr>
          <w:p w:rsidR="0098708B" w:rsidRPr="00FF71D6" w:rsidRDefault="0098708B" w:rsidP="000F51F8">
            <w:pPr>
              <w:jc w:val="center"/>
              <w:rPr>
                <w:color w:val="000000"/>
                <w:sz w:val="20"/>
                <w:lang w:eastAsia="en-GB"/>
              </w:rPr>
            </w:pPr>
            <w:r w:rsidRPr="00FF71D6">
              <w:rPr>
                <w:color w:val="000000"/>
                <w:sz w:val="20"/>
                <w:lang w:eastAsia="en-GB"/>
              </w:rPr>
              <w:t>f__</w:t>
            </w:r>
            <w:proofErr w:type="spellStart"/>
            <w:r w:rsidRPr="00FF71D6">
              <w:rPr>
                <w:color w:val="000000"/>
                <w:sz w:val="20"/>
                <w:lang w:eastAsia="en-GB"/>
              </w:rPr>
              <w:t>Lachnospiraceae</w:t>
            </w:r>
            <w:proofErr w:type="spellEnd"/>
            <w:r w:rsidRPr="00FF71D6">
              <w:rPr>
                <w:color w:val="000000"/>
                <w:sz w:val="20"/>
                <w:lang w:eastAsia="en-GB"/>
              </w:rPr>
              <w:t>; g__; s__</w:t>
            </w:r>
          </w:p>
        </w:tc>
        <w:tc>
          <w:tcPr>
            <w:tcW w:w="2693" w:type="dxa"/>
            <w:vAlign w:val="center"/>
          </w:tcPr>
          <w:p w:rsidR="0098708B" w:rsidRPr="00FF71D6" w:rsidRDefault="0098708B" w:rsidP="000F51F8">
            <w:pPr>
              <w:jc w:val="center"/>
              <w:rPr>
                <w:i/>
                <w:iCs/>
                <w:color w:val="000000"/>
                <w:sz w:val="20"/>
              </w:rPr>
            </w:pPr>
            <w:proofErr w:type="spellStart"/>
            <w:r w:rsidRPr="00FF71D6">
              <w:rPr>
                <w:i/>
                <w:iCs/>
                <w:color w:val="000000"/>
                <w:sz w:val="20"/>
              </w:rPr>
              <w:t>Lachnospiraceae</w:t>
            </w:r>
            <w:proofErr w:type="spellEnd"/>
            <w:r w:rsidRPr="00FF71D6">
              <w:rPr>
                <w:i/>
                <w:iCs/>
                <w:color w:val="000000"/>
                <w:sz w:val="20"/>
              </w:rPr>
              <w:t xml:space="preserve"> sp.</w:t>
            </w:r>
          </w:p>
        </w:tc>
        <w:tc>
          <w:tcPr>
            <w:tcW w:w="1276" w:type="dxa"/>
            <w:vAlign w:val="center"/>
          </w:tcPr>
          <w:p w:rsidR="0098708B" w:rsidRPr="00FF71D6" w:rsidRDefault="0098708B" w:rsidP="000F51F8">
            <w:pPr>
              <w:jc w:val="center"/>
              <w:rPr>
                <w:color w:val="000000"/>
                <w:sz w:val="20"/>
              </w:rPr>
            </w:pPr>
            <w:r>
              <w:rPr>
                <w:color w:val="000000"/>
                <w:sz w:val="20"/>
              </w:rPr>
              <w:t>-0.09</w:t>
            </w:r>
          </w:p>
        </w:tc>
        <w:tc>
          <w:tcPr>
            <w:tcW w:w="850" w:type="dxa"/>
            <w:vAlign w:val="center"/>
          </w:tcPr>
          <w:p w:rsidR="0098708B" w:rsidRPr="00FF71D6" w:rsidRDefault="0098708B" w:rsidP="000F51F8">
            <w:pPr>
              <w:jc w:val="center"/>
              <w:rPr>
                <w:color w:val="000000"/>
                <w:sz w:val="20"/>
              </w:rPr>
            </w:pPr>
            <w:r>
              <w:rPr>
                <w:color w:val="000000"/>
                <w:sz w:val="20"/>
              </w:rPr>
              <w:t>0.010</w:t>
            </w:r>
          </w:p>
        </w:tc>
        <w:tc>
          <w:tcPr>
            <w:tcW w:w="567" w:type="dxa"/>
            <w:vAlign w:val="center"/>
          </w:tcPr>
          <w:p w:rsidR="0098708B" w:rsidRPr="00FF71D6" w:rsidRDefault="0098708B" w:rsidP="000F51F8">
            <w:pPr>
              <w:jc w:val="center"/>
              <w:rPr>
                <w:sz w:val="20"/>
              </w:rPr>
            </w:pPr>
            <w:r>
              <w:rPr>
                <w:sz w:val="20"/>
              </w:rPr>
              <w:t>947</w:t>
            </w:r>
          </w:p>
        </w:tc>
        <w:tc>
          <w:tcPr>
            <w:tcW w:w="1843" w:type="dxa"/>
            <w:vAlign w:val="center"/>
          </w:tcPr>
          <w:p w:rsidR="0098708B" w:rsidRPr="00FF71D6" w:rsidRDefault="0098708B" w:rsidP="000F51F8">
            <w:pPr>
              <w:jc w:val="center"/>
              <w:rPr>
                <w:color w:val="000000"/>
                <w:sz w:val="20"/>
              </w:rPr>
            </w:pPr>
            <w:r>
              <w:rPr>
                <w:color w:val="000000"/>
                <w:sz w:val="20"/>
              </w:rPr>
              <w:t>-0.3 (-0.5, -0.1</w:t>
            </w:r>
            <w:r w:rsidRPr="00FF71D6">
              <w:rPr>
                <w:color w:val="000000"/>
                <w:sz w:val="20"/>
              </w:rPr>
              <w:t>)</w:t>
            </w:r>
          </w:p>
        </w:tc>
        <w:tc>
          <w:tcPr>
            <w:tcW w:w="851" w:type="dxa"/>
            <w:vAlign w:val="center"/>
          </w:tcPr>
          <w:p w:rsidR="0098708B" w:rsidRPr="00FF71D6" w:rsidRDefault="0098708B" w:rsidP="000F51F8">
            <w:pPr>
              <w:jc w:val="center"/>
              <w:rPr>
                <w:color w:val="000000"/>
                <w:sz w:val="20"/>
              </w:rPr>
            </w:pPr>
            <w:r>
              <w:rPr>
                <w:color w:val="000000"/>
                <w:sz w:val="20"/>
              </w:rPr>
              <w:t>0.008</w:t>
            </w:r>
          </w:p>
        </w:tc>
        <w:tc>
          <w:tcPr>
            <w:tcW w:w="850" w:type="dxa"/>
            <w:vAlign w:val="center"/>
          </w:tcPr>
          <w:p w:rsidR="0098708B" w:rsidRPr="00FF71D6" w:rsidRDefault="0098708B" w:rsidP="000F51F8">
            <w:pPr>
              <w:jc w:val="center"/>
              <w:rPr>
                <w:color w:val="000000"/>
                <w:sz w:val="20"/>
              </w:rPr>
            </w:pPr>
            <w:r>
              <w:rPr>
                <w:color w:val="000000"/>
                <w:sz w:val="20"/>
              </w:rPr>
              <w:t>0.248</w:t>
            </w:r>
          </w:p>
        </w:tc>
      </w:tr>
      <w:tr w:rsidR="0098708B" w:rsidRPr="00FF71D6" w:rsidTr="000F51F8">
        <w:trPr>
          <w:trHeight w:val="454"/>
        </w:trPr>
        <w:tc>
          <w:tcPr>
            <w:tcW w:w="1809" w:type="dxa"/>
            <w:vAlign w:val="center"/>
          </w:tcPr>
          <w:p w:rsidR="0098708B" w:rsidRPr="00FF71D6" w:rsidRDefault="0098708B" w:rsidP="000F51F8">
            <w:pPr>
              <w:jc w:val="center"/>
              <w:rPr>
                <w:color w:val="000000"/>
                <w:sz w:val="20"/>
              </w:rPr>
            </w:pPr>
            <w:r w:rsidRPr="00FF71D6">
              <w:rPr>
                <w:color w:val="000000"/>
                <w:sz w:val="20"/>
              </w:rPr>
              <w:t>288932</w:t>
            </w:r>
          </w:p>
        </w:tc>
        <w:tc>
          <w:tcPr>
            <w:tcW w:w="3261" w:type="dxa"/>
            <w:vAlign w:val="center"/>
          </w:tcPr>
          <w:p w:rsidR="0098708B" w:rsidRPr="00FF71D6" w:rsidRDefault="0098708B" w:rsidP="000F51F8">
            <w:pPr>
              <w:jc w:val="center"/>
              <w:rPr>
                <w:color w:val="000000"/>
                <w:sz w:val="20"/>
                <w:lang w:eastAsia="en-GB"/>
              </w:rPr>
            </w:pPr>
            <w:r w:rsidRPr="00FF71D6">
              <w:rPr>
                <w:color w:val="000000"/>
                <w:sz w:val="20"/>
                <w:lang w:eastAsia="en-GB"/>
              </w:rPr>
              <w:t>g__</w:t>
            </w:r>
            <w:proofErr w:type="spellStart"/>
            <w:r w:rsidRPr="00FF71D6">
              <w:rPr>
                <w:color w:val="000000"/>
                <w:sz w:val="20"/>
                <w:lang w:eastAsia="en-GB"/>
              </w:rPr>
              <w:t>Prevotella</w:t>
            </w:r>
            <w:proofErr w:type="spellEnd"/>
            <w:r w:rsidRPr="00FF71D6">
              <w:rPr>
                <w:color w:val="000000"/>
                <w:sz w:val="20"/>
                <w:lang w:eastAsia="en-GB"/>
              </w:rPr>
              <w:t>; s__</w:t>
            </w:r>
            <w:proofErr w:type="spellStart"/>
            <w:r w:rsidRPr="00FF71D6">
              <w:rPr>
                <w:color w:val="000000"/>
                <w:sz w:val="20"/>
                <w:lang w:eastAsia="en-GB"/>
              </w:rPr>
              <w:t>copri</w:t>
            </w:r>
            <w:proofErr w:type="spellEnd"/>
          </w:p>
        </w:tc>
        <w:tc>
          <w:tcPr>
            <w:tcW w:w="2693" w:type="dxa"/>
            <w:vAlign w:val="center"/>
          </w:tcPr>
          <w:p w:rsidR="0098708B" w:rsidRPr="00FF71D6" w:rsidRDefault="0098708B" w:rsidP="000F51F8">
            <w:pPr>
              <w:jc w:val="center"/>
              <w:rPr>
                <w:i/>
                <w:iCs/>
                <w:color w:val="000000"/>
                <w:sz w:val="20"/>
              </w:rPr>
            </w:pPr>
            <w:proofErr w:type="spellStart"/>
            <w:r w:rsidRPr="00FF71D6">
              <w:rPr>
                <w:i/>
                <w:iCs/>
                <w:color w:val="000000"/>
                <w:sz w:val="20"/>
              </w:rPr>
              <w:t>Prevotella</w:t>
            </w:r>
            <w:proofErr w:type="spellEnd"/>
            <w:r w:rsidRPr="00FF71D6">
              <w:rPr>
                <w:i/>
                <w:iCs/>
                <w:color w:val="000000"/>
                <w:sz w:val="20"/>
              </w:rPr>
              <w:t xml:space="preserve"> </w:t>
            </w:r>
            <w:proofErr w:type="spellStart"/>
            <w:r w:rsidRPr="00FF71D6">
              <w:rPr>
                <w:i/>
                <w:iCs/>
                <w:color w:val="000000"/>
                <w:sz w:val="20"/>
              </w:rPr>
              <w:t>copri</w:t>
            </w:r>
            <w:proofErr w:type="spellEnd"/>
          </w:p>
        </w:tc>
        <w:tc>
          <w:tcPr>
            <w:tcW w:w="1276" w:type="dxa"/>
            <w:vAlign w:val="center"/>
          </w:tcPr>
          <w:p w:rsidR="0098708B" w:rsidRPr="00FF71D6" w:rsidRDefault="0098708B" w:rsidP="000F51F8">
            <w:pPr>
              <w:jc w:val="center"/>
              <w:rPr>
                <w:color w:val="000000"/>
                <w:sz w:val="20"/>
              </w:rPr>
            </w:pPr>
            <w:r>
              <w:rPr>
                <w:color w:val="000000"/>
                <w:sz w:val="20"/>
              </w:rPr>
              <w:t>-0.07</w:t>
            </w:r>
          </w:p>
        </w:tc>
        <w:tc>
          <w:tcPr>
            <w:tcW w:w="850" w:type="dxa"/>
            <w:vAlign w:val="center"/>
          </w:tcPr>
          <w:p w:rsidR="0098708B" w:rsidRPr="00FF71D6" w:rsidRDefault="0098708B" w:rsidP="000F51F8">
            <w:pPr>
              <w:jc w:val="center"/>
              <w:rPr>
                <w:color w:val="000000"/>
                <w:sz w:val="20"/>
              </w:rPr>
            </w:pPr>
            <w:r>
              <w:rPr>
                <w:color w:val="000000"/>
                <w:sz w:val="20"/>
              </w:rPr>
              <w:t>0.039</w:t>
            </w:r>
          </w:p>
        </w:tc>
        <w:tc>
          <w:tcPr>
            <w:tcW w:w="567" w:type="dxa"/>
            <w:vAlign w:val="center"/>
          </w:tcPr>
          <w:p w:rsidR="0098708B" w:rsidRPr="00FF71D6" w:rsidRDefault="0098708B" w:rsidP="000F51F8">
            <w:pPr>
              <w:jc w:val="center"/>
              <w:rPr>
                <w:sz w:val="20"/>
              </w:rPr>
            </w:pPr>
            <w:r>
              <w:rPr>
                <w:sz w:val="20"/>
              </w:rPr>
              <w:t>947</w:t>
            </w:r>
          </w:p>
        </w:tc>
        <w:tc>
          <w:tcPr>
            <w:tcW w:w="1843" w:type="dxa"/>
            <w:vAlign w:val="center"/>
          </w:tcPr>
          <w:p w:rsidR="0098708B" w:rsidRPr="00FF71D6" w:rsidRDefault="0098708B" w:rsidP="000F51F8">
            <w:pPr>
              <w:jc w:val="center"/>
              <w:rPr>
                <w:color w:val="000000"/>
                <w:sz w:val="20"/>
              </w:rPr>
            </w:pPr>
            <w:r w:rsidRPr="00FF71D6">
              <w:rPr>
                <w:color w:val="000000"/>
                <w:sz w:val="20"/>
              </w:rPr>
              <w:t>-0.1 (-0.2, -0.0)</w:t>
            </w:r>
          </w:p>
        </w:tc>
        <w:tc>
          <w:tcPr>
            <w:tcW w:w="851" w:type="dxa"/>
            <w:vAlign w:val="center"/>
          </w:tcPr>
          <w:p w:rsidR="0098708B" w:rsidRPr="00FF71D6" w:rsidRDefault="0098708B" w:rsidP="000F51F8">
            <w:pPr>
              <w:jc w:val="center"/>
              <w:rPr>
                <w:color w:val="000000"/>
                <w:sz w:val="20"/>
              </w:rPr>
            </w:pPr>
            <w:r>
              <w:rPr>
                <w:color w:val="000000"/>
                <w:sz w:val="20"/>
              </w:rPr>
              <w:t>0.048</w:t>
            </w:r>
          </w:p>
        </w:tc>
        <w:tc>
          <w:tcPr>
            <w:tcW w:w="850" w:type="dxa"/>
            <w:vAlign w:val="center"/>
          </w:tcPr>
          <w:p w:rsidR="0098708B" w:rsidRPr="00FF71D6" w:rsidRDefault="0098708B" w:rsidP="000F51F8">
            <w:pPr>
              <w:jc w:val="center"/>
              <w:rPr>
                <w:color w:val="000000"/>
                <w:sz w:val="20"/>
              </w:rPr>
            </w:pPr>
            <w:r>
              <w:rPr>
                <w:color w:val="000000"/>
                <w:sz w:val="20"/>
              </w:rPr>
              <w:t>0.744</w:t>
            </w:r>
          </w:p>
        </w:tc>
      </w:tr>
    </w:tbl>
    <w:p w:rsidR="0098708B" w:rsidRPr="00FF71D6" w:rsidRDefault="0098708B" w:rsidP="0098708B">
      <w:pPr>
        <w:spacing w:after="0"/>
        <w:jc w:val="both"/>
        <w:rPr>
          <w:sz w:val="18"/>
          <w:szCs w:val="18"/>
        </w:rPr>
      </w:pPr>
      <w:r w:rsidRPr="00FF71D6">
        <w:rPr>
          <w:sz w:val="18"/>
          <w:szCs w:val="18"/>
          <w:vertAlign w:val="superscript"/>
        </w:rPr>
        <w:t>1</w:t>
      </w:r>
      <w:r w:rsidRPr="00FF71D6">
        <w:rPr>
          <w:sz w:val="18"/>
          <w:szCs w:val="18"/>
        </w:rPr>
        <w:t xml:space="preserve"> P value calculated using Pearson’s correlation.</w:t>
      </w:r>
    </w:p>
    <w:p w:rsidR="0098708B" w:rsidRPr="00FF71D6" w:rsidRDefault="0098708B" w:rsidP="0098708B">
      <w:pPr>
        <w:spacing w:after="0"/>
      </w:pPr>
      <w:r w:rsidRPr="00FF71D6">
        <w:rPr>
          <w:sz w:val="18"/>
          <w:szCs w:val="18"/>
          <w:vertAlign w:val="superscript"/>
        </w:rPr>
        <w:t>2</w:t>
      </w:r>
      <w:r w:rsidRPr="00FF71D6">
        <w:rPr>
          <w:sz w:val="18"/>
          <w:szCs w:val="18"/>
        </w:rPr>
        <w:t xml:space="preserve"> Adjusted p-values were calculated using linear regression models. Regression coefficient shows the change in head circumference-for-age Z-score in relation to an increase in b</w:t>
      </w:r>
      <w:r>
        <w:rPr>
          <w:sz w:val="18"/>
          <w:szCs w:val="18"/>
        </w:rPr>
        <w:t>acterial load of one Log10 genome</w:t>
      </w:r>
      <w:r w:rsidRPr="00FF71D6">
        <w:rPr>
          <w:sz w:val="18"/>
          <w:szCs w:val="18"/>
        </w:rPr>
        <w:t>/µl. All models were adjusted for the intervention, maternal BMI at enrolment, maternal age, proxy for socioeconomic status, number of previous pregnancies, anaemia, site of enrolment, mode of delivery and time between delivery and placenta sampling.</w:t>
      </w:r>
      <w:r w:rsidRPr="00FF71D6">
        <w:t xml:space="preserve"> </w:t>
      </w:r>
    </w:p>
    <w:p w:rsidR="00D63BC8" w:rsidRDefault="00D63BC8">
      <w:bookmarkStart w:id="1" w:name="_GoBack"/>
      <w:bookmarkEnd w:id="1"/>
    </w:p>
    <w:sectPr w:rsidR="00D63BC8" w:rsidSect="00FF71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8B"/>
    <w:rsid w:val="00696ACF"/>
    <w:rsid w:val="0098708B"/>
    <w:rsid w:val="00A17B2E"/>
    <w:rsid w:val="00D63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8B"/>
    <w:pPr>
      <w:spacing w:line="252"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rsid w:val="0098708B"/>
    <w:pPr>
      <w:spacing w:after="0"/>
    </w:pPr>
    <w:rPr>
      <w:b/>
      <w:bCs/>
      <w:sz w:val="20"/>
    </w:rPr>
  </w:style>
  <w:style w:type="character" w:customStyle="1" w:styleId="CaptionChar">
    <w:name w:val="Caption Char"/>
    <w:basedOn w:val="DefaultParagraphFont"/>
    <w:link w:val="Caption"/>
    <w:uiPriority w:val="99"/>
    <w:rsid w:val="0098708B"/>
    <w:rPr>
      <w:rFonts w:ascii="Times New Roman" w:eastAsia="Times New Roman" w:hAnsi="Times New Roman" w:cs="Times New Roman"/>
      <w:b/>
      <w:bCs/>
      <w:sz w:val="20"/>
      <w:szCs w:val="20"/>
    </w:rPr>
  </w:style>
  <w:style w:type="table" w:styleId="TableGrid">
    <w:name w:val="Table Grid"/>
    <w:basedOn w:val="TableNormal"/>
    <w:uiPriority w:val="59"/>
    <w:rsid w:val="00987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8B"/>
    <w:pPr>
      <w:spacing w:line="252"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rsid w:val="0098708B"/>
    <w:pPr>
      <w:spacing w:after="0"/>
    </w:pPr>
    <w:rPr>
      <w:b/>
      <w:bCs/>
      <w:sz w:val="20"/>
    </w:rPr>
  </w:style>
  <w:style w:type="character" w:customStyle="1" w:styleId="CaptionChar">
    <w:name w:val="Caption Char"/>
    <w:basedOn w:val="DefaultParagraphFont"/>
    <w:link w:val="Caption"/>
    <w:uiPriority w:val="99"/>
    <w:rsid w:val="0098708B"/>
    <w:rPr>
      <w:rFonts w:ascii="Times New Roman" w:eastAsia="Times New Roman" w:hAnsi="Times New Roman" w:cs="Times New Roman"/>
      <w:b/>
      <w:bCs/>
      <w:sz w:val="20"/>
      <w:szCs w:val="20"/>
    </w:rPr>
  </w:style>
  <w:style w:type="table" w:styleId="TableGrid">
    <w:name w:val="Table Grid"/>
    <w:basedOn w:val="TableNormal"/>
    <w:uiPriority w:val="59"/>
    <w:rsid w:val="00987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882</Characters>
  <Application>Microsoft Office Word</Application>
  <DocSecurity>0</DocSecurity>
  <Lines>7</Lines>
  <Paragraphs>2</Paragraphs>
  <ScaleCrop>false</ScaleCrop>
  <Company>UCL</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Doyle</dc:creator>
  <cp:lastModifiedBy>Ronan Doyle</cp:lastModifiedBy>
  <cp:revision>1</cp:revision>
  <dcterms:created xsi:type="dcterms:W3CDTF">2016-01-20T16:23:00Z</dcterms:created>
  <dcterms:modified xsi:type="dcterms:W3CDTF">2016-01-20T16:25:00Z</dcterms:modified>
</cp:coreProperties>
</file>