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C113A" w:rsidRDefault="00AC113A">
      <w:pPr>
        <w:jc w:val="center"/>
      </w:pPr>
      <w:bookmarkStart w:id="0" w:name="_GoBack"/>
      <w:bookmarkEnd w:id="0"/>
      <w:r>
        <w:rPr>
          <w:b/>
          <w:bCs/>
          <w:sz w:val="36"/>
          <w:szCs w:val="36"/>
        </w:rPr>
        <w:t>Protocole de Recherche Clinique</w:t>
      </w:r>
    </w:p>
    <w:p w:rsidR="00AC113A" w:rsidRDefault="00AC113A">
      <w:pPr>
        <w:jc w:val="center"/>
      </w:pPr>
    </w:p>
    <w:p w:rsidR="00AC113A" w:rsidRDefault="00AC113A">
      <w:pPr>
        <w:jc w:val="center"/>
      </w:pPr>
    </w:p>
    <w:p w:rsidR="00AC113A" w:rsidRDefault="00AC113A">
      <w:pPr>
        <w:jc w:val="center"/>
      </w:pPr>
      <w:r>
        <w:t>Avis favorable du CPP le…/…/…</w:t>
      </w:r>
    </w:p>
    <w:p w:rsidR="00AC113A" w:rsidRDefault="00AC113A">
      <w:pPr>
        <w:jc w:val="center"/>
        <w:rPr>
          <w:rFonts w:cs="Times New Roman"/>
        </w:rPr>
      </w:pPr>
      <w:r>
        <w:t>Autorisation de l’ANSM le …/…/…</w:t>
      </w:r>
    </w:p>
    <w:p w:rsidR="00AC113A" w:rsidRDefault="00AC113A">
      <w:pPr>
        <w:pStyle w:val="Corpsdetexte"/>
        <w:spacing w:line="100" w:lineRule="atLeast"/>
        <w:rPr>
          <w:rFonts w:cs="Times New Roman"/>
        </w:rPr>
      </w:pPr>
    </w:p>
    <w:p w:rsidR="00D179C2" w:rsidRDefault="00AC113A">
      <w:pPr>
        <w:pStyle w:val="Corpsdetexte"/>
        <w:spacing w:line="100" w:lineRule="atLeast"/>
        <w:jc w:val="center"/>
        <w:rPr>
          <w:rFonts w:cs="Times New Roman"/>
        </w:rPr>
      </w:pPr>
      <w:r w:rsidRPr="00D0708D">
        <w:rPr>
          <w:rFonts w:cs="Times New Roman"/>
          <w:highlight w:val="lightGray"/>
        </w:rPr>
        <w:t>Version N</w:t>
      </w:r>
      <w:r w:rsidR="00304B16" w:rsidRPr="00D0708D">
        <w:rPr>
          <w:rFonts w:cs="Times New Roman"/>
          <w:b/>
          <w:highlight w:val="lightGray"/>
        </w:rPr>
        <w:t>°2</w:t>
      </w:r>
      <w:r w:rsidR="00640271" w:rsidRPr="00D0708D">
        <w:rPr>
          <w:rFonts w:cs="Times New Roman"/>
          <w:b/>
          <w:highlight w:val="lightGray"/>
        </w:rPr>
        <w:t>.</w:t>
      </w:r>
      <w:r w:rsidR="00367B71">
        <w:rPr>
          <w:rFonts w:cs="Times New Roman"/>
          <w:b/>
          <w:highlight w:val="lightGray"/>
        </w:rPr>
        <w:t>3</w:t>
      </w:r>
      <w:r w:rsidR="00367B71" w:rsidRPr="00D0708D">
        <w:rPr>
          <w:rFonts w:cs="Times New Roman"/>
          <w:b/>
          <w:highlight w:val="lightGray"/>
        </w:rPr>
        <w:t xml:space="preserve"> </w:t>
      </w:r>
      <w:r w:rsidRPr="00D0708D">
        <w:rPr>
          <w:rFonts w:cs="Times New Roman"/>
          <w:b/>
          <w:highlight w:val="lightGray"/>
        </w:rPr>
        <w:t xml:space="preserve">du </w:t>
      </w:r>
      <w:r w:rsidRPr="00D0708D">
        <w:rPr>
          <w:rFonts w:cs="Times New Roman"/>
          <w:highlight w:val="lightGray"/>
        </w:rPr>
        <w:t xml:space="preserve"> </w:t>
      </w:r>
      <w:r w:rsidR="00367B71">
        <w:rPr>
          <w:rFonts w:cs="Times New Roman"/>
          <w:highlight w:val="lightGray"/>
        </w:rPr>
        <w:t>13/03</w:t>
      </w:r>
      <w:r w:rsidR="00B10E28" w:rsidRPr="00D0708D">
        <w:rPr>
          <w:rFonts w:cs="Times New Roman"/>
          <w:highlight w:val="lightGray"/>
        </w:rPr>
        <w:t>/2014</w:t>
      </w:r>
    </w:p>
    <w:p w:rsidR="00AC113A" w:rsidRDefault="00AC113A">
      <w:pPr>
        <w:pStyle w:val="Corpsdetexte"/>
        <w:spacing w:line="100" w:lineRule="atLeast"/>
        <w:jc w:val="center"/>
        <w:rPr>
          <w:rFonts w:cs="Times New Roman"/>
        </w:rPr>
      </w:pPr>
    </w:p>
    <w:p w:rsidR="00AC113A" w:rsidRDefault="00AC113A">
      <w:pPr>
        <w:pStyle w:val="Corpsdetexte"/>
        <w:spacing w:line="100" w:lineRule="atLeast"/>
        <w:jc w:val="center"/>
        <w:rPr>
          <w:rFonts w:cs="Times New Roman"/>
          <w:b/>
          <w:caps/>
        </w:rPr>
      </w:pPr>
      <w:r>
        <w:rPr>
          <w:rFonts w:cs="Times New Roman"/>
        </w:rPr>
        <w:t>N° IDRCB :</w:t>
      </w:r>
      <w:r w:rsidR="00640271">
        <w:rPr>
          <w:rFonts w:cs="Times New Roman"/>
        </w:rPr>
        <w:t xml:space="preserve"> 2013-A01725-40</w:t>
      </w:r>
    </w:p>
    <w:p w:rsidR="00AC113A" w:rsidRDefault="00AC113A">
      <w:pPr>
        <w:pStyle w:val="Corpsdetexte"/>
        <w:spacing w:line="100" w:lineRule="atLeast"/>
        <w:rPr>
          <w:rFonts w:cs="Times New Roman"/>
          <w:b/>
          <w:caps/>
        </w:rPr>
      </w:pPr>
    </w:p>
    <w:p w:rsidR="00AC113A" w:rsidRDefault="00AC113A">
      <w:pPr>
        <w:pStyle w:val="Corpsdetexte"/>
        <w:pBdr>
          <w:top w:val="single" w:sz="4" w:space="1" w:color="000000"/>
          <w:left w:val="single" w:sz="4" w:space="4" w:color="000000"/>
          <w:bottom w:val="single" w:sz="4" w:space="1" w:color="000000"/>
          <w:right w:val="single" w:sz="4" w:space="4" w:color="000000"/>
        </w:pBdr>
        <w:spacing w:line="100" w:lineRule="atLeast"/>
        <w:jc w:val="center"/>
        <w:rPr>
          <w:rFonts w:cs="Times New Roman"/>
          <w:b/>
          <w:caps/>
        </w:rPr>
      </w:pPr>
    </w:p>
    <w:p w:rsidR="00AC113A" w:rsidRDefault="00AC113A">
      <w:pPr>
        <w:pStyle w:val="Corpsdetexte"/>
        <w:pBdr>
          <w:top w:val="single" w:sz="4" w:space="1" w:color="000000"/>
          <w:left w:val="single" w:sz="4" w:space="4" w:color="000000"/>
          <w:bottom w:val="single" w:sz="4" w:space="1" w:color="000000"/>
          <w:right w:val="single" w:sz="4" w:space="4" w:color="000000"/>
        </w:pBdr>
        <w:spacing w:line="100" w:lineRule="atLeast"/>
        <w:jc w:val="center"/>
        <w:rPr>
          <w:rFonts w:cs="Times New Roman"/>
        </w:rPr>
      </w:pPr>
      <w:r>
        <w:rPr>
          <w:rFonts w:cs="Times New Roman"/>
          <w:b/>
          <w:caps/>
        </w:rPr>
        <w:t>Etude descriptive du stress biologique et du stress percu chez les assistants de regulation médicale et les medecins lors du traitement d’un appel au centre 15</w:t>
      </w:r>
    </w:p>
    <w:p w:rsidR="00AC113A" w:rsidRDefault="00AC113A">
      <w:pPr>
        <w:pStyle w:val="Corpsdetexte"/>
        <w:pBdr>
          <w:top w:val="single" w:sz="4" w:space="1" w:color="000000"/>
          <w:left w:val="single" w:sz="4" w:space="4" w:color="000000"/>
          <w:bottom w:val="single" w:sz="4" w:space="1" w:color="000000"/>
          <w:right w:val="single" w:sz="4" w:space="4" w:color="000000"/>
        </w:pBdr>
        <w:spacing w:line="100" w:lineRule="atLeast"/>
        <w:jc w:val="center"/>
        <w:rPr>
          <w:rFonts w:cs="Times New Roman"/>
        </w:rPr>
      </w:pPr>
    </w:p>
    <w:p w:rsidR="00AC113A" w:rsidRDefault="00AC113A">
      <w:pPr>
        <w:pStyle w:val="Corpsdetexte"/>
        <w:spacing w:line="100" w:lineRule="atLeast"/>
        <w:rPr>
          <w:rFonts w:cs="Times New Roman"/>
        </w:rPr>
      </w:pPr>
    </w:p>
    <w:p w:rsidR="00AC113A" w:rsidRDefault="00AC113A"/>
    <w:p w:rsidR="00AC113A" w:rsidRDefault="00AC113A">
      <w:pPr>
        <w:jc w:val="both"/>
        <w:rPr>
          <w:bCs/>
        </w:rPr>
      </w:pPr>
      <w:r>
        <w:rPr>
          <w:b/>
          <w:bCs/>
        </w:rPr>
        <w:t>Promoteur :</w:t>
      </w:r>
    </w:p>
    <w:p w:rsidR="00AC113A" w:rsidRDefault="00AC113A">
      <w:pPr>
        <w:jc w:val="both"/>
        <w:rPr>
          <w:bCs/>
        </w:rPr>
      </w:pPr>
      <w:r>
        <w:rPr>
          <w:bCs/>
        </w:rPr>
        <w:t>CHR Metz-Thionville</w:t>
      </w:r>
    </w:p>
    <w:p w:rsidR="00AC113A" w:rsidRDefault="00AC113A">
      <w:pPr>
        <w:jc w:val="both"/>
        <w:rPr>
          <w:bCs/>
        </w:rPr>
      </w:pPr>
      <w:r>
        <w:rPr>
          <w:bCs/>
        </w:rPr>
        <w:t>Hôpital de Mercy</w:t>
      </w:r>
    </w:p>
    <w:p w:rsidR="00AC113A" w:rsidRDefault="00AC113A">
      <w:pPr>
        <w:jc w:val="both"/>
        <w:rPr>
          <w:bCs/>
        </w:rPr>
      </w:pPr>
      <w:r>
        <w:rPr>
          <w:bCs/>
        </w:rPr>
        <w:t>1, allée du château - CS 45001</w:t>
      </w:r>
    </w:p>
    <w:p w:rsidR="00AC113A" w:rsidRDefault="00AC113A">
      <w:pPr>
        <w:jc w:val="both"/>
        <w:rPr>
          <w:rFonts w:cs="Times New Roman"/>
          <w:b/>
        </w:rPr>
      </w:pPr>
      <w:r>
        <w:rPr>
          <w:bCs/>
        </w:rPr>
        <w:t>57085 Metz - cedex 03</w:t>
      </w:r>
    </w:p>
    <w:p w:rsidR="00AC113A" w:rsidRDefault="00AC113A">
      <w:pPr>
        <w:pStyle w:val="Corpsdetexte"/>
        <w:spacing w:line="100" w:lineRule="atLeast"/>
        <w:rPr>
          <w:rFonts w:cs="Times New Roman"/>
          <w:b/>
        </w:rPr>
      </w:pPr>
    </w:p>
    <w:p w:rsidR="00AC113A" w:rsidRDefault="00AC113A">
      <w:pPr>
        <w:pStyle w:val="Corpsdetexte"/>
        <w:spacing w:line="100" w:lineRule="atLeast"/>
        <w:rPr>
          <w:rFonts w:cs="Times New Roman"/>
          <w:b/>
        </w:rPr>
      </w:pPr>
    </w:p>
    <w:p w:rsidR="00AC113A" w:rsidRDefault="00AC113A">
      <w:pPr>
        <w:pStyle w:val="Corpsdetexte"/>
        <w:spacing w:line="100" w:lineRule="atLeast"/>
        <w:rPr>
          <w:rFonts w:cs="Times New Roman"/>
          <w:bCs/>
        </w:rPr>
      </w:pPr>
      <w:r>
        <w:rPr>
          <w:rFonts w:cs="Times New Roman"/>
          <w:b/>
        </w:rPr>
        <w:t>Investigateur principal :</w:t>
      </w:r>
    </w:p>
    <w:p w:rsidR="00AC113A" w:rsidRDefault="00AC113A">
      <w:pPr>
        <w:pStyle w:val="Corpsdetexte"/>
        <w:spacing w:line="100" w:lineRule="atLeast"/>
        <w:rPr>
          <w:rFonts w:cs="Times New Roman"/>
          <w:bCs/>
        </w:rPr>
      </w:pPr>
      <w:r>
        <w:rPr>
          <w:rFonts w:cs="Times New Roman"/>
          <w:bCs/>
        </w:rPr>
        <w:t xml:space="preserve"> Dr Michel AUSSEDAT</w:t>
      </w:r>
    </w:p>
    <w:p w:rsidR="00AC113A" w:rsidRDefault="00AC113A">
      <w:pPr>
        <w:jc w:val="both"/>
        <w:rPr>
          <w:rFonts w:cs="Times New Roman"/>
          <w:bCs/>
        </w:rPr>
      </w:pPr>
      <w:r>
        <w:rPr>
          <w:rFonts w:cs="Times New Roman"/>
          <w:bCs/>
        </w:rPr>
        <w:t xml:space="preserve"> Centre 15 </w:t>
      </w:r>
    </w:p>
    <w:p w:rsidR="00AC113A" w:rsidRDefault="00AC113A">
      <w:pPr>
        <w:jc w:val="both"/>
        <w:rPr>
          <w:bCs/>
        </w:rPr>
      </w:pPr>
      <w:r>
        <w:rPr>
          <w:rFonts w:cs="Times New Roman"/>
          <w:bCs/>
        </w:rPr>
        <w:t xml:space="preserve"> </w:t>
      </w:r>
      <w:r>
        <w:rPr>
          <w:bCs/>
        </w:rPr>
        <w:t xml:space="preserve">Hôpital de Mercy </w:t>
      </w:r>
    </w:p>
    <w:p w:rsidR="00AC113A" w:rsidRDefault="00AC113A">
      <w:pPr>
        <w:jc w:val="both"/>
        <w:rPr>
          <w:bCs/>
        </w:rPr>
      </w:pPr>
      <w:r>
        <w:rPr>
          <w:bCs/>
        </w:rPr>
        <w:t xml:space="preserve">1, allée du château - CS 45001  </w:t>
      </w:r>
    </w:p>
    <w:p w:rsidR="00AC113A" w:rsidRDefault="00AC113A">
      <w:pPr>
        <w:jc w:val="both"/>
        <w:rPr>
          <w:rFonts w:cs="Times New Roman"/>
          <w:bCs/>
        </w:rPr>
      </w:pPr>
      <w:r>
        <w:rPr>
          <w:bCs/>
        </w:rPr>
        <w:t>57085 Metz - cedex 03</w:t>
      </w:r>
    </w:p>
    <w:p w:rsidR="00AC113A" w:rsidRDefault="00AC113A">
      <w:pPr>
        <w:pStyle w:val="Corpsdetexte"/>
        <w:spacing w:line="100" w:lineRule="atLeast"/>
        <w:rPr>
          <w:rFonts w:cs="Times New Roman"/>
          <w:bCs/>
        </w:rPr>
      </w:pPr>
      <w:r>
        <w:rPr>
          <w:rFonts w:cs="Times New Roman"/>
          <w:bCs/>
        </w:rPr>
        <w:t>Téléphone : 03 87 55 36 22</w:t>
      </w:r>
    </w:p>
    <w:p w:rsidR="00AC113A" w:rsidRDefault="00AC113A">
      <w:pPr>
        <w:pStyle w:val="Corpsdetexte"/>
        <w:spacing w:line="100" w:lineRule="atLeast"/>
        <w:rPr>
          <w:rFonts w:cs="Times New Roman"/>
          <w:bCs/>
        </w:rPr>
      </w:pPr>
      <w:r>
        <w:rPr>
          <w:rFonts w:cs="Times New Roman"/>
          <w:bCs/>
        </w:rPr>
        <w:t>Adresse électronique : m.aussedat@chr-metz-thionville.fr</w:t>
      </w:r>
    </w:p>
    <w:p w:rsidR="00AC113A" w:rsidRDefault="00AC113A">
      <w:pPr>
        <w:pStyle w:val="Corpsdetexte"/>
        <w:spacing w:line="100" w:lineRule="atLeast"/>
        <w:rPr>
          <w:rFonts w:cs="Times New Roman"/>
          <w:bCs/>
        </w:rPr>
      </w:pPr>
    </w:p>
    <w:p w:rsidR="00AC113A" w:rsidRDefault="00AC113A">
      <w:pPr>
        <w:pStyle w:val="Corpsdetexte"/>
        <w:pageBreakBefore/>
        <w:spacing w:line="100" w:lineRule="atLeast"/>
        <w:rPr>
          <w:rFonts w:cs="Times New Roman"/>
          <w:bCs/>
        </w:rPr>
      </w:pPr>
    </w:p>
    <w:p w:rsidR="00AC113A" w:rsidRDefault="00AC113A">
      <w:pPr>
        <w:pStyle w:val="Corpsdetexte"/>
        <w:pBdr>
          <w:top w:val="single" w:sz="4" w:space="1" w:color="000000"/>
          <w:left w:val="single" w:sz="4" w:space="4" w:color="000000"/>
          <w:bottom w:val="single" w:sz="4" w:space="1" w:color="000000"/>
          <w:right w:val="single" w:sz="4" w:space="4" w:color="000000"/>
        </w:pBdr>
        <w:shd w:val="clear" w:color="auto" w:fill="FFFF99"/>
        <w:spacing w:line="100" w:lineRule="atLeast"/>
        <w:jc w:val="center"/>
        <w:rPr>
          <w:bCs/>
        </w:rPr>
      </w:pPr>
      <w:r>
        <w:rPr>
          <w:rFonts w:cs="Times New Roman"/>
          <w:b/>
          <w:bCs/>
          <w:sz w:val="32"/>
          <w:szCs w:val="32"/>
        </w:rPr>
        <w:t>PRINCIPAUX CORRESPONDANTS</w:t>
      </w:r>
    </w:p>
    <w:p w:rsidR="00AC113A" w:rsidRDefault="00AC113A">
      <w:pPr>
        <w:jc w:val="both"/>
        <w:rPr>
          <w:bCs/>
        </w:rPr>
      </w:pPr>
    </w:p>
    <w:p w:rsidR="00AC113A" w:rsidRDefault="00AC113A">
      <w:pPr>
        <w:jc w:val="both"/>
        <w:rPr>
          <w:bCs/>
        </w:rPr>
      </w:pPr>
    </w:p>
    <w:p w:rsidR="00AC113A" w:rsidRDefault="00AC113A">
      <w:pPr>
        <w:jc w:val="both"/>
        <w:rPr>
          <w:bCs/>
        </w:rPr>
      </w:pPr>
      <w:r>
        <w:rPr>
          <w:b/>
          <w:bCs/>
        </w:rPr>
        <w:t xml:space="preserve">Investigateur principal : </w:t>
      </w:r>
    </w:p>
    <w:p w:rsidR="00AC113A" w:rsidRDefault="00AC113A">
      <w:pPr>
        <w:jc w:val="both"/>
        <w:rPr>
          <w:bCs/>
        </w:rPr>
      </w:pPr>
    </w:p>
    <w:p w:rsidR="00AC113A" w:rsidRDefault="00AC113A">
      <w:pPr>
        <w:pStyle w:val="Corpsdetexte"/>
        <w:spacing w:line="100" w:lineRule="atLeast"/>
        <w:rPr>
          <w:rFonts w:cs="Times New Roman"/>
          <w:bCs/>
        </w:rPr>
      </w:pPr>
      <w:r>
        <w:rPr>
          <w:rFonts w:cs="Times New Roman"/>
          <w:bCs/>
        </w:rPr>
        <w:t xml:space="preserve"> Dr Michel AUSSEDAT</w:t>
      </w:r>
    </w:p>
    <w:p w:rsidR="00AC113A" w:rsidRDefault="00AC113A">
      <w:pPr>
        <w:jc w:val="both"/>
        <w:rPr>
          <w:bCs/>
        </w:rPr>
      </w:pPr>
      <w:r>
        <w:rPr>
          <w:rFonts w:cs="Times New Roman"/>
          <w:bCs/>
        </w:rPr>
        <w:t xml:space="preserve"> Centre 15 - </w:t>
      </w:r>
      <w:r>
        <w:rPr>
          <w:bCs/>
        </w:rPr>
        <w:t xml:space="preserve">Hôpital de Mercy </w:t>
      </w:r>
    </w:p>
    <w:p w:rsidR="00AC113A" w:rsidRDefault="00AC113A">
      <w:pPr>
        <w:jc w:val="both"/>
        <w:rPr>
          <w:bCs/>
        </w:rPr>
      </w:pPr>
      <w:r>
        <w:rPr>
          <w:bCs/>
        </w:rPr>
        <w:t xml:space="preserve">1, allée du château - CS 45001 </w:t>
      </w:r>
    </w:p>
    <w:p w:rsidR="00AC113A" w:rsidRDefault="00AC113A">
      <w:pPr>
        <w:jc w:val="both"/>
        <w:rPr>
          <w:rFonts w:cs="Times New Roman"/>
          <w:bCs/>
        </w:rPr>
      </w:pPr>
      <w:r>
        <w:rPr>
          <w:bCs/>
        </w:rPr>
        <w:t>57085 Metz - cedex 03</w:t>
      </w:r>
    </w:p>
    <w:p w:rsidR="00AC113A" w:rsidRDefault="00AC113A">
      <w:pPr>
        <w:pStyle w:val="Corpsdetexte"/>
        <w:spacing w:line="100" w:lineRule="atLeast"/>
        <w:rPr>
          <w:rFonts w:cs="Times New Roman"/>
          <w:bCs/>
        </w:rPr>
      </w:pPr>
      <w:r>
        <w:rPr>
          <w:rFonts w:cs="Times New Roman"/>
          <w:bCs/>
        </w:rPr>
        <w:t>Téléphone : 03 87 55 36 22</w:t>
      </w:r>
    </w:p>
    <w:p w:rsidR="00AC113A" w:rsidRDefault="00AC113A">
      <w:pPr>
        <w:pStyle w:val="Corpsdetexte"/>
        <w:spacing w:line="100" w:lineRule="atLeast"/>
        <w:rPr>
          <w:rFonts w:cs="Times New Roman"/>
          <w:bCs/>
        </w:rPr>
      </w:pPr>
      <w:r>
        <w:rPr>
          <w:rFonts w:cs="Times New Roman"/>
          <w:bCs/>
        </w:rPr>
        <w:t>Adresse électronique : m.aussedat@chr-metz-thionville.fr</w:t>
      </w:r>
    </w:p>
    <w:p w:rsidR="00AC113A" w:rsidRDefault="00AC113A">
      <w:pPr>
        <w:pStyle w:val="Corpsdetexte"/>
        <w:spacing w:line="100" w:lineRule="atLeast"/>
        <w:rPr>
          <w:rFonts w:cs="Times New Roman"/>
          <w:bCs/>
        </w:rPr>
      </w:pPr>
    </w:p>
    <w:p w:rsidR="00AC113A" w:rsidRDefault="00AC113A">
      <w:pPr>
        <w:jc w:val="both"/>
        <w:rPr>
          <w:bCs/>
        </w:rPr>
      </w:pPr>
    </w:p>
    <w:p w:rsidR="00AC113A" w:rsidRDefault="00AC113A" w:rsidP="00F81378">
      <w:pPr>
        <w:rPr>
          <w:bCs/>
        </w:rPr>
      </w:pPr>
      <w:r>
        <w:rPr>
          <w:b/>
          <w:bCs/>
        </w:rPr>
        <w:t xml:space="preserve">Chef de projet : </w:t>
      </w:r>
    </w:p>
    <w:p w:rsidR="00640271" w:rsidRDefault="00AC113A" w:rsidP="00F81378">
      <w:pPr>
        <w:pStyle w:val="Corpsdetexte"/>
        <w:spacing w:after="0"/>
        <w:rPr>
          <w:rFonts w:cs="Times New Roman"/>
          <w:bCs/>
        </w:rPr>
      </w:pPr>
      <w:r>
        <w:rPr>
          <w:rFonts w:cs="Times New Roman"/>
          <w:bCs/>
        </w:rPr>
        <w:t xml:space="preserve"> Sarah BEDINI</w:t>
      </w:r>
    </w:p>
    <w:p w:rsidR="00AC113A" w:rsidRDefault="00AC113A" w:rsidP="00F81378">
      <w:pPr>
        <w:pStyle w:val="Corpsdetexte"/>
        <w:spacing w:after="0"/>
        <w:rPr>
          <w:rFonts w:cs="Times New Roman"/>
          <w:bCs/>
        </w:rPr>
      </w:pPr>
      <w:r>
        <w:rPr>
          <w:rFonts w:cs="Times New Roman"/>
          <w:bCs/>
        </w:rPr>
        <w:t>6 rue des cygnes</w:t>
      </w:r>
    </w:p>
    <w:p w:rsidR="00AC113A" w:rsidRDefault="00AC113A" w:rsidP="00F81378">
      <w:pPr>
        <w:pStyle w:val="Corpsdetexte"/>
        <w:spacing w:after="0"/>
        <w:rPr>
          <w:rFonts w:cs="Times New Roman"/>
          <w:bCs/>
        </w:rPr>
      </w:pPr>
      <w:r>
        <w:rPr>
          <w:rFonts w:cs="Times New Roman"/>
          <w:bCs/>
        </w:rPr>
        <w:t xml:space="preserve">57360 </w:t>
      </w:r>
      <w:r w:rsidR="00640271">
        <w:rPr>
          <w:rFonts w:cs="Times New Roman"/>
          <w:bCs/>
        </w:rPr>
        <w:t>H</w:t>
      </w:r>
      <w:r>
        <w:rPr>
          <w:rFonts w:cs="Times New Roman"/>
          <w:bCs/>
        </w:rPr>
        <w:t>agondange</w:t>
      </w:r>
    </w:p>
    <w:p w:rsidR="00AC113A" w:rsidRDefault="00AC113A" w:rsidP="00F81378">
      <w:pPr>
        <w:pStyle w:val="Corpsdetexte"/>
        <w:spacing w:after="0"/>
        <w:rPr>
          <w:rFonts w:cs="Times New Roman"/>
          <w:bCs/>
        </w:rPr>
      </w:pPr>
      <w:r>
        <w:rPr>
          <w:rFonts w:cs="Times New Roman"/>
          <w:bCs/>
        </w:rPr>
        <w:t>Téléphone : 07 77 28 28 36</w:t>
      </w:r>
    </w:p>
    <w:p w:rsidR="00AC113A" w:rsidRDefault="00AC113A" w:rsidP="00F81378">
      <w:pPr>
        <w:pStyle w:val="Corpsdetexte"/>
        <w:spacing w:after="0"/>
      </w:pPr>
      <w:r>
        <w:rPr>
          <w:rFonts w:cs="Times New Roman"/>
          <w:bCs/>
        </w:rPr>
        <w:t>Adresse électronique : sarah.bedini3@gmail.com</w:t>
      </w:r>
    </w:p>
    <w:p w:rsidR="00AC113A" w:rsidRDefault="00AC113A">
      <w:pPr>
        <w:jc w:val="both"/>
      </w:pPr>
    </w:p>
    <w:p w:rsidR="00AC113A" w:rsidRDefault="00AC113A">
      <w:pPr>
        <w:jc w:val="both"/>
        <w:rPr>
          <w:bCs/>
        </w:rPr>
      </w:pPr>
    </w:p>
    <w:p w:rsidR="00AC113A" w:rsidRDefault="00AC113A">
      <w:pPr>
        <w:jc w:val="both"/>
        <w:rPr>
          <w:bCs/>
        </w:rPr>
      </w:pPr>
      <w:r>
        <w:rPr>
          <w:b/>
          <w:bCs/>
        </w:rPr>
        <w:t xml:space="preserve">Responsable de la recherche agissant pour le compte du promoteur et autorisé à signer le protocole et ses modifications éventuelles au nom du promoteur : </w:t>
      </w:r>
    </w:p>
    <w:p w:rsidR="00AC113A" w:rsidRDefault="00AC113A">
      <w:pPr>
        <w:jc w:val="both"/>
        <w:rPr>
          <w:bCs/>
        </w:rPr>
      </w:pPr>
      <w:r>
        <w:rPr>
          <w:bCs/>
        </w:rPr>
        <w:t>Véronique ANATOLE TOUZET</w:t>
      </w:r>
    </w:p>
    <w:p w:rsidR="00AC113A" w:rsidRDefault="00AC113A">
      <w:pPr>
        <w:jc w:val="both"/>
        <w:rPr>
          <w:bCs/>
        </w:rPr>
      </w:pPr>
      <w:r>
        <w:rPr>
          <w:bCs/>
        </w:rPr>
        <w:t>Directrice Générale</w:t>
      </w:r>
    </w:p>
    <w:p w:rsidR="00AC113A" w:rsidRDefault="00AC113A">
      <w:pPr>
        <w:jc w:val="both"/>
        <w:rPr>
          <w:bCs/>
        </w:rPr>
      </w:pPr>
      <w:r>
        <w:rPr>
          <w:bCs/>
        </w:rPr>
        <w:t>CHR Metz-Thionville</w:t>
      </w:r>
    </w:p>
    <w:p w:rsidR="00AC113A" w:rsidRDefault="00AC113A">
      <w:pPr>
        <w:jc w:val="both"/>
        <w:rPr>
          <w:bCs/>
        </w:rPr>
      </w:pPr>
      <w:r>
        <w:rPr>
          <w:bCs/>
        </w:rPr>
        <w:t>Hôpital de Mercy</w:t>
      </w:r>
    </w:p>
    <w:p w:rsidR="00AC113A" w:rsidRDefault="00AC113A">
      <w:pPr>
        <w:jc w:val="both"/>
        <w:rPr>
          <w:bCs/>
        </w:rPr>
      </w:pPr>
      <w:r>
        <w:rPr>
          <w:bCs/>
        </w:rPr>
        <w:t>1, allée du château - CS 45001</w:t>
      </w:r>
    </w:p>
    <w:p w:rsidR="00AC113A" w:rsidRDefault="00AC113A">
      <w:pPr>
        <w:jc w:val="both"/>
        <w:rPr>
          <w:rFonts w:cs="Times New Roman"/>
          <w:bCs/>
        </w:rPr>
      </w:pPr>
      <w:r>
        <w:rPr>
          <w:bCs/>
        </w:rPr>
        <w:t>57085 Metz - cedex 03</w:t>
      </w:r>
    </w:p>
    <w:p w:rsidR="00AC113A" w:rsidRDefault="00AC113A">
      <w:pPr>
        <w:pStyle w:val="Corpsdetexte"/>
        <w:spacing w:line="100" w:lineRule="atLeast"/>
        <w:rPr>
          <w:rFonts w:cs="Times New Roman"/>
          <w:bCs/>
        </w:rPr>
      </w:pPr>
    </w:p>
    <w:p w:rsidR="00AC113A" w:rsidRDefault="00AC113A"/>
    <w:p w:rsidR="00AC113A" w:rsidRDefault="00AC113A"/>
    <w:p w:rsidR="00AC113A" w:rsidRDefault="00AC113A">
      <w:r>
        <w:rPr>
          <w:b/>
        </w:rPr>
        <w:t xml:space="preserve">Plateforme d’Appui à la Recherche Clinique (PARC) du CHR Metz-Thionville : </w:t>
      </w:r>
    </w:p>
    <w:p w:rsidR="00AC113A" w:rsidRDefault="00AC113A"/>
    <w:p w:rsidR="00AC113A" w:rsidRDefault="00AC113A">
      <w:r>
        <w:t xml:space="preserve">Médecin coordonnateur : </w:t>
      </w:r>
    </w:p>
    <w:p w:rsidR="00AC113A" w:rsidRDefault="00AC113A"/>
    <w:p w:rsidR="00AC113A" w:rsidRDefault="00AC113A">
      <w:r>
        <w:t xml:space="preserve"> Docteur Christophe GOETZ</w:t>
      </w:r>
    </w:p>
    <w:p w:rsidR="00AC113A" w:rsidRDefault="00AC113A">
      <w:r>
        <w:t xml:space="preserve"> Hôpital de Mercy, </w:t>
      </w:r>
    </w:p>
    <w:p w:rsidR="00AC113A" w:rsidRDefault="00AC113A">
      <w:r>
        <w:t>1 allée du Château - CS 45001</w:t>
      </w:r>
    </w:p>
    <w:p w:rsidR="00AC113A" w:rsidRDefault="00AC113A">
      <w:r>
        <w:t>57085 METZ cedex 03</w:t>
      </w:r>
    </w:p>
    <w:p w:rsidR="00AC113A" w:rsidRDefault="00AC113A">
      <w:r>
        <w:t xml:space="preserve">Tél : 03 87 55 37 46 </w:t>
      </w:r>
    </w:p>
    <w:p w:rsidR="00AC113A" w:rsidRDefault="00AC113A">
      <w:pPr>
        <w:rPr>
          <w:rFonts w:cs="Times New Roman"/>
          <w:bCs/>
        </w:rPr>
      </w:pPr>
      <w:r>
        <w:t xml:space="preserve">Mail : c.goetz@chr-metz-thionville.fr </w:t>
      </w:r>
    </w:p>
    <w:p w:rsidR="00AC113A" w:rsidRDefault="00AC113A">
      <w:pPr>
        <w:pStyle w:val="Corpsdetexte"/>
        <w:spacing w:line="100" w:lineRule="atLeast"/>
        <w:rPr>
          <w:rFonts w:cs="Times New Roman"/>
          <w:bCs/>
        </w:rPr>
      </w:pPr>
    </w:p>
    <w:p w:rsidR="00AC113A" w:rsidRDefault="00AC113A">
      <w:pPr>
        <w:jc w:val="center"/>
        <w:rPr>
          <w:b/>
          <w:bCs/>
        </w:rPr>
      </w:pPr>
    </w:p>
    <w:p w:rsidR="00AC113A" w:rsidRDefault="00AC113A">
      <w:pPr>
        <w:pStyle w:val="Titre"/>
        <w:pageBreakBefore/>
        <w:spacing w:before="240"/>
      </w:pPr>
      <w:r>
        <w:rPr>
          <w:caps/>
        </w:rPr>
        <w:lastRenderedPageBreak/>
        <w:t>Historique des mises à jour du protocole</w:t>
      </w:r>
    </w:p>
    <w:p w:rsidR="00AC113A" w:rsidRDefault="00AC113A">
      <w:pPr>
        <w:pStyle w:val="Titre"/>
        <w:spacing w:before="120"/>
      </w:pPr>
    </w:p>
    <w:tbl>
      <w:tblPr>
        <w:tblW w:w="0" w:type="auto"/>
        <w:tblInd w:w="-15" w:type="dxa"/>
        <w:tblLayout w:type="fixed"/>
        <w:tblLook w:val="0000" w:firstRow="0" w:lastRow="0" w:firstColumn="0" w:lastColumn="0" w:noHBand="0" w:noVBand="0"/>
      </w:tblPr>
      <w:tblGrid>
        <w:gridCol w:w="1691"/>
        <w:gridCol w:w="1691"/>
        <w:gridCol w:w="6264"/>
      </w:tblGrid>
      <w:tr w:rsidR="00AC113A">
        <w:trPr>
          <w:cantSplit/>
          <w:trHeight w:val="570"/>
        </w:trPr>
        <w:tc>
          <w:tcPr>
            <w:tcW w:w="1691" w:type="dxa"/>
            <w:tcBorders>
              <w:top w:val="single" w:sz="4" w:space="0" w:color="000000"/>
              <w:left w:val="single" w:sz="4" w:space="0" w:color="000000"/>
              <w:bottom w:val="single" w:sz="4" w:space="0" w:color="000000"/>
            </w:tcBorders>
            <w:shd w:val="clear" w:color="auto" w:fill="E0E0E0"/>
            <w:vAlign w:val="center"/>
          </w:tcPr>
          <w:p w:rsidR="00AC113A" w:rsidRDefault="00AC113A">
            <w:pPr>
              <w:pStyle w:val="Titre"/>
              <w:rPr>
                <w:bCs/>
                <w:smallCaps/>
                <w:sz w:val="24"/>
                <w:szCs w:val="24"/>
              </w:rPr>
            </w:pPr>
            <w:r>
              <w:rPr>
                <w:bCs/>
                <w:smallCaps/>
                <w:sz w:val="24"/>
                <w:szCs w:val="24"/>
              </w:rPr>
              <w:t>Version</w:t>
            </w:r>
          </w:p>
        </w:tc>
        <w:tc>
          <w:tcPr>
            <w:tcW w:w="1691" w:type="dxa"/>
            <w:tcBorders>
              <w:top w:val="single" w:sz="4" w:space="0" w:color="000000"/>
              <w:left w:val="single" w:sz="4" w:space="0" w:color="000000"/>
              <w:bottom w:val="single" w:sz="4" w:space="0" w:color="000000"/>
            </w:tcBorders>
            <w:shd w:val="clear" w:color="auto" w:fill="E0E0E0"/>
            <w:vAlign w:val="center"/>
          </w:tcPr>
          <w:p w:rsidR="00AC113A" w:rsidRDefault="00AC113A">
            <w:pPr>
              <w:pStyle w:val="Titre"/>
              <w:rPr>
                <w:bCs/>
                <w:smallCaps/>
                <w:sz w:val="24"/>
                <w:szCs w:val="24"/>
              </w:rPr>
            </w:pPr>
            <w:r>
              <w:rPr>
                <w:bCs/>
                <w:smallCaps/>
                <w:sz w:val="24"/>
                <w:szCs w:val="24"/>
              </w:rPr>
              <w:t>Date</w:t>
            </w:r>
          </w:p>
        </w:tc>
        <w:tc>
          <w:tcPr>
            <w:tcW w:w="6264"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AC113A" w:rsidRDefault="00AC113A">
            <w:pPr>
              <w:pStyle w:val="Titre"/>
              <w:rPr>
                <w:b w:val="0"/>
                <w:bCs/>
                <w:smallCaps/>
                <w:sz w:val="22"/>
                <w:szCs w:val="22"/>
              </w:rPr>
            </w:pPr>
            <w:r>
              <w:rPr>
                <w:bCs/>
                <w:smallCaps/>
                <w:sz w:val="24"/>
                <w:szCs w:val="24"/>
              </w:rPr>
              <w:t>Raison de la mise à jour</w:t>
            </w:r>
          </w:p>
        </w:tc>
      </w:tr>
      <w:tr w:rsidR="00AC113A">
        <w:trPr>
          <w:cantSplit/>
          <w:trHeight w:val="570"/>
        </w:trPr>
        <w:tc>
          <w:tcPr>
            <w:tcW w:w="1691" w:type="dxa"/>
            <w:tcBorders>
              <w:top w:val="single" w:sz="4" w:space="0" w:color="000000"/>
              <w:left w:val="single" w:sz="4" w:space="0" w:color="000000"/>
              <w:bottom w:val="single" w:sz="4" w:space="0" w:color="000000"/>
            </w:tcBorders>
            <w:shd w:val="clear" w:color="auto" w:fill="auto"/>
            <w:vAlign w:val="center"/>
          </w:tcPr>
          <w:p w:rsidR="00AC113A" w:rsidRDefault="00AC113A">
            <w:pPr>
              <w:pStyle w:val="Titre"/>
              <w:snapToGrid w:val="0"/>
              <w:rPr>
                <w:b w:val="0"/>
                <w:bCs/>
                <w:smallCaps/>
                <w:sz w:val="22"/>
                <w:szCs w:val="22"/>
              </w:rPr>
            </w:pPr>
          </w:p>
        </w:tc>
        <w:tc>
          <w:tcPr>
            <w:tcW w:w="1691" w:type="dxa"/>
            <w:tcBorders>
              <w:top w:val="single" w:sz="4" w:space="0" w:color="000000"/>
              <w:left w:val="single" w:sz="4" w:space="0" w:color="000000"/>
              <w:bottom w:val="single" w:sz="4" w:space="0" w:color="000000"/>
            </w:tcBorders>
            <w:shd w:val="clear" w:color="auto" w:fill="auto"/>
            <w:vAlign w:val="center"/>
          </w:tcPr>
          <w:p w:rsidR="00AC113A" w:rsidRDefault="00AC113A">
            <w:pPr>
              <w:pStyle w:val="Titre"/>
              <w:snapToGrid w:val="0"/>
              <w:rPr>
                <w:b w:val="0"/>
                <w:bCs/>
                <w:sz w:val="22"/>
                <w:szCs w:val="22"/>
              </w:rPr>
            </w:pPr>
          </w:p>
        </w:tc>
        <w:tc>
          <w:tcPr>
            <w:tcW w:w="6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113A" w:rsidRDefault="00AC113A">
            <w:pPr>
              <w:pStyle w:val="Titre"/>
              <w:snapToGrid w:val="0"/>
              <w:jc w:val="left"/>
              <w:rPr>
                <w:b w:val="0"/>
                <w:bCs/>
                <w:sz w:val="22"/>
                <w:szCs w:val="22"/>
              </w:rPr>
            </w:pPr>
          </w:p>
        </w:tc>
      </w:tr>
      <w:tr w:rsidR="00AC113A">
        <w:trPr>
          <w:cantSplit/>
          <w:trHeight w:val="570"/>
        </w:trPr>
        <w:tc>
          <w:tcPr>
            <w:tcW w:w="1691" w:type="dxa"/>
            <w:tcBorders>
              <w:top w:val="single" w:sz="4" w:space="0" w:color="000000"/>
              <w:left w:val="single" w:sz="4" w:space="0" w:color="000000"/>
              <w:bottom w:val="single" w:sz="4" w:space="0" w:color="000000"/>
            </w:tcBorders>
            <w:shd w:val="clear" w:color="auto" w:fill="auto"/>
            <w:vAlign w:val="center"/>
          </w:tcPr>
          <w:p w:rsidR="00AC113A" w:rsidRDefault="00AC113A">
            <w:pPr>
              <w:pStyle w:val="Titre"/>
              <w:snapToGrid w:val="0"/>
              <w:rPr>
                <w:b w:val="0"/>
                <w:bCs/>
                <w:sz w:val="22"/>
                <w:szCs w:val="22"/>
              </w:rPr>
            </w:pPr>
          </w:p>
        </w:tc>
        <w:tc>
          <w:tcPr>
            <w:tcW w:w="1691" w:type="dxa"/>
            <w:tcBorders>
              <w:top w:val="single" w:sz="4" w:space="0" w:color="000000"/>
              <w:left w:val="single" w:sz="4" w:space="0" w:color="000000"/>
              <w:bottom w:val="single" w:sz="4" w:space="0" w:color="000000"/>
            </w:tcBorders>
            <w:shd w:val="clear" w:color="auto" w:fill="auto"/>
            <w:vAlign w:val="center"/>
          </w:tcPr>
          <w:p w:rsidR="00AC113A" w:rsidRDefault="00AC113A">
            <w:pPr>
              <w:pStyle w:val="Titre"/>
              <w:snapToGrid w:val="0"/>
              <w:rPr>
                <w:b w:val="0"/>
                <w:bCs/>
                <w:sz w:val="22"/>
                <w:szCs w:val="22"/>
              </w:rPr>
            </w:pPr>
          </w:p>
        </w:tc>
        <w:tc>
          <w:tcPr>
            <w:tcW w:w="6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113A" w:rsidRDefault="00AC113A">
            <w:pPr>
              <w:pStyle w:val="Titre"/>
              <w:snapToGrid w:val="0"/>
              <w:jc w:val="left"/>
              <w:rPr>
                <w:b w:val="0"/>
                <w:bCs/>
                <w:sz w:val="22"/>
                <w:szCs w:val="22"/>
              </w:rPr>
            </w:pPr>
          </w:p>
        </w:tc>
      </w:tr>
      <w:tr w:rsidR="00AC113A">
        <w:trPr>
          <w:cantSplit/>
          <w:trHeight w:val="570"/>
        </w:trPr>
        <w:tc>
          <w:tcPr>
            <w:tcW w:w="1691" w:type="dxa"/>
            <w:tcBorders>
              <w:top w:val="single" w:sz="4" w:space="0" w:color="000000"/>
              <w:left w:val="single" w:sz="4" w:space="0" w:color="000000"/>
              <w:bottom w:val="single" w:sz="4" w:space="0" w:color="000000"/>
            </w:tcBorders>
            <w:shd w:val="clear" w:color="auto" w:fill="auto"/>
            <w:vAlign w:val="center"/>
          </w:tcPr>
          <w:p w:rsidR="00AC113A" w:rsidRDefault="00AC113A">
            <w:pPr>
              <w:pStyle w:val="Titre"/>
              <w:snapToGrid w:val="0"/>
              <w:rPr>
                <w:b w:val="0"/>
                <w:bCs/>
                <w:sz w:val="22"/>
                <w:szCs w:val="22"/>
              </w:rPr>
            </w:pPr>
          </w:p>
        </w:tc>
        <w:tc>
          <w:tcPr>
            <w:tcW w:w="1691" w:type="dxa"/>
            <w:tcBorders>
              <w:top w:val="single" w:sz="4" w:space="0" w:color="000000"/>
              <w:left w:val="single" w:sz="4" w:space="0" w:color="000000"/>
              <w:bottom w:val="single" w:sz="4" w:space="0" w:color="000000"/>
            </w:tcBorders>
            <w:shd w:val="clear" w:color="auto" w:fill="auto"/>
            <w:vAlign w:val="center"/>
          </w:tcPr>
          <w:p w:rsidR="00AC113A" w:rsidRDefault="00AC113A">
            <w:pPr>
              <w:pStyle w:val="Titre"/>
              <w:snapToGrid w:val="0"/>
              <w:rPr>
                <w:b w:val="0"/>
                <w:bCs/>
                <w:sz w:val="22"/>
                <w:szCs w:val="22"/>
              </w:rPr>
            </w:pPr>
          </w:p>
        </w:tc>
        <w:tc>
          <w:tcPr>
            <w:tcW w:w="6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113A" w:rsidRDefault="00AC113A">
            <w:pPr>
              <w:tabs>
                <w:tab w:val="left" w:pos="2552"/>
                <w:tab w:val="right" w:pos="9072"/>
              </w:tabs>
              <w:snapToGrid w:val="0"/>
              <w:rPr>
                <w:rFonts w:ascii="Arial" w:hAnsi="Arial" w:cs="Arial"/>
                <w:sz w:val="22"/>
                <w:szCs w:val="22"/>
              </w:rPr>
            </w:pPr>
          </w:p>
        </w:tc>
      </w:tr>
      <w:tr w:rsidR="00AC113A">
        <w:trPr>
          <w:cantSplit/>
          <w:trHeight w:val="570"/>
        </w:trPr>
        <w:tc>
          <w:tcPr>
            <w:tcW w:w="1691" w:type="dxa"/>
            <w:tcBorders>
              <w:top w:val="single" w:sz="4" w:space="0" w:color="000000"/>
              <w:left w:val="single" w:sz="4" w:space="0" w:color="000000"/>
              <w:bottom w:val="single" w:sz="4" w:space="0" w:color="000000"/>
            </w:tcBorders>
            <w:shd w:val="clear" w:color="auto" w:fill="auto"/>
            <w:vAlign w:val="center"/>
          </w:tcPr>
          <w:p w:rsidR="00AC113A" w:rsidRDefault="00AC113A">
            <w:pPr>
              <w:pStyle w:val="Titre"/>
              <w:snapToGrid w:val="0"/>
              <w:rPr>
                <w:b w:val="0"/>
                <w:bCs/>
                <w:sz w:val="22"/>
                <w:szCs w:val="22"/>
              </w:rPr>
            </w:pPr>
          </w:p>
        </w:tc>
        <w:tc>
          <w:tcPr>
            <w:tcW w:w="1691" w:type="dxa"/>
            <w:tcBorders>
              <w:top w:val="single" w:sz="4" w:space="0" w:color="000000"/>
              <w:left w:val="single" w:sz="4" w:space="0" w:color="000000"/>
              <w:bottom w:val="single" w:sz="4" w:space="0" w:color="000000"/>
            </w:tcBorders>
            <w:shd w:val="clear" w:color="auto" w:fill="auto"/>
            <w:vAlign w:val="center"/>
          </w:tcPr>
          <w:p w:rsidR="00AC113A" w:rsidRDefault="00AC113A">
            <w:pPr>
              <w:pStyle w:val="Titre"/>
              <w:snapToGrid w:val="0"/>
              <w:rPr>
                <w:b w:val="0"/>
                <w:bCs/>
                <w:sz w:val="22"/>
                <w:szCs w:val="22"/>
              </w:rPr>
            </w:pPr>
          </w:p>
        </w:tc>
        <w:tc>
          <w:tcPr>
            <w:tcW w:w="6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113A" w:rsidRDefault="00AC113A">
            <w:pPr>
              <w:tabs>
                <w:tab w:val="left" w:pos="2552"/>
                <w:tab w:val="right" w:pos="9072"/>
              </w:tabs>
              <w:snapToGrid w:val="0"/>
              <w:rPr>
                <w:rFonts w:ascii="Arial" w:hAnsi="Arial" w:cs="Arial"/>
                <w:sz w:val="22"/>
                <w:szCs w:val="22"/>
              </w:rPr>
            </w:pPr>
          </w:p>
        </w:tc>
      </w:tr>
    </w:tbl>
    <w:p w:rsidR="00AC113A" w:rsidRDefault="00AC113A">
      <w:pPr>
        <w:jc w:val="center"/>
        <w:rPr>
          <w:b/>
          <w:bCs/>
        </w:rPr>
      </w:pPr>
    </w:p>
    <w:p w:rsidR="00AC113A" w:rsidRDefault="00AC113A">
      <w:pPr>
        <w:pageBreakBefore/>
        <w:jc w:val="center"/>
        <w:rPr>
          <w:b/>
          <w:bCs/>
        </w:rPr>
      </w:pPr>
    </w:p>
    <w:p w:rsidR="00AC113A" w:rsidRDefault="00AC113A">
      <w:pPr>
        <w:jc w:val="center"/>
        <w:rPr>
          <w:b/>
          <w:bCs/>
        </w:rPr>
      </w:pPr>
    </w:p>
    <w:p w:rsidR="00AC113A" w:rsidRDefault="00AC113A">
      <w:pPr>
        <w:jc w:val="center"/>
        <w:rPr>
          <w:b/>
          <w:sz w:val="32"/>
          <w:szCs w:val="32"/>
        </w:rPr>
      </w:pPr>
      <w:r>
        <w:rPr>
          <w:b/>
          <w:sz w:val="32"/>
          <w:szCs w:val="32"/>
        </w:rPr>
        <w:t>SOMMAIRE</w:t>
      </w:r>
    </w:p>
    <w:p w:rsidR="00AC113A" w:rsidRDefault="00AC113A">
      <w:pPr>
        <w:rPr>
          <w:b/>
          <w:sz w:val="32"/>
          <w:szCs w:val="32"/>
        </w:rPr>
      </w:pPr>
    </w:p>
    <w:p w:rsidR="00AC113A" w:rsidRDefault="00AC113A">
      <w:pPr>
        <w:rPr>
          <w:b/>
          <w:sz w:val="32"/>
          <w:szCs w:val="32"/>
        </w:rPr>
      </w:pPr>
    </w:p>
    <w:p w:rsidR="00AC113A" w:rsidRDefault="00AC113A">
      <w:pPr>
        <w:rPr>
          <w:rFonts w:cs="Times New Roman"/>
          <w:b/>
        </w:rPr>
      </w:pPr>
      <w:r>
        <w:rPr>
          <w:b/>
        </w:rPr>
        <w:t>1. RESUME DU PROTOCOLE</w:t>
      </w:r>
    </w:p>
    <w:p w:rsidR="00AC113A" w:rsidRDefault="00AC113A">
      <w:pPr>
        <w:pStyle w:val="Corpsdetexte"/>
        <w:spacing w:line="100" w:lineRule="atLeast"/>
        <w:rPr>
          <w:rFonts w:cs="Times New Roman"/>
          <w:b/>
        </w:rPr>
      </w:pPr>
    </w:p>
    <w:p w:rsidR="00AC113A" w:rsidRDefault="00AC113A">
      <w:pPr>
        <w:pStyle w:val="Corpsdetexte"/>
        <w:spacing w:line="100" w:lineRule="atLeast"/>
        <w:rPr>
          <w:rFonts w:cs="Times New Roman"/>
          <w:bCs/>
        </w:rPr>
      </w:pPr>
      <w:r>
        <w:rPr>
          <w:rFonts w:cs="Times New Roman"/>
          <w:b/>
          <w:caps/>
        </w:rPr>
        <w:t>2. Justification scientifique et description générale de la recherche</w:t>
      </w:r>
    </w:p>
    <w:p w:rsidR="00AC113A" w:rsidRDefault="00AC113A">
      <w:pPr>
        <w:pStyle w:val="Corpsdetexte"/>
        <w:spacing w:line="100" w:lineRule="atLeast"/>
        <w:rPr>
          <w:rFonts w:cs="Times New Roman"/>
          <w:bCs/>
        </w:rPr>
      </w:pPr>
    </w:p>
    <w:p w:rsidR="00AC113A" w:rsidRDefault="00AC113A">
      <w:pPr>
        <w:jc w:val="both"/>
        <w:rPr>
          <w:rFonts w:cs="Times New Roman"/>
          <w:bCs/>
        </w:rPr>
      </w:pPr>
      <w:r>
        <w:rPr>
          <w:b/>
          <w:caps/>
        </w:rPr>
        <w:t>3. Objectifs de la recherche</w:t>
      </w:r>
    </w:p>
    <w:p w:rsidR="00AC113A" w:rsidRDefault="00AC113A">
      <w:pPr>
        <w:pStyle w:val="Corpsdetexte"/>
        <w:spacing w:line="100" w:lineRule="atLeast"/>
        <w:rPr>
          <w:rFonts w:cs="Times New Roman"/>
          <w:bCs/>
        </w:rPr>
      </w:pPr>
    </w:p>
    <w:p w:rsidR="00AC113A" w:rsidRDefault="00AC113A">
      <w:pPr>
        <w:jc w:val="both"/>
        <w:rPr>
          <w:rFonts w:cs="Times New Roman"/>
          <w:bCs/>
        </w:rPr>
      </w:pPr>
      <w:r>
        <w:rPr>
          <w:b/>
          <w:caps/>
        </w:rPr>
        <w:t>4. Conception de la recherche</w:t>
      </w:r>
    </w:p>
    <w:p w:rsidR="00AC113A" w:rsidRDefault="00AC113A">
      <w:pPr>
        <w:pStyle w:val="Corpsdetexte"/>
        <w:spacing w:line="100" w:lineRule="atLeast"/>
        <w:rPr>
          <w:rFonts w:cs="Times New Roman"/>
          <w:bCs/>
        </w:rPr>
      </w:pPr>
    </w:p>
    <w:p w:rsidR="00AC113A" w:rsidRDefault="00AC113A">
      <w:pPr>
        <w:jc w:val="both"/>
        <w:rPr>
          <w:rFonts w:cs="Times New Roman"/>
          <w:bCs/>
        </w:rPr>
      </w:pPr>
      <w:r>
        <w:rPr>
          <w:b/>
          <w:caps/>
        </w:rPr>
        <w:t>5. Sélection et exclusion des personnes de la recherche :</w:t>
      </w:r>
    </w:p>
    <w:p w:rsidR="00AC113A" w:rsidRDefault="00AC113A">
      <w:pPr>
        <w:pStyle w:val="Corpsdetexte"/>
        <w:spacing w:line="100" w:lineRule="atLeast"/>
        <w:rPr>
          <w:rFonts w:cs="Times New Roman"/>
          <w:bCs/>
        </w:rPr>
      </w:pPr>
    </w:p>
    <w:p w:rsidR="00AC113A" w:rsidRDefault="00AC113A">
      <w:pPr>
        <w:pStyle w:val="Corpsdetexte"/>
        <w:spacing w:line="100" w:lineRule="atLeast"/>
        <w:rPr>
          <w:b/>
          <w:caps/>
        </w:rPr>
      </w:pPr>
      <w:r>
        <w:rPr>
          <w:rFonts w:cs="Times New Roman"/>
          <w:b/>
          <w:caps/>
        </w:rPr>
        <w:t>6. DEScription de l'exposition</w:t>
      </w:r>
    </w:p>
    <w:p w:rsidR="00AC113A" w:rsidRDefault="00AC113A">
      <w:pPr>
        <w:jc w:val="both"/>
        <w:rPr>
          <w:b/>
          <w:caps/>
        </w:rPr>
      </w:pPr>
    </w:p>
    <w:p w:rsidR="00AC113A" w:rsidRDefault="00AC113A">
      <w:pPr>
        <w:jc w:val="both"/>
        <w:rPr>
          <w:b/>
          <w:caps/>
        </w:rPr>
      </w:pPr>
      <w:r>
        <w:rPr>
          <w:b/>
          <w:caps/>
        </w:rPr>
        <w:t>7. Evaluation de la sécurité</w:t>
      </w:r>
    </w:p>
    <w:p w:rsidR="00AC113A" w:rsidRDefault="00AC113A">
      <w:pPr>
        <w:jc w:val="both"/>
        <w:rPr>
          <w:b/>
          <w:caps/>
        </w:rPr>
      </w:pPr>
    </w:p>
    <w:p w:rsidR="00AC113A" w:rsidRDefault="00AC113A">
      <w:pPr>
        <w:jc w:val="both"/>
        <w:rPr>
          <w:b/>
          <w:caps/>
        </w:rPr>
      </w:pPr>
      <w:r>
        <w:rPr>
          <w:b/>
          <w:caps/>
        </w:rPr>
        <w:t>8. Statistiques</w:t>
      </w:r>
    </w:p>
    <w:p w:rsidR="00AC113A" w:rsidRDefault="00AC113A">
      <w:pPr>
        <w:jc w:val="both"/>
        <w:rPr>
          <w:b/>
          <w:caps/>
        </w:rPr>
      </w:pPr>
    </w:p>
    <w:p w:rsidR="00AC113A" w:rsidRDefault="00AC113A">
      <w:pPr>
        <w:jc w:val="both"/>
      </w:pPr>
      <w:r>
        <w:rPr>
          <w:b/>
          <w:caps/>
        </w:rPr>
        <w:t>9. Droit d'accès aux données et documents source.</w:t>
      </w:r>
    </w:p>
    <w:p w:rsidR="00AC113A" w:rsidRDefault="00AC113A">
      <w:pPr>
        <w:jc w:val="both"/>
      </w:pPr>
    </w:p>
    <w:p w:rsidR="00AC113A" w:rsidRDefault="00AC113A">
      <w:pPr>
        <w:jc w:val="both"/>
      </w:pPr>
      <w:r>
        <w:rPr>
          <w:b/>
          <w:caps/>
        </w:rPr>
        <w:t>10. Contrôle et assurance de la qualité.</w:t>
      </w:r>
    </w:p>
    <w:p w:rsidR="00AC113A" w:rsidRDefault="00AC113A">
      <w:pPr>
        <w:jc w:val="both"/>
      </w:pPr>
    </w:p>
    <w:p w:rsidR="00AC113A" w:rsidRDefault="00AC113A">
      <w:pPr>
        <w:jc w:val="both"/>
        <w:rPr>
          <w:b/>
          <w:caps/>
        </w:rPr>
      </w:pPr>
      <w:r>
        <w:rPr>
          <w:b/>
          <w:caps/>
        </w:rPr>
        <w:t>11. Considérations éthiques ET REGLEMENTAIRES</w:t>
      </w:r>
    </w:p>
    <w:p w:rsidR="00AC113A" w:rsidRDefault="00AC113A">
      <w:pPr>
        <w:jc w:val="both"/>
        <w:rPr>
          <w:b/>
          <w:caps/>
        </w:rPr>
      </w:pPr>
    </w:p>
    <w:p w:rsidR="00AC113A" w:rsidRDefault="00AC113A">
      <w:pPr>
        <w:jc w:val="both"/>
      </w:pPr>
      <w:r>
        <w:rPr>
          <w:b/>
          <w:caps/>
        </w:rPr>
        <w:t>12. Traitement des données et conservation des documents et des données relatives à la recherche.</w:t>
      </w:r>
    </w:p>
    <w:p w:rsidR="00AC113A" w:rsidRDefault="00AC113A">
      <w:pPr>
        <w:jc w:val="both"/>
      </w:pPr>
    </w:p>
    <w:p w:rsidR="00AC113A" w:rsidRDefault="00AC113A">
      <w:pPr>
        <w:jc w:val="both"/>
      </w:pPr>
      <w:r>
        <w:rPr>
          <w:b/>
          <w:caps/>
        </w:rPr>
        <w:t xml:space="preserve">13. Financement </w:t>
      </w:r>
    </w:p>
    <w:p w:rsidR="00AC113A" w:rsidRDefault="00AC113A">
      <w:pPr>
        <w:jc w:val="both"/>
      </w:pPr>
    </w:p>
    <w:p w:rsidR="00AC113A" w:rsidRDefault="00AC113A">
      <w:pPr>
        <w:jc w:val="both"/>
      </w:pPr>
      <w:r>
        <w:rPr>
          <w:b/>
          <w:caps/>
        </w:rPr>
        <w:t>14. Règles relatives à la publication.</w:t>
      </w:r>
    </w:p>
    <w:p w:rsidR="00AC113A" w:rsidRDefault="00AC113A">
      <w:pPr>
        <w:jc w:val="both"/>
      </w:pPr>
    </w:p>
    <w:p w:rsidR="00AC113A" w:rsidRDefault="00AC113A">
      <w:pPr>
        <w:jc w:val="both"/>
        <w:rPr>
          <w:bCs/>
        </w:rPr>
      </w:pPr>
      <w:r>
        <w:rPr>
          <w:b/>
          <w:caps/>
        </w:rPr>
        <w:t>15. Liste des annexes</w:t>
      </w:r>
    </w:p>
    <w:p w:rsidR="00AC113A" w:rsidRDefault="00AC113A">
      <w:pPr>
        <w:pStyle w:val="Corpsdetexte"/>
        <w:spacing w:line="100" w:lineRule="atLeast"/>
        <w:rPr>
          <w:bCs/>
        </w:rPr>
      </w:pPr>
    </w:p>
    <w:p w:rsidR="00AC113A" w:rsidRDefault="00AC113A">
      <w:pPr>
        <w:pStyle w:val="Corpsdetexte"/>
        <w:spacing w:line="100" w:lineRule="atLeast"/>
        <w:rPr>
          <w:rFonts w:cs="Times New Roman"/>
          <w:b/>
        </w:rPr>
      </w:pPr>
      <w:r>
        <w:rPr>
          <w:rFonts w:cs="Times New Roman"/>
          <w:b/>
          <w:bCs/>
        </w:rPr>
        <w:t>16. REFERENCES BIBLIOGRAPHIQUES</w:t>
      </w:r>
    </w:p>
    <w:p w:rsidR="00AC113A" w:rsidRDefault="00AC113A">
      <w:pPr>
        <w:pStyle w:val="Corpsdetexte"/>
        <w:spacing w:line="100" w:lineRule="atLeast"/>
        <w:rPr>
          <w:rFonts w:cs="Times New Roman"/>
          <w:b/>
        </w:rPr>
      </w:pPr>
    </w:p>
    <w:p w:rsidR="00AC113A" w:rsidRDefault="00AC113A">
      <w:pPr>
        <w:pStyle w:val="Corpsdetexte"/>
        <w:spacing w:line="100" w:lineRule="atLeast"/>
        <w:rPr>
          <w:rFonts w:cs="Times New Roman"/>
          <w:b/>
        </w:rPr>
      </w:pPr>
    </w:p>
    <w:p w:rsidR="00AC113A" w:rsidRDefault="00AC113A">
      <w:pPr>
        <w:pStyle w:val="Corpsdetexte"/>
        <w:pageBreakBefore/>
        <w:spacing w:line="100" w:lineRule="atLeast"/>
        <w:rPr>
          <w:rFonts w:cs="Times New Roman"/>
          <w:b/>
        </w:rPr>
      </w:pPr>
    </w:p>
    <w:p w:rsidR="00AC113A" w:rsidRDefault="00AC113A">
      <w:pPr>
        <w:pStyle w:val="Corpsdetexte"/>
        <w:shd w:val="clear" w:color="auto" w:fill="CCFFFF"/>
        <w:spacing w:line="100" w:lineRule="atLeast"/>
        <w:rPr>
          <w:b/>
          <w:caps/>
        </w:rPr>
      </w:pPr>
      <w:r>
        <w:rPr>
          <w:rFonts w:cs="Times New Roman"/>
          <w:b/>
          <w:caps/>
        </w:rPr>
        <w:t>1. RESUME DU PROTOCOLE</w:t>
      </w:r>
    </w:p>
    <w:p w:rsidR="00AC113A" w:rsidRDefault="00AC113A">
      <w:pPr>
        <w:jc w:val="both"/>
        <w:rPr>
          <w:b/>
          <w:caps/>
        </w:rPr>
      </w:pPr>
    </w:p>
    <w:p w:rsidR="00AC113A" w:rsidRDefault="00AC113A">
      <w:pPr>
        <w:jc w:val="both"/>
        <w:rPr>
          <w:b/>
          <w:caps/>
        </w:rPr>
      </w:pPr>
    </w:p>
    <w:p w:rsidR="00AC113A" w:rsidRDefault="00AC113A">
      <w:pPr>
        <w:jc w:val="both"/>
      </w:pPr>
    </w:p>
    <w:tbl>
      <w:tblPr>
        <w:tblW w:w="0" w:type="auto"/>
        <w:tblInd w:w="-15" w:type="dxa"/>
        <w:tblLayout w:type="fixed"/>
        <w:tblCellMar>
          <w:left w:w="70" w:type="dxa"/>
          <w:right w:w="70" w:type="dxa"/>
        </w:tblCellMar>
        <w:tblLook w:val="0000" w:firstRow="0" w:lastRow="0" w:firstColumn="0" w:lastColumn="0" w:noHBand="0" w:noVBand="0"/>
      </w:tblPr>
      <w:tblGrid>
        <w:gridCol w:w="2764"/>
        <w:gridCol w:w="6488"/>
      </w:tblGrid>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t>Titre</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jc w:val="both"/>
              <w:rPr>
                <w:smallCaps/>
              </w:rPr>
            </w:pPr>
            <w:r>
              <w:rPr>
                <w:i/>
              </w:rPr>
              <w:t>Etude descriptive du stress biologique et du stress perçu chez les assistants de régulation médical et les médecins lors du traitement d’un appel au centre 15</w:t>
            </w: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bCs/>
              </w:rPr>
            </w:pPr>
            <w:r>
              <w:rPr>
                <w:smallCaps/>
              </w:rPr>
              <w:t>Promoteur</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jc w:val="both"/>
              <w:rPr>
                <w:bCs/>
              </w:rPr>
            </w:pPr>
            <w:r>
              <w:rPr>
                <w:bCs/>
              </w:rPr>
              <w:t>CHR Metz-Thionville</w:t>
            </w:r>
          </w:p>
          <w:p w:rsidR="00AC113A" w:rsidRDefault="00AC113A">
            <w:pPr>
              <w:jc w:val="both"/>
              <w:rPr>
                <w:bCs/>
              </w:rPr>
            </w:pPr>
            <w:r>
              <w:rPr>
                <w:bCs/>
              </w:rPr>
              <w:t>Hôpital de Mercy</w:t>
            </w:r>
          </w:p>
          <w:p w:rsidR="00AC113A" w:rsidRDefault="00AC113A">
            <w:pPr>
              <w:jc w:val="both"/>
              <w:rPr>
                <w:bCs/>
              </w:rPr>
            </w:pPr>
            <w:r>
              <w:rPr>
                <w:bCs/>
              </w:rPr>
              <w:t>1, allée du château - CS 45001</w:t>
            </w:r>
          </w:p>
          <w:p w:rsidR="00AC113A" w:rsidRDefault="00AC113A">
            <w:pPr>
              <w:jc w:val="both"/>
              <w:rPr>
                <w:smallCaps/>
              </w:rPr>
            </w:pPr>
            <w:r>
              <w:rPr>
                <w:bCs/>
              </w:rPr>
              <w:t>57085 Metz - cedex 03</w:t>
            </w: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t xml:space="preserve">Investigateur principal </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jc w:val="both"/>
              <w:rPr>
                <w:smallCaps/>
              </w:rPr>
            </w:pPr>
            <w:r>
              <w:rPr>
                <w:i/>
              </w:rPr>
              <w:t xml:space="preserve">Dr Michel AUSSEDAT </w:t>
            </w: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t>Version du protocole</w:t>
            </w:r>
            <w:r>
              <w:rPr>
                <w:b/>
                <w:smallCaps/>
              </w:rPr>
              <w:t xml:space="preserve"> </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304B16">
            <w:pPr>
              <w:jc w:val="both"/>
              <w:rPr>
                <w:smallCaps/>
              </w:rPr>
            </w:pPr>
            <w:r>
              <w:rPr>
                <w:i/>
              </w:rPr>
              <w:t>version N° 2</w:t>
            </w:r>
            <w:r w:rsidR="00640271">
              <w:rPr>
                <w:i/>
              </w:rPr>
              <w:t>.</w:t>
            </w:r>
            <w:r w:rsidR="004D4254">
              <w:rPr>
                <w:i/>
              </w:rPr>
              <w:t>2 du 28/01/2014</w:t>
            </w: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t>Justification / contexte</w:t>
            </w:r>
            <w:r>
              <w:rPr>
                <w:b/>
                <w:smallCaps/>
              </w:rPr>
              <w:t xml:space="preserve"> </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jc w:val="both"/>
              <w:rPr>
                <w:i/>
              </w:rPr>
            </w:pPr>
            <w:r>
              <w:rPr>
                <w:i/>
              </w:rPr>
              <w:t xml:space="preserve">Il est maintenant prouvé que le stress au travail est en cause dans bon nombre de pathologies allant du syndrome métabolique, responsable de complications cardiovasculaires, à la dépression. </w:t>
            </w:r>
          </w:p>
          <w:p w:rsidR="00AC113A" w:rsidRDefault="00AC113A">
            <w:pPr>
              <w:jc w:val="both"/>
              <w:rPr>
                <w:i/>
              </w:rPr>
            </w:pPr>
          </w:p>
          <w:p w:rsidR="00AC113A" w:rsidRDefault="00AC113A">
            <w:pPr>
              <w:jc w:val="both"/>
              <w:rPr>
                <w:i/>
              </w:rPr>
            </w:pPr>
            <w:r>
              <w:rPr>
                <w:i/>
              </w:rPr>
              <w:t xml:space="preserve">Les personnels exerçant dans les services d’accueil des urgences sont particulièrement exposés au stress dans le cadre du travail. A ce jour, quelques études ont été réalisées dans le cadre du stress aux urgences chez les médecins et les infirmiers, mais très peu se sont penchées sur le stress en régulation. Après notre revue de la littérature, il s’avère qu’une seule étude à été réalisée, et porte sur le stress lors d’une journée, et du stress aigu lors d’un appel </w:t>
            </w:r>
            <w:r w:rsidR="00B53F96">
              <w:rPr>
                <w:i/>
              </w:rPr>
              <w:t>(1</w:t>
            </w:r>
            <w:r w:rsidR="00AA539A">
              <w:rPr>
                <w:i/>
              </w:rPr>
              <w:t>).</w:t>
            </w:r>
          </w:p>
          <w:p w:rsidR="00AC113A" w:rsidRDefault="00AC113A">
            <w:pPr>
              <w:jc w:val="both"/>
              <w:rPr>
                <w:i/>
              </w:rPr>
            </w:pP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t>Objectif Principal</w:t>
            </w:r>
            <w:r>
              <w:rPr>
                <w:b/>
                <w:smallCaps/>
              </w:rPr>
              <w:t xml:space="preserve"> </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jc w:val="both"/>
              <w:rPr>
                <w:smallCaps/>
              </w:rPr>
            </w:pPr>
            <w:r>
              <w:rPr>
                <w:i/>
              </w:rPr>
              <w:t xml:space="preserve">Décrire le stress biologique (cortisolémie) et perçu (EVA) chez les ARM (assistants de régulation médicale) et les médecins lors du traitement d’un appel au centre 15 </w:t>
            </w: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t>Objectifs Secondaires</w:t>
            </w:r>
            <w:r>
              <w:rPr>
                <w:b/>
                <w:smallCaps/>
              </w:rPr>
              <w:t xml:space="preserve"> </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jc w:val="both"/>
              <w:rPr>
                <w:i/>
              </w:rPr>
            </w:pPr>
            <w:r>
              <w:rPr>
                <w:i/>
              </w:rPr>
              <w:t>Comparer le stress des ARM et objectiver une différence entre les différents postes</w:t>
            </w:r>
          </w:p>
          <w:p w:rsidR="00AC113A" w:rsidRDefault="00AC113A">
            <w:pPr>
              <w:jc w:val="both"/>
              <w:rPr>
                <w:i/>
              </w:rPr>
            </w:pPr>
            <w:r>
              <w:rPr>
                <w:i/>
              </w:rPr>
              <w:t>Etudier une corrélation entre stress perçu et stress biologique</w:t>
            </w:r>
          </w:p>
          <w:p w:rsidR="00AC113A" w:rsidRDefault="00AC113A">
            <w:pPr>
              <w:jc w:val="both"/>
              <w:rPr>
                <w:smallCaps/>
              </w:rPr>
            </w:pPr>
            <w:r>
              <w:rPr>
                <w:i/>
              </w:rPr>
              <w:t xml:space="preserve">Etudier la corrélation entre gravité de la situation téléphonique et stress </w:t>
            </w: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t>Critère de Jugement Principal</w:t>
            </w:r>
            <w:r>
              <w:rPr>
                <w:b/>
                <w:smallCaps/>
              </w:rPr>
              <w:t xml:space="preserve"> </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jc w:val="both"/>
              <w:rPr>
                <w:smallCaps/>
              </w:rPr>
            </w:pPr>
            <w:r>
              <w:rPr>
                <w:i/>
              </w:rPr>
              <w:t>Stress biologique : Sécrétion du cortisol salivaire (aire sous la courbe)</w:t>
            </w: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t>Critères de Jugement Secondaires</w:t>
            </w:r>
            <w:r>
              <w:rPr>
                <w:b/>
                <w:smallCaps/>
              </w:rPr>
              <w:t xml:space="preserve"> </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jc w:val="both"/>
              <w:rPr>
                <w:smallCaps/>
              </w:rPr>
            </w:pPr>
            <w:r>
              <w:rPr>
                <w:i/>
              </w:rPr>
              <w:t>Stress perçu : questionnaire SPPN (Stress Professionnel Positif et Négatif) et EVA</w:t>
            </w: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t>Méthodologie / Schéma de l’etude</w:t>
            </w:r>
            <w:r>
              <w:rPr>
                <w:b/>
                <w:smallCaps/>
              </w:rPr>
              <w:t xml:space="preserve"> </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jc w:val="both"/>
              <w:rPr>
                <w:smallCaps/>
              </w:rPr>
            </w:pPr>
            <w:r>
              <w:rPr>
                <w:i/>
              </w:rPr>
              <w:t>Etude descriptive interventionnelle longitudinale monocentrique</w:t>
            </w: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t>Critères d’Inclusion des Sujets</w:t>
            </w:r>
            <w:r>
              <w:rPr>
                <w:b/>
                <w:smallCaps/>
              </w:rPr>
              <w:t xml:space="preserve"> </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numPr>
                <w:ilvl w:val="0"/>
                <w:numId w:val="2"/>
              </w:numPr>
              <w:jc w:val="both"/>
              <w:rPr>
                <w:i/>
              </w:rPr>
            </w:pPr>
            <w:r>
              <w:rPr>
                <w:i/>
              </w:rPr>
              <w:t>Personnel médical et paramédical du centre 15 (permanenciers, médecins urgentistes, médecins libéraux)</w:t>
            </w:r>
          </w:p>
          <w:p w:rsidR="00AC113A" w:rsidRDefault="00AC113A">
            <w:pPr>
              <w:numPr>
                <w:ilvl w:val="0"/>
                <w:numId w:val="2"/>
              </w:numPr>
              <w:jc w:val="both"/>
              <w:rPr>
                <w:i/>
              </w:rPr>
            </w:pPr>
            <w:r>
              <w:rPr>
                <w:i/>
              </w:rPr>
              <w:t>Ayant reçu une information sur l’étude</w:t>
            </w:r>
          </w:p>
          <w:p w:rsidR="00AC113A" w:rsidRDefault="00AC113A">
            <w:pPr>
              <w:numPr>
                <w:ilvl w:val="0"/>
                <w:numId w:val="2"/>
              </w:numPr>
              <w:jc w:val="both"/>
              <w:rPr>
                <w:i/>
              </w:rPr>
            </w:pPr>
            <w:r>
              <w:rPr>
                <w:i/>
              </w:rPr>
              <w:t>Ayant signé un consentement de participation à l’étude</w:t>
            </w:r>
          </w:p>
          <w:p w:rsidR="00AC113A" w:rsidRDefault="00AC113A">
            <w:pPr>
              <w:numPr>
                <w:ilvl w:val="0"/>
                <w:numId w:val="2"/>
              </w:numPr>
              <w:jc w:val="both"/>
              <w:rPr>
                <w:smallCaps/>
              </w:rPr>
            </w:pPr>
            <w:r>
              <w:rPr>
                <w:i/>
              </w:rPr>
              <w:t>Affiliation obligatoire à un régime de sécurité sociale</w:t>
            </w: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Pr="00367B71" w:rsidRDefault="00AC113A">
            <w:pPr>
              <w:pStyle w:val="Corpsdetexte"/>
              <w:rPr>
                <w:i/>
              </w:rPr>
            </w:pPr>
            <w:r w:rsidRPr="00367B71">
              <w:rPr>
                <w:smallCaps/>
              </w:rPr>
              <w:t>Critères de Non-Inclusion des Sujets</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Pr="00367B71" w:rsidRDefault="00AC113A">
            <w:pPr>
              <w:numPr>
                <w:ilvl w:val="0"/>
                <w:numId w:val="2"/>
              </w:numPr>
              <w:jc w:val="both"/>
              <w:rPr>
                <w:i/>
              </w:rPr>
            </w:pPr>
            <w:r w:rsidRPr="00367B71">
              <w:rPr>
                <w:i/>
              </w:rPr>
              <w:t>Ethylisme chronique</w:t>
            </w:r>
          </w:p>
          <w:p w:rsidR="00AC113A" w:rsidRPr="00367B71" w:rsidRDefault="00AC113A">
            <w:pPr>
              <w:numPr>
                <w:ilvl w:val="0"/>
                <w:numId w:val="2"/>
              </w:numPr>
              <w:jc w:val="both"/>
              <w:rPr>
                <w:i/>
              </w:rPr>
            </w:pPr>
            <w:r w:rsidRPr="00367B71">
              <w:rPr>
                <w:i/>
              </w:rPr>
              <w:t>Les femmes sous traitement oestroprogestatifs</w:t>
            </w:r>
          </w:p>
          <w:p w:rsidR="00514992" w:rsidRPr="00367B71" w:rsidRDefault="00514992">
            <w:pPr>
              <w:numPr>
                <w:ilvl w:val="0"/>
                <w:numId w:val="2"/>
              </w:numPr>
              <w:jc w:val="both"/>
              <w:rPr>
                <w:i/>
              </w:rPr>
            </w:pPr>
            <w:r w:rsidRPr="00367B71">
              <w:rPr>
                <w:i/>
              </w:rPr>
              <w:lastRenderedPageBreak/>
              <w:t>Femmes enceintes</w:t>
            </w:r>
          </w:p>
          <w:p w:rsidR="00AC113A" w:rsidRPr="00367B71" w:rsidRDefault="00AC113A">
            <w:pPr>
              <w:numPr>
                <w:ilvl w:val="0"/>
                <w:numId w:val="2"/>
              </w:numPr>
              <w:jc w:val="both"/>
              <w:rPr>
                <w:i/>
              </w:rPr>
            </w:pPr>
            <w:r w:rsidRPr="00367B71">
              <w:rPr>
                <w:i/>
              </w:rPr>
              <w:t>Les sportifs de haut niveau</w:t>
            </w:r>
          </w:p>
          <w:p w:rsidR="00AC113A" w:rsidRPr="00367B71" w:rsidRDefault="00AC113A">
            <w:pPr>
              <w:numPr>
                <w:ilvl w:val="0"/>
                <w:numId w:val="2"/>
              </w:numPr>
              <w:jc w:val="both"/>
              <w:rPr>
                <w:i/>
              </w:rPr>
            </w:pPr>
            <w:r w:rsidRPr="00367B71">
              <w:rPr>
                <w:i/>
              </w:rPr>
              <w:t>Les personnes sous traitement médicamenteux à base de stéroïdes</w:t>
            </w:r>
          </w:p>
          <w:p w:rsidR="00AC113A" w:rsidRPr="00367B71" w:rsidRDefault="00AC113A">
            <w:pPr>
              <w:numPr>
                <w:ilvl w:val="0"/>
                <w:numId w:val="2"/>
              </w:numPr>
              <w:jc w:val="both"/>
              <w:rPr>
                <w:i/>
              </w:rPr>
            </w:pPr>
            <w:r w:rsidRPr="00367B71">
              <w:rPr>
                <w:i/>
              </w:rPr>
              <w:t>Les personnes suivies pour désordres psychiatriques (en particulier la dépression)</w:t>
            </w:r>
          </w:p>
          <w:p w:rsidR="00AC113A" w:rsidRPr="00367B71" w:rsidRDefault="00AC113A">
            <w:pPr>
              <w:numPr>
                <w:ilvl w:val="0"/>
                <w:numId w:val="2"/>
              </w:numPr>
              <w:jc w:val="both"/>
              <w:rPr>
                <w:i/>
              </w:rPr>
            </w:pPr>
            <w:r w:rsidRPr="00367B71">
              <w:rPr>
                <w:i/>
              </w:rPr>
              <w:t>Fièvre le jour du prélèvement</w:t>
            </w:r>
          </w:p>
          <w:p w:rsidR="00AC113A" w:rsidRPr="00367B71" w:rsidRDefault="00D179C2">
            <w:pPr>
              <w:numPr>
                <w:ilvl w:val="0"/>
                <w:numId w:val="2"/>
              </w:numPr>
              <w:jc w:val="both"/>
              <w:rPr>
                <w:i/>
              </w:rPr>
            </w:pPr>
            <w:r w:rsidRPr="00367B71">
              <w:rPr>
                <w:i/>
              </w:rPr>
              <w:t>Participants volontaires</w:t>
            </w:r>
            <w:r w:rsidR="00AC113A" w:rsidRPr="00367B71">
              <w:rPr>
                <w:i/>
              </w:rPr>
              <w:t xml:space="preserve"> porteurs de pathologies endocriniennes</w:t>
            </w:r>
          </w:p>
          <w:p w:rsidR="00AC113A" w:rsidRDefault="00AC113A">
            <w:pPr>
              <w:jc w:val="both"/>
              <w:rPr>
                <w:i/>
              </w:rPr>
            </w:pP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lastRenderedPageBreak/>
              <w:t>Procédures</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jc w:val="both"/>
              <w:rPr>
                <w:i/>
              </w:rPr>
            </w:pPr>
            <w:r>
              <w:rPr>
                <w:i/>
              </w:rPr>
              <w:t xml:space="preserve">Recueil salivaire par salivette </w:t>
            </w:r>
            <w:r w:rsidR="00514992">
              <w:rPr>
                <w:i/>
              </w:rPr>
              <w:t>B</w:t>
            </w:r>
            <w:r>
              <w:rPr>
                <w:i/>
              </w:rPr>
              <w:t>iomnis</w:t>
            </w:r>
            <w:r w:rsidR="00367B71">
              <w:rPr>
                <w:i/>
              </w:rPr>
              <w:t xml:space="preserve"> </w:t>
            </w:r>
            <w:r w:rsidR="00367B71" w:rsidRPr="00367B71">
              <w:rPr>
                <w:i/>
                <w:highlight w:val="lightGray"/>
              </w:rPr>
              <w:t>ou Sarstedt</w:t>
            </w:r>
            <w:r>
              <w:rPr>
                <w:i/>
              </w:rPr>
              <w:t>. Le premier prélèvement (P0) sera réalisé lors du premier appel dans le créneau horaire 10h-13</w:t>
            </w:r>
            <w:r w:rsidR="00AA539A">
              <w:rPr>
                <w:i/>
              </w:rPr>
              <w:t>h</w:t>
            </w:r>
            <w:r>
              <w:rPr>
                <w:i/>
              </w:rPr>
              <w:t xml:space="preserve">, puis </w:t>
            </w:r>
            <w:r w:rsidR="00F81378">
              <w:rPr>
                <w:i/>
              </w:rPr>
              <w:t>une série de prélèvements</w:t>
            </w:r>
            <w:r>
              <w:rPr>
                <w:i/>
              </w:rPr>
              <w:t xml:space="preserve"> sera réalisé</w:t>
            </w:r>
            <w:r w:rsidR="00F81378">
              <w:rPr>
                <w:i/>
              </w:rPr>
              <w:t>e</w:t>
            </w:r>
            <w:r>
              <w:rPr>
                <w:i/>
              </w:rPr>
              <w:t xml:space="preserve"> ensuite chez les deux autres </w:t>
            </w:r>
            <w:r w:rsidR="00EE54B7">
              <w:rPr>
                <w:i/>
              </w:rPr>
              <w:t>permanenciers</w:t>
            </w:r>
            <w:r>
              <w:rPr>
                <w:i/>
              </w:rPr>
              <w:t xml:space="preserve">, puis chez le médecin généraliste ou urgentiste </w:t>
            </w:r>
            <w:r w:rsidR="008B1937">
              <w:rPr>
                <w:i/>
              </w:rPr>
              <w:t>à</w:t>
            </w:r>
            <w:r>
              <w:rPr>
                <w:i/>
              </w:rPr>
              <w:t xml:space="preserve"> qui sera passé l’appel.</w:t>
            </w:r>
          </w:p>
          <w:p w:rsidR="00AC113A" w:rsidRDefault="00AC113A">
            <w:pPr>
              <w:jc w:val="both"/>
              <w:rPr>
                <w:i/>
              </w:rPr>
            </w:pPr>
            <w:r>
              <w:rPr>
                <w:i/>
              </w:rPr>
              <w:t>Chez les ARM</w:t>
            </w:r>
            <w:r w:rsidRPr="001A0DEB">
              <w:rPr>
                <w:i/>
              </w:rPr>
              <w:t xml:space="preserve">, trois </w:t>
            </w:r>
            <w:r w:rsidR="00F81378">
              <w:rPr>
                <w:i/>
              </w:rPr>
              <w:t>séries de prélèvements</w:t>
            </w:r>
            <w:r>
              <w:rPr>
                <w:i/>
              </w:rPr>
              <w:t xml:space="preserve"> seront réalisé</w:t>
            </w:r>
            <w:r w:rsidR="00F81378">
              <w:rPr>
                <w:i/>
              </w:rPr>
              <w:t>e</w:t>
            </w:r>
            <w:r>
              <w:rPr>
                <w:i/>
              </w:rPr>
              <w:t>s dans le cadre de leur travail. Chaque permanenci</w:t>
            </w:r>
            <w:r w:rsidR="00EE54B7">
              <w:rPr>
                <w:i/>
              </w:rPr>
              <w:t>er</w:t>
            </w:r>
            <w:r>
              <w:rPr>
                <w:i/>
              </w:rPr>
              <w:t xml:space="preserve"> aura un</w:t>
            </w:r>
            <w:r w:rsidR="00F81378">
              <w:rPr>
                <w:i/>
              </w:rPr>
              <w:t>e</w:t>
            </w:r>
            <w:r>
              <w:rPr>
                <w:i/>
              </w:rPr>
              <w:t xml:space="preserve"> </w:t>
            </w:r>
            <w:r w:rsidR="00F81378">
              <w:rPr>
                <w:i/>
              </w:rPr>
              <w:t>série de prélèvements</w:t>
            </w:r>
            <w:r w:rsidR="00640271">
              <w:rPr>
                <w:i/>
              </w:rPr>
              <w:t xml:space="preserve"> </w:t>
            </w:r>
            <w:r>
              <w:rPr>
                <w:i/>
              </w:rPr>
              <w:t xml:space="preserve">quand </w:t>
            </w:r>
            <w:r w:rsidR="00EE54B7">
              <w:rPr>
                <w:i/>
              </w:rPr>
              <w:t xml:space="preserve">il </w:t>
            </w:r>
            <w:r>
              <w:rPr>
                <w:i/>
              </w:rPr>
              <w:t>sera en poste appel, un</w:t>
            </w:r>
            <w:r w:rsidR="00F81378">
              <w:rPr>
                <w:i/>
              </w:rPr>
              <w:t>e</w:t>
            </w:r>
            <w:r>
              <w:rPr>
                <w:i/>
              </w:rPr>
              <w:t xml:space="preserve"> </w:t>
            </w:r>
            <w:r w:rsidR="00F81378">
              <w:rPr>
                <w:i/>
              </w:rPr>
              <w:t>série de prélèvements</w:t>
            </w:r>
            <w:r w:rsidR="00640271">
              <w:rPr>
                <w:i/>
              </w:rPr>
              <w:t xml:space="preserve"> </w:t>
            </w:r>
            <w:r>
              <w:rPr>
                <w:i/>
              </w:rPr>
              <w:t>en poste déploiement de moyen, puis un</w:t>
            </w:r>
            <w:r w:rsidR="00F81378">
              <w:rPr>
                <w:i/>
              </w:rPr>
              <w:t>e</w:t>
            </w:r>
            <w:r>
              <w:rPr>
                <w:i/>
              </w:rPr>
              <w:t xml:space="preserve"> </w:t>
            </w:r>
            <w:r w:rsidR="00F81378">
              <w:rPr>
                <w:i/>
              </w:rPr>
              <w:t>série de prélèvements</w:t>
            </w:r>
            <w:r w:rsidR="00640271">
              <w:rPr>
                <w:i/>
              </w:rPr>
              <w:t xml:space="preserve"> </w:t>
            </w:r>
            <w:r>
              <w:rPr>
                <w:i/>
              </w:rPr>
              <w:t>en poste dit bilan.</w:t>
            </w:r>
          </w:p>
          <w:p w:rsidR="00AC113A" w:rsidRDefault="00AC113A">
            <w:pPr>
              <w:jc w:val="both"/>
              <w:rPr>
                <w:i/>
              </w:rPr>
            </w:pPr>
            <w:r>
              <w:rPr>
                <w:i/>
              </w:rPr>
              <w:t>Les médecins étant toujours au même poste, un</w:t>
            </w:r>
            <w:r w:rsidR="00446D85">
              <w:rPr>
                <w:i/>
              </w:rPr>
              <w:t>e</w:t>
            </w:r>
            <w:r>
              <w:rPr>
                <w:i/>
              </w:rPr>
              <w:t xml:space="preserve"> seul</w:t>
            </w:r>
            <w:r w:rsidR="00446D85">
              <w:rPr>
                <w:i/>
              </w:rPr>
              <w:t xml:space="preserve">e série de </w:t>
            </w:r>
            <w:r>
              <w:rPr>
                <w:i/>
              </w:rPr>
              <w:t xml:space="preserve"> prélèvement</w:t>
            </w:r>
            <w:r w:rsidR="00446D85">
              <w:rPr>
                <w:i/>
              </w:rPr>
              <w:t>s</w:t>
            </w:r>
            <w:r>
              <w:rPr>
                <w:i/>
              </w:rPr>
              <w:t xml:space="preserve"> sera réalisé</w:t>
            </w:r>
            <w:r w:rsidR="00446D85">
              <w:rPr>
                <w:i/>
              </w:rPr>
              <w:t>e</w:t>
            </w:r>
            <w:r>
              <w:rPr>
                <w:i/>
              </w:rPr>
              <w:t xml:space="preserve"> au travail.</w:t>
            </w:r>
          </w:p>
          <w:p w:rsidR="00AC113A" w:rsidRDefault="00AC113A">
            <w:pPr>
              <w:jc w:val="both"/>
              <w:rPr>
                <w:i/>
              </w:rPr>
            </w:pPr>
            <w:r w:rsidRPr="001A0DEB">
              <w:rPr>
                <w:i/>
              </w:rPr>
              <w:t xml:space="preserve">Les </w:t>
            </w:r>
            <w:r w:rsidR="00640271">
              <w:rPr>
                <w:i/>
              </w:rPr>
              <w:t>prélèvements</w:t>
            </w:r>
            <w:r w:rsidR="00640271" w:rsidRPr="001A0DEB">
              <w:rPr>
                <w:i/>
              </w:rPr>
              <w:t xml:space="preserve"> </w:t>
            </w:r>
            <w:r w:rsidRPr="001A0DEB">
              <w:rPr>
                <w:i/>
              </w:rPr>
              <w:t xml:space="preserve">seront réalisés toutes les 15 minutes </w:t>
            </w:r>
            <w:r>
              <w:rPr>
                <w:i/>
              </w:rPr>
              <w:t xml:space="preserve">pendant 1h30 à partir de T0 puis un dernier </w:t>
            </w:r>
            <w:r w:rsidR="00640271">
              <w:rPr>
                <w:i/>
              </w:rPr>
              <w:t xml:space="preserve">prélèvement </w:t>
            </w:r>
            <w:r>
              <w:rPr>
                <w:i/>
              </w:rPr>
              <w:t>sera effectué 2h après l’appel.</w:t>
            </w:r>
          </w:p>
          <w:p w:rsidR="001A0DEB" w:rsidRDefault="001A0DEB" w:rsidP="001A0DEB">
            <w:pPr>
              <w:jc w:val="both"/>
              <w:rPr>
                <w:i/>
              </w:rPr>
            </w:pPr>
            <w:r>
              <w:rPr>
                <w:i/>
              </w:rPr>
              <w:t>Afin de pouvoir améliorer l'interprétation des résultats, un</w:t>
            </w:r>
            <w:r w:rsidR="00F81378">
              <w:rPr>
                <w:i/>
              </w:rPr>
              <w:t>e</w:t>
            </w:r>
            <w:r>
              <w:rPr>
                <w:i/>
              </w:rPr>
              <w:t xml:space="preserve"> </w:t>
            </w:r>
            <w:r w:rsidR="00F81378">
              <w:rPr>
                <w:i/>
              </w:rPr>
              <w:t>série de prélèvements</w:t>
            </w:r>
            <w:r>
              <w:rPr>
                <w:i/>
              </w:rPr>
              <w:t xml:space="preserve"> témoin</w:t>
            </w:r>
            <w:r w:rsidR="00AA539A">
              <w:rPr>
                <w:i/>
              </w:rPr>
              <w:t>s</w:t>
            </w:r>
            <w:r>
              <w:rPr>
                <w:i/>
              </w:rPr>
              <w:t xml:space="preserve"> sera réalisé</w:t>
            </w:r>
            <w:r w:rsidR="00F81378">
              <w:rPr>
                <w:i/>
              </w:rPr>
              <w:t>e</w:t>
            </w:r>
            <w:r>
              <w:rPr>
                <w:i/>
              </w:rPr>
              <w:t xml:space="preserve"> chez les ARM et les médecins lors d'un jour de repos en dehors des lendemains de garde.</w:t>
            </w:r>
          </w:p>
          <w:p w:rsidR="001A0DEB" w:rsidRDefault="001A0DEB">
            <w:pPr>
              <w:jc w:val="both"/>
              <w:rPr>
                <w:i/>
              </w:rPr>
            </w:pPr>
          </w:p>
          <w:p w:rsidR="00AC113A" w:rsidRDefault="00AC113A">
            <w:pPr>
              <w:jc w:val="both"/>
              <w:rPr>
                <w:i/>
              </w:rPr>
            </w:pPr>
            <w:r>
              <w:rPr>
                <w:i/>
              </w:rPr>
              <w:t>Soit quatre fois 8 prélèvements par ARM et deux fois 8 prélèvements par médecin.</w:t>
            </w:r>
          </w:p>
          <w:p w:rsidR="00AC113A" w:rsidRDefault="00AC113A">
            <w:pPr>
              <w:jc w:val="both"/>
              <w:rPr>
                <w:smallCaps/>
              </w:rPr>
            </w:pPr>
            <w:r>
              <w:rPr>
                <w:i/>
              </w:rPr>
              <w:t xml:space="preserve">Ils seront ensuite congelés à une température de – </w:t>
            </w:r>
            <w:r w:rsidR="00446D85">
              <w:rPr>
                <w:i/>
              </w:rPr>
              <w:t xml:space="preserve">4 </w:t>
            </w:r>
            <w:r>
              <w:rPr>
                <w:i/>
              </w:rPr>
              <w:t>degrés puis envoyé</w:t>
            </w:r>
            <w:r w:rsidR="00AA539A">
              <w:rPr>
                <w:i/>
              </w:rPr>
              <w:t>s</w:t>
            </w:r>
            <w:r>
              <w:rPr>
                <w:i/>
              </w:rPr>
              <w:t xml:space="preserve"> au laboratoire </w:t>
            </w:r>
            <w:r w:rsidR="001A0DEB">
              <w:rPr>
                <w:i/>
              </w:rPr>
              <w:t xml:space="preserve"> du CHR de l’hôpital de Mercy.</w:t>
            </w: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t xml:space="preserve">Nombre de </w:t>
            </w:r>
            <w:r w:rsidR="00D179C2" w:rsidRPr="008715AF">
              <w:rPr>
                <w:smallCaps/>
                <w:highlight w:val="lightGray"/>
              </w:rPr>
              <w:t>Participants volontaires</w:t>
            </w:r>
            <w:r>
              <w:rPr>
                <w:b/>
                <w:smallCaps/>
              </w:rPr>
              <w:t xml:space="preserve"> </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jc w:val="both"/>
              <w:rPr>
                <w:smallCaps/>
              </w:rPr>
            </w:pPr>
            <w:r>
              <w:rPr>
                <w:i/>
              </w:rPr>
              <w:t>Il s’agit d’une étude dont l’objectif principal est descripti</w:t>
            </w:r>
            <w:r w:rsidR="00AA539A">
              <w:rPr>
                <w:i/>
              </w:rPr>
              <w:t>f</w:t>
            </w:r>
            <w:r>
              <w:rPr>
                <w:i/>
              </w:rPr>
              <w:t xml:space="preserve"> et qui peut servir d’étude de faisabilité concernant les objectifs comparatifs (secondaires). Il est prévu d’inclure </w:t>
            </w:r>
            <w:r w:rsidR="008B1937">
              <w:rPr>
                <w:i/>
              </w:rPr>
              <w:t xml:space="preserve">20 </w:t>
            </w:r>
            <w:r>
              <w:rPr>
                <w:i/>
              </w:rPr>
              <w:t xml:space="preserve">ARM et </w:t>
            </w:r>
            <w:r w:rsidR="008B1937">
              <w:rPr>
                <w:i/>
              </w:rPr>
              <w:t xml:space="preserve">20 </w:t>
            </w:r>
            <w:r>
              <w:rPr>
                <w:i/>
              </w:rPr>
              <w:t xml:space="preserve">médecins.  </w:t>
            </w: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t>Durée de la Recherche</w:t>
            </w:r>
            <w:r>
              <w:rPr>
                <w:b/>
                <w:smallCaps/>
              </w:rPr>
              <w:t xml:space="preserve"> </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jc w:val="both"/>
              <w:rPr>
                <w:rFonts w:ascii="Times New (W1)" w:hAnsi="Times New (W1)" w:cs="Times New (W1)"/>
                <w:i/>
              </w:rPr>
            </w:pPr>
            <w:r>
              <w:rPr>
                <w:i/>
              </w:rPr>
              <w:t xml:space="preserve">Durée de la période d’inclusion : 1 mois </w:t>
            </w:r>
          </w:p>
          <w:p w:rsidR="00AC113A" w:rsidRDefault="00AC113A">
            <w:pPr>
              <w:jc w:val="both"/>
              <w:rPr>
                <w:rFonts w:ascii="Times New (W1)" w:hAnsi="Times New (W1)" w:cs="Times New (W1)"/>
                <w:i/>
              </w:rPr>
            </w:pPr>
            <w:r>
              <w:rPr>
                <w:rFonts w:ascii="Times New (W1)" w:hAnsi="Times New (W1)" w:cs="Times New (W1)"/>
                <w:i/>
              </w:rPr>
              <w:t>Durée de participation de chaque sujet : quatre fois deux heures pour les ARM et deux fois deux heures pour les médecins.</w:t>
            </w:r>
          </w:p>
          <w:p w:rsidR="00AC113A" w:rsidRDefault="00AC113A">
            <w:pPr>
              <w:jc w:val="both"/>
              <w:rPr>
                <w:i/>
              </w:rPr>
            </w:pPr>
            <w:r>
              <w:rPr>
                <w:rFonts w:ascii="Times New (W1)" w:hAnsi="Times New (W1)" w:cs="Times New (W1)"/>
                <w:i/>
              </w:rPr>
              <w:t>ARM = 4 fois 8 prélèvements / Médecins : 2 fois 8 prélèvements</w:t>
            </w:r>
          </w:p>
          <w:p w:rsidR="00AC113A" w:rsidRDefault="00AC113A">
            <w:pPr>
              <w:jc w:val="both"/>
              <w:rPr>
                <w:smallCaps/>
              </w:rPr>
            </w:pPr>
            <w:r>
              <w:rPr>
                <w:i/>
              </w:rPr>
              <w:t>Durée totale de l’étude:</w:t>
            </w:r>
            <w:r w:rsidR="001A0DEB">
              <w:rPr>
                <w:i/>
              </w:rPr>
              <w:t>6</w:t>
            </w:r>
            <w:r>
              <w:rPr>
                <w:i/>
              </w:rPr>
              <w:t xml:space="preserve"> mois</w:t>
            </w: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t>analyse statistique</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jc w:val="both"/>
              <w:rPr>
                <w:i/>
              </w:rPr>
            </w:pPr>
            <w:r>
              <w:rPr>
                <w:i/>
              </w:rPr>
              <w:t>Description de l’échantillon : les variables qualitatives seront décrites en pourcentage, effectif et intervalle de confiance à 95%, les variables quantitatives seront décrites en moyennes et écarts-types ou médiane, étendue et intervalle interquartiles.</w:t>
            </w:r>
          </w:p>
          <w:p w:rsidR="00AC113A" w:rsidRDefault="00AC113A">
            <w:pPr>
              <w:jc w:val="both"/>
              <w:rPr>
                <w:i/>
              </w:rPr>
            </w:pPr>
            <w:r>
              <w:rPr>
                <w:i/>
              </w:rPr>
              <w:t>Description du stress biologique : il sera décrit en calculant la différence entre le pic ou les pics de cortisol observés et le taux de cortisol mesuré au repos (moyennes et écarts-types ou médiane, étendue et intervalle interquartiles).</w:t>
            </w:r>
          </w:p>
          <w:p w:rsidR="00AC113A" w:rsidRDefault="00AC113A">
            <w:pPr>
              <w:jc w:val="both"/>
              <w:rPr>
                <w:i/>
              </w:rPr>
            </w:pPr>
            <w:r>
              <w:rPr>
                <w:i/>
              </w:rPr>
              <w:t xml:space="preserve">Description du stress perçu : le score de l’EVA sera décrit en </w:t>
            </w:r>
            <w:r>
              <w:rPr>
                <w:i/>
              </w:rPr>
              <w:lastRenderedPageBreak/>
              <w:t>termes de moyenne et écart type.</w:t>
            </w:r>
          </w:p>
          <w:p w:rsidR="00AC113A" w:rsidRDefault="00AC113A">
            <w:pPr>
              <w:jc w:val="both"/>
              <w:rPr>
                <w:i/>
              </w:rPr>
            </w:pPr>
            <w:r>
              <w:rPr>
                <w:i/>
              </w:rPr>
              <w:t xml:space="preserve">A titre exploratoire : comparaison du delta pic/taux de base de cortisol selon les 3 postes des ARM avec un test non paramétrique de Kruskal Wallis, de même selon l’ancienneté des ARM, la gravité de l’appel et le statut du médecin (urgentiste ou libéral). </w:t>
            </w:r>
          </w:p>
          <w:p w:rsidR="00AC113A" w:rsidRDefault="00AC113A">
            <w:pPr>
              <w:jc w:val="both"/>
              <w:rPr>
                <w:smallCaps/>
              </w:rPr>
            </w:pPr>
            <w:r>
              <w:rPr>
                <w:i/>
              </w:rPr>
              <w:t>Le score à l’EVA (stress perçu) sera comparé au delta pic/taux de base de cortisol (stress biologique) à l’aide du coefficient de corrélation de Spearmann.</w:t>
            </w:r>
          </w:p>
        </w:tc>
      </w:tr>
      <w:tr w:rsidR="00AC113A">
        <w:tc>
          <w:tcPr>
            <w:tcW w:w="2764" w:type="dxa"/>
            <w:tcBorders>
              <w:top w:val="single" w:sz="4" w:space="0" w:color="000000"/>
              <w:left w:val="single" w:sz="4" w:space="0" w:color="000000"/>
              <w:bottom w:val="single" w:sz="4" w:space="0" w:color="000000"/>
            </w:tcBorders>
            <w:shd w:val="clear" w:color="auto" w:fill="auto"/>
          </w:tcPr>
          <w:p w:rsidR="00AC113A" w:rsidRDefault="00AC113A">
            <w:pPr>
              <w:pStyle w:val="Corpsdetexte"/>
              <w:rPr>
                <w:i/>
              </w:rPr>
            </w:pPr>
            <w:r>
              <w:rPr>
                <w:smallCaps/>
              </w:rPr>
              <w:lastRenderedPageBreak/>
              <w:t>Retombées attendues</w:t>
            </w:r>
            <w:r>
              <w:rPr>
                <w:b/>
                <w:smallCaps/>
              </w:rPr>
              <w:t xml:space="preserve"> </w:t>
            </w:r>
          </w:p>
        </w:tc>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AC113A" w:rsidRDefault="00AC113A">
            <w:pPr>
              <w:jc w:val="both"/>
            </w:pPr>
            <w:r>
              <w:rPr>
                <w:i/>
              </w:rPr>
              <w:t>Mesurer de manière objective le stress en service de régulation pour permettre la mise en  place de moyens de prévention efficace</w:t>
            </w:r>
            <w:r w:rsidR="00AA539A">
              <w:rPr>
                <w:i/>
              </w:rPr>
              <w:t>s</w:t>
            </w:r>
            <w:r>
              <w:rPr>
                <w:i/>
              </w:rPr>
              <w:t>.</w:t>
            </w:r>
          </w:p>
        </w:tc>
      </w:tr>
    </w:tbl>
    <w:p w:rsidR="00AC113A" w:rsidRDefault="00AC113A">
      <w:pPr>
        <w:spacing w:line="360" w:lineRule="auto"/>
        <w:jc w:val="both"/>
      </w:pPr>
    </w:p>
    <w:p w:rsidR="00AC113A" w:rsidRDefault="00AC113A">
      <w:pPr>
        <w:ind w:firstLine="708"/>
        <w:jc w:val="both"/>
        <w:rPr>
          <w:rFonts w:ascii="Times New (W1)" w:hAnsi="Times New (W1)" w:cs="Times New (W1)"/>
        </w:rPr>
      </w:pPr>
    </w:p>
    <w:p w:rsidR="00AC113A" w:rsidRDefault="00AC113A">
      <w:pPr>
        <w:pageBreakBefore/>
        <w:ind w:firstLine="708"/>
        <w:jc w:val="both"/>
        <w:rPr>
          <w:rFonts w:ascii="Times New (W1)" w:hAnsi="Times New (W1)" w:cs="Times New (W1)"/>
        </w:rPr>
      </w:pPr>
    </w:p>
    <w:p w:rsidR="00AC113A" w:rsidRDefault="00AC113A">
      <w:pPr>
        <w:jc w:val="center"/>
        <w:rPr>
          <w:b/>
        </w:rPr>
      </w:pPr>
      <w:r>
        <w:rPr>
          <w:b/>
        </w:rPr>
        <w:t>Liste des abréviations</w:t>
      </w:r>
    </w:p>
    <w:p w:rsidR="00AC113A" w:rsidRDefault="00AC113A">
      <w:pPr>
        <w:jc w:val="both"/>
        <w:rPr>
          <w:b/>
        </w:rPr>
      </w:pPr>
    </w:p>
    <w:p w:rsidR="00AC113A" w:rsidRDefault="00AC113A">
      <w:pPr>
        <w:jc w:val="both"/>
        <w:rPr>
          <w:i/>
        </w:rPr>
      </w:pPr>
    </w:p>
    <w:p w:rsidR="00AC113A" w:rsidRDefault="00AC113A">
      <w:pPr>
        <w:jc w:val="both"/>
      </w:pPr>
    </w:p>
    <w:p w:rsidR="00AC113A" w:rsidRDefault="00AC113A">
      <w:pPr>
        <w:jc w:val="both"/>
      </w:pPr>
    </w:p>
    <w:tbl>
      <w:tblPr>
        <w:tblW w:w="0" w:type="auto"/>
        <w:tblLayout w:type="fixed"/>
        <w:tblLook w:val="0000" w:firstRow="0" w:lastRow="0" w:firstColumn="0" w:lastColumn="0" w:noHBand="0" w:noVBand="0"/>
      </w:tblPr>
      <w:tblGrid>
        <w:gridCol w:w="2320"/>
        <w:gridCol w:w="6693"/>
      </w:tblGrid>
      <w:tr w:rsidR="00AC113A">
        <w:tc>
          <w:tcPr>
            <w:tcW w:w="2320" w:type="dxa"/>
            <w:shd w:val="clear" w:color="auto" w:fill="auto"/>
            <w:vAlign w:val="center"/>
          </w:tcPr>
          <w:p w:rsidR="00AC113A" w:rsidRDefault="00AC113A">
            <w:pPr>
              <w:snapToGrid w:val="0"/>
            </w:pPr>
          </w:p>
        </w:tc>
        <w:tc>
          <w:tcPr>
            <w:tcW w:w="6693" w:type="dxa"/>
            <w:shd w:val="clear" w:color="auto" w:fill="auto"/>
            <w:vAlign w:val="center"/>
          </w:tcPr>
          <w:p w:rsidR="00AC113A" w:rsidRDefault="00AC113A">
            <w:pPr>
              <w:snapToGrid w:val="0"/>
            </w:pPr>
          </w:p>
        </w:tc>
      </w:tr>
      <w:tr w:rsidR="00AC113A">
        <w:tc>
          <w:tcPr>
            <w:tcW w:w="2320" w:type="dxa"/>
            <w:shd w:val="clear" w:color="auto" w:fill="auto"/>
            <w:vAlign w:val="center"/>
          </w:tcPr>
          <w:p w:rsidR="00AC113A" w:rsidRDefault="00AC113A">
            <w:pPr>
              <w:snapToGrid w:val="0"/>
            </w:pPr>
          </w:p>
        </w:tc>
        <w:tc>
          <w:tcPr>
            <w:tcW w:w="6693" w:type="dxa"/>
            <w:shd w:val="clear" w:color="auto" w:fill="auto"/>
            <w:vAlign w:val="center"/>
          </w:tcPr>
          <w:p w:rsidR="00AC113A" w:rsidRDefault="00AC113A">
            <w:pPr>
              <w:snapToGrid w:val="0"/>
            </w:pPr>
          </w:p>
        </w:tc>
      </w:tr>
      <w:tr w:rsidR="00AC113A">
        <w:tc>
          <w:tcPr>
            <w:tcW w:w="2320" w:type="dxa"/>
            <w:shd w:val="clear" w:color="auto" w:fill="auto"/>
            <w:vAlign w:val="center"/>
          </w:tcPr>
          <w:p w:rsidR="00AC113A" w:rsidRDefault="00AC113A">
            <w:r>
              <w:t>ANSM</w:t>
            </w:r>
          </w:p>
        </w:tc>
        <w:tc>
          <w:tcPr>
            <w:tcW w:w="6693" w:type="dxa"/>
            <w:shd w:val="clear" w:color="auto" w:fill="auto"/>
            <w:vAlign w:val="center"/>
          </w:tcPr>
          <w:p w:rsidR="00AC113A" w:rsidRDefault="00AC113A">
            <w:r>
              <w:t xml:space="preserve">Agence </w:t>
            </w:r>
            <w:r w:rsidR="00AA539A">
              <w:t>Nationale de Sécurité des Médicaments et produits de santé</w:t>
            </w:r>
          </w:p>
        </w:tc>
      </w:tr>
      <w:tr w:rsidR="00AC113A">
        <w:tc>
          <w:tcPr>
            <w:tcW w:w="2320" w:type="dxa"/>
            <w:shd w:val="clear" w:color="auto" w:fill="auto"/>
            <w:vAlign w:val="center"/>
          </w:tcPr>
          <w:p w:rsidR="00AC113A" w:rsidRDefault="00AC113A">
            <w:r>
              <w:t>ARC</w:t>
            </w:r>
          </w:p>
        </w:tc>
        <w:tc>
          <w:tcPr>
            <w:tcW w:w="6693" w:type="dxa"/>
            <w:shd w:val="clear" w:color="auto" w:fill="auto"/>
            <w:vAlign w:val="center"/>
          </w:tcPr>
          <w:p w:rsidR="00AC113A" w:rsidRDefault="00AC113A">
            <w:r>
              <w:t>attaché de Recherche Clinique</w:t>
            </w:r>
          </w:p>
        </w:tc>
      </w:tr>
      <w:tr w:rsidR="00AC113A">
        <w:tc>
          <w:tcPr>
            <w:tcW w:w="2320" w:type="dxa"/>
            <w:shd w:val="clear" w:color="auto" w:fill="auto"/>
            <w:vAlign w:val="center"/>
          </w:tcPr>
          <w:p w:rsidR="00AC113A" w:rsidRDefault="00AC113A">
            <w:r>
              <w:t>ARM</w:t>
            </w:r>
          </w:p>
        </w:tc>
        <w:tc>
          <w:tcPr>
            <w:tcW w:w="6693" w:type="dxa"/>
            <w:shd w:val="clear" w:color="auto" w:fill="auto"/>
            <w:vAlign w:val="center"/>
          </w:tcPr>
          <w:p w:rsidR="00AC113A" w:rsidRDefault="00AC113A">
            <w:r>
              <w:t>Assistant de régulation médicale</w:t>
            </w:r>
          </w:p>
        </w:tc>
      </w:tr>
      <w:tr w:rsidR="00AC113A">
        <w:tc>
          <w:tcPr>
            <w:tcW w:w="2320" w:type="dxa"/>
            <w:shd w:val="clear" w:color="auto" w:fill="auto"/>
            <w:vAlign w:val="center"/>
          </w:tcPr>
          <w:p w:rsidR="00AC113A" w:rsidRDefault="00AC113A">
            <w:r>
              <w:t>AVC</w:t>
            </w:r>
          </w:p>
        </w:tc>
        <w:tc>
          <w:tcPr>
            <w:tcW w:w="6693" w:type="dxa"/>
            <w:shd w:val="clear" w:color="auto" w:fill="auto"/>
            <w:vAlign w:val="center"/>
          </w:tcPr>
          <w:p w:rsidR="00AC113A" w:rsidRDefault="00AC113A">
            <w:r>
              <w:t xml:space="preserve">Accident Vasculaire Cérébral </w:t>
            </w:r>
          </w:p>
        </w:tc>
      </w:tr>
      <w:tr w:rsidR="00AC113A">
        <w:tc>
          <w:tcPr>
            <w:tcW w:w="2320" w:type="dxa"/>
            <w:shd w:val="clear" w:color="auto" w:fill="auto"/>
            <w:vAlign w:val="center"/>
          </w:tcPr>
          <w:p w:rsidR="00AC113A" w:rsidRDefault="00AC113A">
            <w:r>
              <w:t>BPC</w:t>
            </w:r>
          </w:p>
        </w:tc>
        <w:tc>
          <w:tcPr>
            <w:tcW w:w="6693" w:type="dxa"/>
            <w:shd w:val="clear" w:color="auto" w:fill="auto"/>
            <w:vAlign w:val="center"/>
          </w:tcPr>
          <w:p w:rsidR="00AC113A" w:rsidRDefault="00AC113A">
            <w:r>
              <w:t>Bonnes Pratiques Cliniques</w:t>
            </w:r>
          </w:p>
        </w:tc>
      </w:tr>
      <w:tr w:rsidR="00AC113A">
        <w:trPr>
          <w:trHeight w:val="351"/>
        </w:trPr>
        <w:tc>
          <w:tcPr>
            <w:tcW w:w="2320" w:type="dxa"/>
            <w:shd w:val="clear" w:color="auto" w:fill="auto"/>
            <w:vAlign w:val="center"/>
          </w:tcPr>
          <w:p w:rsidR="00AC113A" w:rsidRDefault="00AC113A">
            <w:r>
              <w:t>CNIL</w:t>
            </w:r>
          </w:p>
        </w:tc>
        <w:tc>
          <w:tcPr>
            <w:tcW w:w="6693" w:type="dxa"/>
            <w:shd w:val="clear" w:color="auto" w:fill="auto"/>
            <w:vAlign w:val="center"/>
          </w:tcPr>
          <w:p w:rsidR="00AC113A" w:rsidRDefault="00AC113A">
            <w:r>
              <w:t>Commission Nationale de l’Informatique et des Libertés</w:t>
            </w:r>
          </w:p>
        </w:tc>
      </w:tr>
      <w:tr w:rsidR="00AC113A">
        <w:tc>
          <w:tcPr>
            <w:tcW w:w="2320" w:type="dxa"/>
            <w:shd w:val="clear" w:color="auto" w:fill="auto"/>
            <w:vAlign w:val="center"/>
          </w:tcPr>
          <w:p w:rsidR="00AC113A" w:rsidRDefault="00AC113A">
            <w:r>
              <w:t>CPP</w:t>
            </w:r>
          </w:p>
        </w:tc>
        <w:tc>
          <w:tcPr>
            <w:tcW w:w="6693" w:type="dxa"/>
            <w:shd w:val="clear" w:color="auto" w:fill="auto"/>
            <w:vAlign w:val="center"/>
          </w:tcPr>
          <w:p w:rsidR="00AC113A" w:rsidRDefault="00AC113A">
            <w:r>
              <w:t xml:space="preserve">Comité de Protection des Personnes </w:t>
            </w:r>
          </w:p>
        </w:tc>
      </w:tr>
      <w:tr w:rsidR="00AC113A" w:rsidRPr="008B1937">
        <w:tc>
          <w:tcPr>
            <w:tcW w:w="2320" w:type="dxa"/>
            <w:shd w:val="clear" w:color="auto" w:fill="auto"/>
            <w:vAlign w:val="center"/>
          </w:tcPr>
          <w:p w:rsidR="00AC113A" w:rsidRDefault="00AC113A">
            <w:pPr>
              <w:rPr>
                <w:lang w:val="en-GB"/>
              </w:rPr>
            </w:pPr>
            <w:r>
              <w:t>CRF</w:t>
            </w:r>
          </w:p>
        </w:tc>
        <w:tc>
          <w:tcPr>
            <w:tcW w:w="6693" w:type="dxa"/>
            <w:shd w:val="clear" w:color="auto" w:fill="auto"/>
            <w:vAlign w:val="center"/>
          </w:tcPr>
          <w:p w:rsidR="00AC113A" w:rsidRPr="008B1937" w:rsidRDefault="00AC113A">
            <w:pPr>
              <w:rPr>
                <w:lang w:val="en-GB"/>
              </w:rPr>
            </w:pPr>
            <w:r>
              <w:rPr>
                <w:lang w:val="en-GB"/>
              </w:rPr>
              <w:t>Case Report Form (cahier d</w:t>
            </w:r>
            <w:r w:rsidR="00AA539A">
              <w:rPr>
                <w:lang w:val="en-GB"/>
              </w:rPr>
              <w:t>’</w:t>
            </w:r>
            <w:r>
              <w:rPr>
                <w:lang w:val="en-GB"/>
              </w:rPr>
              <w:t>observation)</w:t>
            </w:r>
          </w:p>
        </w:tc>
      </w:tr>
      <w:tr w:rsidR="00AC113A">
        <w:tc>
          <w:tcPr>
            <w:tcW w:w="2320" w:type="dxa"/>
            <w:shd w:val="clear" w:color="auto" w:fill="auto"/>
            <w:vAlign w:val="center"/>
          </w:tcPr>
          <w:p w:rsidR="00AC113A" w:rsidRDefault="00AC113A">
            <w:r>
              <w:t>EIG </w:t>
            </w:r>
          </w:p>
        </w:tc>
        <w:tc>
          <w:tcPr>
            <w:tcW w:w="6693" w:type="dxa"/>
            <w:shd w:val="clear" w:color="auto" w:fill="auto"/>
            <w:vAlign w:val="center"/>
          </w:tcPr>
          <w:p w:rsidR="00AC113A" w:rsidRDefault="00AC113A">
            <w:r>
              <w:t>Evènement  Indésirable Grave</w:t>
            </w:r>
          </w:p>
        </w:tc>
      </w:tr>
      <w:tr w:rsidR="00AC113A">
        <w:tc>
          <w:tcPr>
            <w:tcW w:w="2320" w:type="dxa"/>
            <w:shd w:val="clear" w:color="auto" w:fill="auto"/>
            <w:vAlign w:val="center"/>
          </w:tcPr>
          <w:p w:rsidR="00AC113A" w:rsidRDefault="00AC113A">
            <w:r>
              <w:t>EIGI </w:t>
            </w:r>
          </w:p>
        </w:tc>
        <w:tc>
          <w:tcPr>
            <w:tcW w:w="6693" w:type="dxa"/>
            <w:shd w:val="clear" w:color="auto" w:fill="auto"/>
            <w:vAlign w:val="center"/>
          </w:tcPr>
          <w:p w:rsidR="00AC113A" w:rsidRDefault="00AC113A">
            <w:r>
              <w:t>Effet Indésirable Grave Inattendu</w:t>
            </w:r>
          </w:p>
        </w:tc>
      </w:tr>
      <w:tr w:rsidR="00AC113A">
        <w:tc>
          <w:tcPr>
            <w:tcW w:w="2320" w:type="dxa"/>
            <w:shd w:val="clear" w:color="auto" w:fill="auto"/>
            <w:vAlign w:val="center"/>
          </w:tcPr>
          <w:p w:rsidR="00AC113A" w:rsidRDefault="00AC113A">
            <w:r>
              <w:t>ICH</w:t>
            </w:r>
          </w:p>
        </w:tc>
        <w:tc>
          <w:tcPr>
            <w:tcW w:w="6693" w:type="dxa"/>
            <w:shd w:val="clear" w:color="auto" w:fill="auto"/>
            <w:vAlign w:val="center"/>
          </w:tcPr>
          <w:p w:rsidR="00AC113A" w:rsidRDefault="00AC113A">
            <w:r>
              <w:t>International Conference on Harmonization (Conférence internationale pour l'harmonisation)</w:t>
            </w:r>
          </w:p>
        </w:tc>
      </w:tr>
      <w:tr w:rsidR="00AC113A">
        <w:tc>
          <w:tcPr>
            <w:tcW w:w="2320" w:type="dxa"/>
            <w:shd w:val="clear" w:color="auto" w:fill="auto"/>
            <w:vAlign w:val="center"/>
          </w:tcPr>
          <w:p w:rsidR="00AC113A" w:rsidRDefault="00AC113A">
            <w:r>
              <w:t>MCE</w:t>
            </w:r>
          </w:p>
        </w:tc>
        <w:tc>
          <w:tcPr>
            <w:tcW w:w="6693" w:type="dxa"/>
            <w:shd w:val="clear" w:color="auto" w:fill="auto"/>
            <w:vAlign w:val="center"/>
          </w:tcPr>
          <w:p w:rsidR="00AC113A" w:rsidRDefault="00AC113A">
            <w:pPr>
              <w:snapToGrid w:val="0"/>
            </w:pPr>
            <w:r>
              <w:t>Massage cardiaque externe</w:t>
            </w:r>
          </w:p>
        </w:tc>
      </w:tr>
      <w:tr w:rsidR="00AC113A">
        <w:tc>
          <w:tcPr>
            <w:tcW w:w="2320" w:type="dxa"/>
            <w:shd w:val="clear" w:color="auto" w:fill="auto"/>
            <w:vAlign w:val="center"/>
          </w:tcPr>
          <w:p w:rsidR="00AC113A" w:rsidRDefault="00AC113A">
            <w:r>
              <w:t>MR</w:t>
            </w:r>
          </w:p>
        </w:tc>
        <w:tc>
          <w:tcPr>
            <w:tcW w:w="6693" w:type="dxa"/>
            <w:shd w:val="clear" w:color="auto" w:fill="auto"/>
            <w:vAlign w:val="center"/>
          </w:tcPr>
          <w:p w:rsidR="00AC113A" w:rsidRDefault="00AC113A">
            <w:r>
              <w:t>Méthodologie de Référence</w:t>
            </w:r>
          </w:p>
        </w:tc>
      </w:tr>
      <w:tr w:rsidR="00AC113A">
        <w:tc>
          <w:tcPr>
            <w:tcW w:w="2320" w:type="dxa"/>
            <w:shd w:val="clear" w:color="auto" w:fill="auto"/>
            <w:vAlign w:val="center"/>
          </w:tcPr>
          <w:p w:rsidR="00AC113A" w:rsidRDefault="00AC113A">
            <w:r>
              <w:t>OAP</w:t>
            </w:r>
          </w:p>
        </w:tc>
        <w:tc>
          <w:tcPr>
            <w:tcW w:w="6693" w:type="dxa"/>
            <w:shd w:val="clear" w:color="auto" w:fill="auto"/>
            <w:vAlign w:val="center"/>
          </w:tcPr>
          <w:p w:rsidR="00AC113A" w:rsidRDefault="00AC113A">
            <w:r>
              <w:t>Œdème Aigu Pulmonaire</w:t>
            </w:r>
          </w:p>
        </w:tc>
      </w:tr>
      <w:tr w:rsidR="00AC113A">
        <w:tc>
          <w:tcPr>
            <w:tcW w:w="2320" w:type="dxa"/>
            <w:shd w:val="clear" w:color="auto" w:fill="auto"/>
            <w:vAlign w:val="center"/>
          </w:tcPr>
          <w:p w:rsidR="00AC113A" w:rsidRDefault="00AC113A">
            <w:r>
              <w:t>SMUR</w:t>
            </w:r>
          </w:p>
        </w:tc>
        <w:tc>
          <w:tcPr>
            <w:tcW w:w="6693" w:type="dxa"/>
            <w:shd w:val="clear" w:color="auto" w:fill="auto"/>
            <w:vAlign w:val="center"/>
          </w:tcPr>
          <w:p w:rsidR="00AC113A" w:rsidRDefault="00AC113A">
            <w:r>
              <w:t>Service Mobile d'Urgence et de Réanimation</w:t>
            </w:r>
          </w:p>
        </w:tc>
      </w:tr>
      <w:tr w:rsidR="00AC113A">
        <w:tc>
          <w:tcPr>
            <w:tcW w:w="2320" w:type="dxa"/>
            <w:shd w:val="clear" w:color="auto" w:fill="auto"/>
            <w:vAlign w:val="center"/>
          </w:tcPr>
          <w:p w:rsidR="00AC113A" w:rsidRDefault="00AC113A">
            <w:r>
              <w:t>SPPN (questionnaire)</w:t>
            </w:r>
          </w:p>
        </w:tc>
        <w:tc>
          <w:tcPr>
            <w:tcW w:w="6693" w:type="dxa"/>
            <w:shd w:val="clear" w:color="auto" w:fill="auto"/>
            <w:vAlign w:val="center"/>
          </w:tcPr>
          <w:p w:rsidR="00AC113A" w:rsidRDefault="00AC113A">
            <w:r>
              <w:t>Stress Professionnel Positif et Négatif</w:t>
            </w:r>
          </w:p>
        </w:tc>
      </w:tr>
      <w:tr w:rsidR="00AC113A">
        <w:tc>
          <w:tcPr>
            <w:tcW w:w="2320" w:type="dxa"/>
            <w:shd w:val="clear" w:color="auto" w:fill="auto"/>
            <w:vAlign w:val="center"/>
          </w:tcPr>
          <w:p w:rsidR="00AC113A" w:rsidRDefault="00AC113A">
            <w:pPr>
              <w:rPr>
                <w:lang w:val="en-US"/>
              </w:rPr>
            </w:pPr>
            <w:r>
              <w:t>SUSAR</w:t>
            </w:r>
          </w:p>
        </w:tc>
        <w:tc>
          <w:tcPr>
            <w:tcW w:w="6693" w:type="dxa"/>
            <w:shd w:val="clear" w:color="auto" w:fill="auto"/>
            <w:vAlign w:val="center"/>
          </w:tcPr>
          <w:p w:rsidR="00AC113A" w:rsidRDefault="00AC113A">
            <w:pPr>
              <w:rPr>
                <w:lang w:val="en-GB"/>
              </w:rPr>
            </w:pPr>
            <w:r>
              <w:rPr>
                <w:lang w:val="en-US"/>
              </w:rPr>
              <w:t>Suspected Unexpected Serious Adverse Reaction</w:t>
            </w:r>
          </w:p>
        </w:tc>
      </w:tr>
      <w:tr w:rsidR="00AC113A">
        <w:tc>
          <w:tcPr>
            <w:tcW w:w="2320" w:type="dxa"/>
            <w:shd w:val="clear" w:color="auto" w:fill="auto"/>
            <w:vAlign w:val="center"/>
          </w:tcPr>
          <w:p w:rsidR="00AC113A" w:rsidRDefault="00AC113A">
            <w:pPr>
              <w:snapToGrid w:val="0"/>
              <w:rPr>
                <w:lang w:val="en-GB"/>
              </w:rPr>
            </w:pPr>
          </w:p>
        </w:tc>
        <w:tc>
          <w:tcPr>
            <w:tcW w:w="6693" w:type="dxa"/>
            <w:shd w:val="clear" w:color="auto" w:fill="auto"/>
            <w:vAlign w:val="center"/>
          </w:tcPr>
          <w:p w:rsidR="00AC113A" w:rsidRDefault="00AC113A">
            <w:pPr>
              <w:snapToGrid w:val="0"/>
              <w:rPr>
                <w:iCs/>
                <w:lang w:val="en-US"/>
              </w:rPr>
            </w:pPr>
          </w:p>
        </w:tc>
      </w:tr>
      <w:tr w:rsidR="00AC113A">
        <w:tc>
          <w:tcPr>
            <w:tcW w:w="2320" w:type="dxa"/>
            <w:shd w:val="clear" w:color="auto" w:fill="auto"/>
            <w:vAlign w:val="bottom"/>
          </w:tcPr>
          <w:p w:rsidR="00AC113A" w:rsidRDefault="00AC113A">
            <w:pPr>
              <w:snapToGrid w:val="0"/>
              <w:rPr>
                <w:lang w:val="en-GB"/>
              </w:rPr>
            </w:pPr>
          </w:p>
        </w:tc>
        <w:tc>
          <w:tcPr>
            <w:tcW w:w="6693" w:type="dxa"/>
            <w:shd w:val="clear" w:color="auto" w:fill="auto"/>
            <w:vAlign w:val="center"/>
          </w:tcPr>
          <w:p w:rsidR="00AC113A" w:rsidRDefault="00AC113A">
            <w:pPr>
              <w:snapToGrid w:val="0"/>
              <w:rPr>
                <w:lang w:val="en-GB"/>
              </w:rPr>
            </w:pPr>
          </w:p>
        </w:tc>
      </w:tr>
      <w:tr w:rsidR="00AC113A" w:rsidRPr="008B1937">
        <w:tc>
          <w:tcPr>
            <w:tcW w:w="2320" w:type="dxa"/>
            <w:shd w:val="clear" w:color="auto" w:fill="auto"/>
            <w:vAlign w:val="bottom"/>
          </w:tcPr>
          <w:p w:rsidR="00AC113A" w:rsidRDefault="00AC113A">
            <w:pPr>
              <w:snapToGrid w:val="0"/>
              <w:rPr>
                <w:lang w:val="en-GB"/>
              </w:rPr>
            </w:pPr>
          </w:p>
        </w:tc>
        <w:tc>
          <w:tcPr>
            <w:tcW w:w="6693" w:type="dxa"/>
            <w:shd w:val="clear" w:color="auto" w:fill="auto"/>
            <w:vAlign w:val="center"/>
          </w:tcPr>
          <w:p w:rsidR="00AC113A" w:rsidRDefault="00AC113A">
            <w:pPr>
              <w:snapToGrid w:val="0"/>
              <w:rPr>
                <w:lang w:val="en-GB"/>
              </w:rPr>
            </w:pPr>
          </w:p>
        </w:tc>
      </w:tr>
    </w:tbl>
    <w:p w:rsidR="00AC113A" w:rsidRPr="008B1937" w:rsidRDefault="00AC113A">
      <w:pPr>
        <w:jc w:val="both"/>
        <w:rPr>
          <w:lang w:val="en-GB"/>
        </w:rPr>
      </w:pPr>
    </w:p>
    <w:p w:rsidR="00AC113A" w:rsidRDefault="00AC113A">
      <w:pPr>
        <w:pageBreakBefore/>
        <w:jc w:val="both"/>
        <w:rPr>
          <w:rFonts w:ascii="Times New (W1)" w:hAnsi="Times New (W1)" w:cs="Times New (W1)"/>
          <w:b/>
          <w:caps/>
          <w:lang w:val="en-GB"/>
        </w:rPr>
      </w:pPr>
    </w:p>
    <w:p w:rsidR="00AC113A" w:rsidRDefault="00AC113A">
      <w:pPr>
        <w:jc w:val="both"/>
        <w:rPr>
          <w:b/>
          <w:caps/>
          <w:lang w:val="en-GB"/>
        </w:rPr>
      </w:pPr>
    </w:p>
    <w:p w:rsidR="00AC113A" w:rsidRDefault="00AC113A">
      <w:pPr>
        <w:shd w:val="clear" w:color="auto" w:fill="CCFFFF"/>
        <w:jc w:val="both"/>
        <w:rPr>
          <w:caps/>
        </w:rPr>
      </w:pPr>
      <w:r>
        <w:rPr>
          <w:b/>
          <w:caps/>
        </w:rPr>
        <w:t>2. Justification scientifique et description générale de la recherche :</w:t>
      </w:r>
    </w:p>
    <w:p w:rsidR="00AC113A" w:rsidRDefault="00AC113A">
      <w:pPr>
        <w:tabs>
          <w:tab w:val="left" w:pos="426"/>
        </w:tabs>
        <w:rPr>
          <w:caps/>
        </w:rPr>
      </w:pPr>
    </w:p>
    <w:p w:rsidR="00AC113A" w:rsidRDefault="00AC113A">
      <w:pPr>
        <w:tabs>
          <w:tab w:val="left" w:pos="1278"/>
        </w:tabs>
        <w:ind w:left="426"/>
        <w:rPr>
          <w:rFonts w:ascii="Tahoma" w:hAnsi="Tahoma" w:cs="Tahoma"/>
          <w:i/>
        </w:rPr>
      </w:pPr>
    </w:p>
    <w:p w:rsidR="00AC113A" w:rsidRDefault="00AC113A">
      <w:pPr>
        <w:ind w:firstLine="708"/>
        <w:jc w:val="both"/>
      </w:pPr>
      <w:r>
        <w:rPr>
          <w:b/>
          <w:u w:val="single"/>
        </w:rPr>
        <w:t>Présentation des données actuelles de la science sur le stress en centre de régulation</w:t>
      </w:r>
    </w:p>
    <w:p w:rsidR="00AC113A" w:rsidRDefault="00AC113A">
      <w:pPr>
        <w:ind w:firstLine="708"/>
        <w:jc w:val="both"/>
      </w:pPr>
    </w:p>
    <w:p w:rsidR="00AC113A" w:rsidRDefault="00AC113A">
      <w:pPr>
        <w:ind w:firstLine="708"/>
        <w:jc w:val="both"/>
      </w:pPr>
    </w:p>
    <w:p w:rsidR="00AC113A" w:rsidRDefault="00AC113A">
      <w:pPr>
        <w:ind w:firstLine="708"/>
        <w:jc w:val="both"/>
      </w:pPr>
      <w:r>
        <w:t>Le stress au travail n’est maintenant plus un concept abstrait. Nous allons voir que de nombreuses études portent sur le sujet, mais que peu ont évalué le stress en centre 15, ou régulation.</w:t>
      </w:r>
    </w:p>
    <w:p w:rsidR="00AC113A" w:rsidRDefault="00AC113A">
      <w:pPr>
        <w:ind w:firstLine="708"/>
        <w:jc w:val="both"/>
        <w:rPr>
          <w:b/>
          <w:u w:val="single"/>
        </w:rPr>
      </w:pPr>
      <w:r>
        <w:t>Nous ferons ensuite un bref rappel de l’historique du stress et de sa physiopathologie, puis l’intérêt du cortisol dans les études concernant le stress, et enfin le lien entre physiologie et physiopathologie.</w:t>
      </w:r>
    </w:p>
    <w:p w:rsidR="00AC113A" w:rsidRDefault="00AC113A">
      <w:pPr>
        <w:ind w:firstLine="708"/>
        <w:jc w:val="both"/>
        <w:rPr>
          <w:b/>
          <w:u w:val="single"/>
        </w:rPr>
      </w:pPr>
    </w:p>
    <w:p w:rsidR="00AC113A" w:rsidRDefault="00AC113A">
      <w:pPr>
        <w:ind w:firstLine="708"/>
        <w:jc w:val="both"/>
        <w:rPr>
          <w:b/>
          <w:u w:val="single"/>
        </w:rPr>
      </w:pPr>
    </w:p>
    <w:p w:rsidR="00AC113A" w:rsidRPr="000D1B1C" w:rsidRDefault="00AC113A" w:rsidP="000D1B1C">
      <w:pPr>
        <w:ind w:firstLine="708"/>
        <w:jc w:val="both"/>
        <w:rPr>
          <w:rFonts w:ascii="Times New (W1)" w:hAnsi="Times New (W1)" w:cs="Times New (W1)"/>
          <w:b/>
          <w:smallCaps/>
        </w:rPr>
      </w:pPr>
      <w:r w:rsidRPr="000D1B1C">
        <w:rPr>
          <w:rFonts w:ascii="Times New (W1)" w:hAnsi="Times New (W1)" w:cs="Times New (W1)"/>
          <w:b/>
          <w:smallCaps/>
        </w:rPr>
        <w:t>2.1 Le stress au travail</w:t>
      </w:r>
    </w:p>
    <w:p w:rsidR="00AC113A" w:rsidRDefault="00AC113A">
      <w:pPr>
        <w:ind w:firstLine="708"/>
        <w:jc w:val="both"/>
      </w:pPr>
    </w:p>
    <w:p w:rsidR="00AC113A" w:rsidRDefault="00AC113A">
      <w:pPr>
        <w:ind w:firstLine="708"/>
        <w:jc w:val="both"/>
      </w:pPr>
      <w:r>
        <w:t>Depuis maintenant quelques années, le stress devient une préoccupation constante. Notamment dans le monde du travail, car celui-ci prend de plus en plus de place et d’importance dans nos vies. Les entreprises commencent à se rendre compte des pertes engendrées par le stress : maladie, absentéisme, chute de productivité (2). D’après l’agence européenne de sécurité et de santé au travail, le stress au travail toucherait 22 % des travailleurs (chiffres de l’année 2005) et serait responsable de 50 à 60 % de l’absentéisme au travail (3). La prise en charge du stress au travail est aussi un impératif budgétaire, car actuellement en Europe, le coût du stress représenterait 20 milliards d’euros.</w:t>
      </w:r>
    </w:p>
    <w:p w:rsidR="00AC113A" w:rsidRDefault="00AC113A">
      <w:pPr>
        <w:ind w:firstLine="708"/>
        <w:jc w:val="both"/>
      </w:pPr>
      <w:r>
        <w:t>L’extension du concept de stress biologique à stress psychique a permis la réalisation d’études sur les conditions de travail (4, 5, 6, 7, 8). Le stress professionnel et ses répercutions sont encore peu explorés, notamment parmi le personnel médical et paramédical (9, 10, 11, 12, 13)</w:t>
      </w:r>
    </w:p>
    <w:p w:rsidR="00AC113A" w:rsidRDefault="00AC113A">
      <w:pPr>
        <w:ind w:firstLine="708"/>
        <w:jc w:val="both"/>
      </w:pPr>
    </w:p>
    <w:p w:rsidR="00AC113A" w:rsidRDefault="00AC113A">
      <w:pPr>
        <w:ind w:firstLine="708"/>
        <w:jc w:val="both"/>
      </w:pPr>
    </w:p>
    <w:p w:rsidR="00AC113A" w:rsidRDefault="00AC113A">
      <w:pPr>
        <w:pStyle w:val="ListParagraph"/>
        <w:suppressAutoHyphens w:val="0"/>
        <w:spacing w:after="0" w:line="100" w:lineRule="atLeast"/>
        <w:ind w:left="1788"/>
        <w:jc w:val="both"/>
      </w:pPr>
      <w:r>
        <w:rPr>
          <w:b/>
          <w:sz w:val="24"/>
          <w:szCs w:val="24"/>
          <w:u w:val="single"/>
        </w:rPr>
        <w:t>2.1.1  Le stress au travail dans le milieu des urgences</w:t>
      </w:r>
    </w:p>
    <w:p w:rsidR="00AC113A" w:rsidRDefault="00AC113A">
      <w:pPr>
        <w:jc w:val="both"/>
      </w:pPr>
    </w:p>
    <w:p w:rsidR="00AC113A" w:rsidRDefault="00AC113A">
      <w:pPr>
        <w:ind w:firstLine="708"/>
        <w:jc w:val="both"/>
      </w:pPr>
      <w:r>
        <w:t>Le milieu médical est un milieu socio-professionnel où le stress est permanent, en particulier au service d’accueil des urgences (14, 15, 16, 17, 18, 19, 20, 21, 22, 23) où les médecins et paramédicaux ont une charge de travail importante, représentée par des gardes de 24 heures pour les médecins et des gardes le plus souvent de douze heures pour les paramédicaux (24).</w:t>
      </w:r>
    </w:p>
    <w:p w:rsidR="00AC113A" w:rsidRDefault="00AC113A">
      <w:pPr>
        <w:ind w:firstLine="708"/>
        <w:jc w:val="both"/>
      </w:pPr>
      <w:r>
        <w:t>Deux caractéristiques intrinsèques à la tâche de travail sont à l’origine du caractère stressant du métier d’urgentiste : d’une part la dimension d’urgence, c’est-à-dire la pression temporelle qui est stressante en soi et d’autre part, l’impossibilité de prévoir et de planifier la charge de travail (25). Un des aspects du travail d’urgentiste et du personnel paramédical le plus générateur de stress concerne la gestion des appels en régulation au centre 15.</w:t>
      </w:r>
    </w:p>
    <w:p w:rsidR="00AC113A" w:rsidRDefault="00AC113A">
      <w:pPr>
        <w:ind w:firstLine="708"/>
        <w:jc w:val="both"/>
      </w:pPr>
    </w:p>
    <w:p w:rsidR="00AC113A" w:rsidRDefault="00AC113A">
      <w:pPr>
        <w:ind w:firstLine="708"/>
        <w:jc w:val="both"/>
      </w:pPr>
      <w:r>
        <w:t>Lors des appels au centre 15, les médecins et les paramédicaux sont confrontés à un stress aigu. Ils doivent mobiliser des ressources psychiques pour recueillir les informations importantes de la prise en charge pour décider ensuite de la nature de l’intervention et des moyens qui seront déployés, de l’ambulance privée à l’envoi d’une équipe médicale de SMUR (service mobile urgences et réanimation).</w:t>
      </w:r>
    </w:p>
    <w:p w:rsidR="00AC113A" w:rsidRDefault="00AC113A">
      <w:pPr>
        <w:ind w:firstLine="708"/>
        <w:jc w:val="both"/>
      </w:pPr>
    </w:p>
    <w:p w:rsidR="00AC113A" w:rsidRDefault="00AC113A">
      <w:pPr>
        <w:ind w:firstLine="708"/>
        <w:jc w:val="both"/>
      </w:pPr>
    </w:p>
    <w:p w:rsidR="00AC113A" w:rsidRDefault="00AC113A">
      <w:pPr>
        <w:jc w:val="both"/>
      </w:pPr>
    </w:p>
    <w:p w:rsidR="00AC113A" w:rsidRDefault="00AC113A">
      <w:pPr>
        <w:ind w:firstLine="708"/>
        <w:jc w:val="both"/>
      </w:pPr>
      <w:r>
        <w:t xml:space="preserve">Des études ayant pour but d’évaluer le niveau de stress professionnel chez des praticiens </w:t>
      </w:r>
      <w:r>
        <w:lastRenderedPageBreak/>
        <w:t xml:space="preserve">hospitaliers existent (12, 13, 14). De nombreuses études se sont intéressées depuis quelques années au stress parmi les personnels médicaux et paramédicaux des urgences (17, 18). Ces études se servent maintenant fréquemment du dosage de cortisol salivaire pour objectiver le niveau de stress (22, 25, 26, 27). </w:t>
      </w:r>
    </w:p>
    <w:p w:rsidR="00AC113A" w:rsidRDefault="00AC113A">
      <w:pPr>
        <w:ind w:firstLine="708"/>
        <w:jc w:val="both"/>
      </w:pPr>
    </w:p>
    <w:p w:rsidR="00AC113A" w:rsidRDefault="00AC113A">
      <w:pPr>
        <w:pStyle w:val="ListParagraph"/>
        <w:suppressAutoHyphens w:val="0"/>
        <w:spacing w:after="0" w:line="100" w:lineRule="atLeast"/>
        <w:ind w:left="1788"/>
        <w:jc w:val="both"/>
      </w:pPr>
      <w:r>
        <w:rPr>
          <w:b/>
          <w:sz w:val="24"/>
          <w:szCs w:val="24"/>
          <w:u w:val="single"/>
        </w:rPr>
        <w:t>2.1.2 Le stress au travail en régulation</w:t>
      </w:r>
    </w:p>
    <w:p w:rsidR="00AC113A" w:rsidRDefault="00AC113A">
      <w:pPr>
        <w:ind w:firstLine="708"/>
        <w:jc w:val="both"/>
      </w:pPr>
    </w:p>
    <w:p w:rsidR="00AC113A" w:rsidRDefault="00AC113A">
      <w:pPr>
        <w:ind w:firstLine="708"/>
        <w:jc w:val="both"/>
      </w:pPr>
      <w:r>
        <w:t xml:space="preserve">Les études concernant le stress en régulation sont plus rares. A notre connaissance une seule étude a été réalisée sur le stress des personnels paramédicaux ou permanenciers. Cette étude portait plutôt sur le stress au cours d’une journée, avec une comparaison d’un dosage de cortisol réalisé au cours d’une journée de travail comparé à un dosage de cortisol lors d’une journée de repos (1). </w:t>
      </w:r>
    </w:p>
    <w:p w:rsidR="00AC113A" w:rsidRDefault="00AC113A">
      <w:pPr>
        <w:ind w:firstLine="360"/>
        <w:jc w:val="both"/>
      </w:pPr>
      <w:r>
        <w:t xml:space="preserve">On ne dispose à notre connaissance d’aucune étude sur le stress aigu en régulation chez les </w:t>
      </w:r>
      <w:r w:rsidR="00EE54B7">
        <w:t>permanenciers</w:t>
      </w:r>
      <w:r>
        <w:t xml:space="preserve"> recevant les appels en régulation. Aucune étude n’a été réalisée sur le stress aigu ou chronique chez les médecins régulateurs.</w:t>
      </w:r>
    </w:p>
    <w:p w:rsidR="00AC113A" w:rsidRDefault="00AC113A">
      <w:pPr>
        <w:ind w:firstLine="360"/>
        <w:jc w:val="both"/>
      </w:pPr>
      <w:r>
        <w:t>Aucune étude n’a permis un recueil subjectif et objectif du stress en régulation. Or le stress génère à la fois une réaction physiologique</w:t>
      </w:r>
      <w:r w:rsidR="006F1B87">
        <w:t xml:space="preserve"> et</w:t>
      </w:r>
      <w:r>
        <w:t xml:space="preserve"> psychologique de l’organisme. Les approches psychologiques et physiologiques paraissent indissociables et complémentaires à l’évaluation fiable du niveau de réponse au stress. </w:t>
      </w:r>
    </w:p>
    <w:p w:rsidR="00AC113A" w:rsidRDefault="00AC113A">
      <w:pPr>
        <w:jc w:val="both"/>
      </w:pPr>
    </w:p>
    <w:p w:rsidR="00AC113A" w:rsidRDefault="00AC113A">
      <w:pPr>
        <w:ind w:firstLine="360"/>
        <w:jc w:val="both"/>
      </w:pPr>
      <w:r>
        <w:t xml:space="preserve">L’objectif de cette étude est d’évaluer la réponse biologique et psychologique au stress professionnel chez les paramédicaux et les médecins du centre 15. L’évaluation est objective et subjective, reposant sur des mesures biologiques et des questionnaires. L’âge est introduit comme variable explicative en faisant l’hypothèse que l’ancienneté et l’expérience peuvent influencer la réponse au stress. </w:t>
      </w:r>
    </w:p>
    <w:p w:rsidR="00AC113A" w:rsidRDefault="00AC113A">
      <w:pPr>
        <w:jc w:val="both"/>
      </w:pPr>
    </w:p>
    <w:p w:rsidR="00AC113A" w:rsidRPr="000D1B1C" w:rsidRDefault="00AC113A" w:rsidP="000D1B1C">
      <w:pPr>
        <w:ind w:firstLine="708"/>
        <w:jc w:val="both"/>
        <w:rPr>
          <w:rFonts w:ascii="Times New (W1)" w:hAnsi="Times New (W1)" w:cs="Times New (W1)"/>
          <w:b/>
          <w:smallCaps/>
        </w:rPr>
      </w:pPr>
      <w:r w:rsidRPr="000D1B1C">
        <w:rPr>
          <w:rFonts w:ascii="Times New (W1)" w:hAnsi="Times New (W1)" w:cs="Times New (W1)"/>
          <w:b/>
          <w:smallCaps/>
        </w:rPr>
        <w:t>2.2 Introduction à la compréhension des mécanismes du stress</w:t>
      </w:r>
    </w:p>
    <w:p w:rsidR="00AC113A" w:rsidRDefault="00AC113A">
      <w:pPr>
        <w:pStyle w:val="ListParagraph"/>
        <w:ind w:left="2136"/>
        <w:jc w:val="both"/>
        <w:rPr>
          <w:b/>
          <w:sz w:val="24"/>
          <w:szCs w:val="24"/>
          <w:u w:val="single"/>
        </w:rPr>
      </w:pPr>
    </w:p>
    <w:p w:rsidR="00AC113A" w:rsidRDefault="00AC113A">
      <w:pPr>
        <w:pStyle w:val="ListParagraph"/>
        <w:suppressAutoHyphens w:val="0"/>
        <w:spacing w:after="0" w:line="100" w:lineRule="atLeast"/>
        <w:ind w:left="1788"/>
        <w:jc w:val="both"/>
        <w:rPr>
          <w:b/>
          <w:sz w:val="24"/>
          <w:szCs w:val="24"/>
          <w:u w:val="single"/>
        </w:rPr>
      </w:pPr>
      <w:r>
        <w:rPr>
          <w:b/>
          <w:sz w:val="24"/>
          <w:szCs w:val="24"/>
          <w:u w:val="single"/>
        </w:rPr>
        <w:t>2.2.1 Historique et définition du stress</w:t>
      </w:r>
    </w:p>
    <w:p w:rsidR="00D207E2" w:rsidRDefault="00D207E2">
      <w:pPr>
        <w:pStyle w:val="ListParagraph"/>
        <w:suppressAutoHyphens w:val="0"/>
        <w:spacing w:after="0" w:line="100" w:lineRule="atLeast"/>
        <w:ind w:left="1788" w:firstLine="339"/>
        <w:jc w:val="both"/>
        <w:rPr>
          <w:b/>
          <w:sz w:val="24"/>
          <w:szCs w:val="24"/>
          <w:u w:val="single"/>
        </w:rPr>
      </w:pPr>
    </w:p>
    <w:p w:rsidR="00AC113A" w:rsidRDefault="00AC113A">
      <w:pPr>
        <w:pStyle w:val="ListParagraph"/>
        <w:suppressAutoHyphens w:val="0"/>
        <w:spacing w:after="0" w:line="100" w:lineRule="atLeast"/>
        <w:ind w:left="1788" w:firstLine="339"/>
        <w:jc w:val="both"/>
      </w:pPr>
      <w:r>
        <w:rPr>
          <w:b/>
          <w:sz w:val="24"/>
          <w:szCs w:val="24"/>
          <w:u w:val="single"/>
        </w:rPr>
        <w:t>Historique du stress</w:t>
      </w:r>
      <w:r w:rsidR="00D179C2">
        <w:rPr>
          <w:b/>
          <w:sz w:val="24"/>
          <w:szCs w:val="24"/>
          <w:u w:val="single"/>
        </w:rPr>
        <w:sym w:font="Wingdings" w:char="F0E0"/>
      </w:r>
      <w:r w:rsidR="00D179C2">
        <w:rPr>
          <w:b/>
          <w:sz w:val="24"/>
          <w:szCs w:val="24"/>
          <w:u w:val="single"/>
        </w:rPr>
        <w:sym w:font="Wingdings" w:char="F0E0"/>
      </w:r>
    </w:p>
    <w:p w:rsidR="00AC113A" w:rsidRDefault="00AC113A">
      <w:pPr>
        <w:tabs>
          <w:tab w:val="left" w:pos="1278"/>
        </w:tabs>
        <w:ind w:left="426"/>
        <w:jc w:val="both"/>
      </w:pPr>
    </w:p>
    <w:p w:rsidR="00AC113A" w:rsidRDefault="00AC113A">
      <w:pPr>
        <w:tabs>
          <w:tab w:val="left" w:pos="1278"/>
        </w:tabs>
        <w:ind w:left="426" w:firstLine="65"/>
        <w:jc w:val="both"/>
      </w:pPr>
      <w:r>
        <w:tab/>
        <w:t xml:space="preserve">Le stress est un concept ancien, déjà décrit dans le monde antique </w:t>
      </w:r>
      <w:r w:rsidR="006F1B87">
        <w:t xml:space="preserve">dans </w:t>
      </w:r>
      <w:r>
        <w:t>les péripéties des chroniqueurs grecs et latins.</w:t>
      </w:r>
    </w:p>
    <w:p w:rsidR="00AC113A" w:rsidRDefault="00AC113A">
      <w:pPr>
        <w:tabs>
          <w:tab w:val="left" w:pos="1278"/>
        </w:tabs>
        <w:ind w:left="426"/>
        <w:jc w:val="both"/>
      </w:pPr>
      <w:r>
        <w:t>Au XVIIème siècle, stress signifiait en anglais « état de détresse » et renvoyait à l’idée de souffrance, d’oppression, de dureté de la vie, de privation, de fatigue et d’une façon plus générale à la notion d’adversité</w:t>
      </w:r>
      <w:r w:rsidR="006F1B87">
        <w:t>.</w:t>
      </w:r>
    </w:p>
    <w:p w:rsidR="00AC113A" w:rsidRDefault="00AC113A">
      <w:pPr>
        <w:tabs>
          <w:tab w:val="left" w:pos="1278"/>
        </w:tabs>
        <w:ind w:left="426"/>
        <w:jc w:val="both"/>
      </w:pPr>
      <w:r>
        <w:tab/>
        <w:t>Ce n’est qu’après le XVIIIème siècle que le mot prend son sens moderne de force ou de pression ou encore de forte influence qui agit sur un objet physique ou une personne.</w:t>
      </w:r>
    </w:p>
    <w:p w:rsidR="00AC113A" w:rsidRDefault="00AC113A">
      <w:pPr>
        <w:tabs>
          <w:tab w:val="left" w:pos="1278"/>
        </w:tabs>
        <w:ind w:left="426"/>
        <w:jc w:val="both"/>
      </w:pPr>
      <w:r>
        <w:tab/>
        <w:t>Au cours du XIXème siècle, le raisonnement ajoute l’idée que des conditions de vie agressives (stress) peuvent entraîner des maux physiques et mentaux (strain).</w:t>
      </w:r>
    </w:p>
    <w:p w:rsidR="00AC113A" w:rsidRDefault="00AC113A">
      <w:pPr>
        <w:tabs>
          <w:tab w:val="left" w:pos="1278"/>
        </w:tabs>
        <w:ind w:left="426"/>
        <w:jc w:val="both"/>
      </w:pPr>
      <w:r>
        <w:tab/>
        <w:t xml:space="preserve">Dans les </w:t>
      </w:r>
      <w:r w:rsidRPr="00264D00">
        <w:t>années 1</w:t>
      </w:r>
      <w:r w:rsidR="00D179C2" w:rsidRPr="00264D00">
        <w:t>8</w:t>
      </w:r>
      <w:r w:rsidRPr="00264D00">
        <w:t>50</w:t>
      </w:r>
      <w:r>
        <w:t>, le physiologiste français Claude Bernard, précurseur de la médecine expérimentale</w:t>
      </w:r>
      <w:r w:rsidR="006F1B87">
        <w:t>,</w:t>
      </w:r>
      <w:r>
        <w:t xml:space="preserve"> démontre qu’une des propriétés essentielles des êtres vivants est la faculté de maintenir la stabilité de leur milieu interne quels que soient l’environnement extérieur et les modifications qui s’y produisent. (29)</w:t>
      </w:r>
    </w:p>
    <w:p w:rsidR="00AC113A" w:rsidRDefault="00AC113A">
      <w:pPr>
        <w:tabs>
          <w:tab w:val="left" w:pos="1278"/>
        </w:tabs>
        <w:ind w:left="426"/>
        <w:jc w:val="both"/>
      </w:pPr>
    </w:p>
    <w:p w:rsidR="00AC113A" w:rsidRDefault="00AC113A">
      <w:pPr>
        <w:tabs>
          <w:tab w:val="left" w:pos="1278"/>
        </w:tabs>
        <w:ind w:left="426"/>
        <w:jc w:val="both"/>
      </w:pPr>
      <w:r>
        <w:t>En 1910, un cardiologue rapporte qu’un travail pénible, associé à une lourde responsabilité</w:t>
      </w:r>
      <w:r w:rsidR="006F1B87">
        <w:t>,</w:t>
      </w:r>
      <w:r>
        <w:t xml:space="preserve"> est à l’origine de tourments et d’anxiété dont la persistance peut entraîner des problèmes médicaux (Angina pectoris-The Lancet, 1910).</w:t>
      </w:r>
    </w:p>
    <w:p w:rsidR="00AC113A" w:rsidRDefault="00AC113A">
      <w:pPr>
        <w:tabs>
          <w:tab w:val="left" w:pos="1278"/>
        </w:tabs>
        <w:ind w:left="426"/>
        <w:jc w:val="both"/>
      </w:pPr>
    </w:p>
    <w:p w:rsidR="00AC113A" w:rsidRDefault="00AC113A">
      <w:pPr>
        <w:tabs>
          <w:tab w:val="left" w:pos="1278"/>
        </w:tabs>
        <w:ind w:left="426"/>
        <w:jc w:val="both"/>
      </w:pPr>
      <w:r>
        <w:t xml:space="preserve">Le neuro-physiologiste américain Walter Bradford Cannon (1871-1945) insiste en 1928 sur le rôle du facteur émotionnel dans le développement des maladies et envisage alors le terme </w:t>
      </w:r>
      <w:r>
        <w:lastRenderedPageBreak/>
        <w:t>« stress » dans le sens à la fois physiologique et psychologique. Il attire le premier l’attention sur l’importance de la durée de l’agression en différenciant ce qu’il appelle le « fixed stress » et le « variable stress » (30)</w:t>
      </w:r>
      <w:r w:rsidR="006F1B87">
        <w:t>.</w:t>
      </w:r>
    </w:p>
    <w:p w:rsidR="00AC113A" w:rsidRDefault="00AC113A">
      <w:pPr>
        <w:tabs>
          <w:tab w:val="left" w:pos="1278"/>
        </w:tabs>
        <w:ind w:left="426"/>
        <w:jc w:val="both"/>
      </w:pPr>
    </w:p>
    <w:p w:rsidR="00AC113A" w:rsidRDefault="00AC113A">
      <w:pPr>
        <w:tabs>
          <w:tab w:val="left" w:pos="1278"/>
        </w:tabs>
        <w:ind w:left="426"/>
        <w:jc w:val="both"/>
      </w:pPr>
      <w:r>
        <w:t xml:space="preserve">Mais c’est Hans Selye qui introduit le premier le mot stress en médecine avec </w:t>
      </w:r>
      <w:r w:rsidR="006F1B87">
        <w:t xml:space="preserve">la </w:t>
      </w:r>
      <w:r>
        <w:t>mise en évidence du syndrome général d’adaptation (31). L’émergence du thème « stress professionnel » dans la littérature est beaucoup plus récent : 1965 (32)</w:t>
      </w:r>
      <w:r w:rsidR="006F1B87">
        <w:t>.</w:t>
      </w:r>
    </w:p>
    <w:p w:rsidR="00AC113A" w:rsidRDefault="00AC113A">
      <w:pPr>
        <w:tabs>
          <w:tab w:val="left" w:pos="1278"/>
        </w:tabs>
        <w:ind w:left="426"/>
        <w:jc w:val="both"/>
      </w:pPr>
    </w:p>
    <w:p w:rsidR="00D207E2" w:rsidRDefault="00D207E2">
      <w:pPr>
        <w:pStyle w:val="ListParagraph"/>
        <w:suppressAutoHyphens w:val="0"/>
        <w:spacing w:after="0" w:line="100" w:lineRule="atLeast"/>
        <w:ind w:left="1788" w:firstLine="339"/>
        <w:jc w:val="both"/>
        <w:rPr>
          <w:b/>
          <w:sz w:val="24"/>
          <w:szCs w:val="24"/>
          <w:u w:val="single"/>
        </w:rPr>
      </w:pPr>
    </w:p>
    <w:p w:rsidR="00AC113A" w:rsidRDefault="00AC113A">
      <w:pPr>
        <w:pStyle w:val="ListParagraph"/>
        <w:suppressAutoHyphens w:val="0"/>
        <w:spacing w:after="0" w:line="100" w:lineRule="atLeast"/>
        <w:ind w:left="1788" w:firstLine="339"/>
        <w:jc w:val="both"/>
      </w:pPr>
      <w:r>
        <w:rPr>
          <w:b/>
          <w:sz w:val="24"/>
          <w:szCs w:val="24"/>
          <w:u w:val="single"/>
        </w:rPr>
        <w:t>Définition du stress</w:t>
      </w:r>
    </w:p>
    <w:p w:rsidR="00AC113A" w:rsidRDefault="00AC113A">
      <w:pPr>
        <w:tabs>
          <w:tab w:val="left" w:pos="1278"/>
        </w:tabs>
        <w:ind w:left="426"/>
        <w:jc w:val="both"/>
      </w:pPr>
    </w:p>
    <w:p w:rsidR="00AC113A" w:rsidRDefault="00AC113A">
      <w:pPr>
        <w:tabs>
          <w:tab w:val="left" w:pos="1278"/>
        </w:tabs>
        <w:ind w:left="426"/>
        <w:jc w:val="both"/>
      </w:pPr>
      <w:r>
        <w:tab/>
        <w:t>Etymologiquement, le mot stress provient du latin « stringer » : mettre en tension. Le stress répond à plusieurs définitions selon les ouvrages consultés :</w:t>
      </w:r>
    </w:p>
    <w:p w:rsidR="00AC113A" w:rsidRDefault="00AC113A">
      <w:pPr>
        <w:tabs>
          <w:tab w:val="left" w:pos="1278"/>
        </w:tabs>
        <w:ind w:left="426"/>
        <w:jc w:val="both"/>
      </w:pPr>
    </w:p>
    <w:p w:rsidR="00AC113A" w:rsidRDefault="00AC113A">
      <w:pPr>
        <w:tabs>
          <w:tab w:val="left" w:pos="1278"/>
        </w:tabs>
        <w:ind w:left="426"/>
        <w:jc w:val="both"/>
        <w:rPr>
          <w:u w:val="single"/>
        </w:rPr>
      </w:pPr>
      <w:r>
        <w:rPr>
          <w:u w:val="single"/>
        </w:rPr>
        <w:t>Encyclopédie universalis :</w:t>
      </w:r>
    </w:p>
    <w:p w:rsidR="00AC113A" w:rsidRDefault="00AC113A">
      <w:pPr>
        <w:tabs>
          <w:tab w:val="left" w:pos="1278"/>
        </w:tabs>
        <w:ind w:left="426"/>
        <w:jc w:val="both"/>
        <w:rPr>
          <w:u w:val="single"/>
        </w:rPr>
      </w:pPr>
    </w:p>
    <w:p w:rsidR="00AC113A" w:rsidRDefault="00AC113A">
      <w:pPr>
        <w:tabs>
          <w:tab w:val="left" w:pos="1278"/>
        </w:tabs>
        <w:ind w:left="426"/>
        <w:jc w:val="both"/>
        <w:rPr>
          <w:u w:val="single"/>
        </w:rPr>
      </w:pPr>
      <w:r>
        <w:t>Réaction de l’organisme à un agent d’agression ou à un traumatisme quelconque. En fait, « stress » tend, progressivement, à devenir synonyme d’émotion, le sens de ce dernier s’étant très affaibli. Il est employé aussi, dans un sens plus spécifique, pour désigner les tensions engendrées par des conflits internes non résolus ou des situations insolubles et provoquant des états d’anxiété, voire des états névrotiques.</w:t>
      </w:r>
    </w:p>
    <w:p w:rsidR="00AC113A" w:rsidRDefault="00AC113A">
      <w:pPr>
        <w:tabs>
          <w:tab w:val="left" w:pos="1278"/>
        </w:tabs>
        <w:ind w:left="426"/>
        <w:jc w:val="both"/>
        <w:rPr>
          <w:u w:val="single"/>
        </w:rPr>
      </w:pPr>
    </w:p>
    <w:p w:rsidR="00AC113A" w:rsidRDefault="00AC113A">
      <w:pPr>
        <w:tabs>
          <w:tab w:val="left" w:pos="1278"/>
        </w:tabs>
        <w:ind w:left="426"/>
        <w:jc w:val="both"/>
        <w:rPr>
          <w:u w:val="single"/>
        </w:rPr>
      </w:pPr>
      <w:r>
        <w:rPr>
          <w:u w:val="single"/>
        </w:rPr>
        <w:t>Dictionnaire Larousse :</w:t>
      </w:r>
    </w:p>
    <w:p w:rsidR="00AC113A" w:rsidRDefault="00AC113A">
      <w:pPr>
        <w:tabs>
          <w:tab w:val="left" w:pos="1278"/>
        </w:tabs>
        <w:ind w:left="426"/>
        <w:jc w:val="both"/>
        <w:rPr>
          <w:u w:val="single"/>
        </w:rPr>
      </w:pPr>
    </w:p>
    <w:p w:rsidR="00AC113A" w:rsidRDefault="00AC113A">
      <w:pPr>
        <w:tabs>
          <w:tab w:val="left" w:pos="1278"/>
        </w:tabs>
        <w:ind w:left="426"/>
        <w:jc w:val="both"/>
      </w:pPr>
      <w:r>
        <w:t>Réponse de l’organisme aux facteurs d’agression physiologiques et psychologiques ainsi qu’aux émotions (agréables ou désagréables) qui nécessite une adaptation.</w:t>
      </w:r>
    </w:p>
    <w:p w:rsidR="00AC113A" w:rsidRDefault="00AC113A">
      <w:pPr>
        <w:tabs>
          <w:tab w:val="left" w:pos="1278"/>
        </w:tabs>
        <w:ind w:left="426"/>
        <w:jc w:val="both"/>
      </w:pPr>
    </w:p>
    <w:p w:rsidR="00AC113A" w:rsidRDefault="00AC113A">
      <w:pPr>
        <w:tabs>
          <w:tab w:val="left" w:pos="1278"/>
        </w:tabs>
        <w:ind w:left="426"/>
        <w:jc w:val="both"/>
        <w:rPr>
          <w:u w:val="single"/>
        </w:rPr>
      </w:pPr>
      <w:r>
        <w:rPr>
          <w:u w:val="single"/>
        </w:rPr>
        <w:t xml:space="preserve">Dictionnaire de médecine Flammarion : </w:t>
      </w:r>
    </w:p>
    <w:p w:rsidR="00AC113A" w:rsidRDefault="00AC113A">
      <w:pPr>
        <w:tabs>
          <w:tab w:val="left" w:pos="1278"/>
        </w:tabs>
        <w:ind w:left="426"/>
        <w:jc w:val="both"/>
        <w:rPr>
          <w:u w:val="single"/>
        </w:rPr>
      </w:pPr>
    </w:p>
    <w:p w:rsidR="00AC113A" w:rsidRDefault="00AC113A">
      <w:pPr>
        <w:tabs>
          <w:tab w:val="left" w:pos="1278"/>
        </w:tabs>
        <w:ind w:left="426"/>
        <w:jc w:val="both"/>
      </w:pPr>
      <w:r>
        <w:t xml:space="preserve">Agression contre un organisme vivant ; par extension : réaction biologique et psychologique d’un organisme face à une situation nouvelle de quelque origine qu’elle soit, dangereuse ou agréable. </w:t>
      </w:r>
    </w:p>
    <w:p w:rsidR="00AC113A" w:rsidRDefault="00AC113A">
      <w:pPr>
        <w:tabs>
          <w:tab w:val="left" w:pos="1278"/>
        </w:tabs>
        <w:ind w:left="426"/>
        <w:jc w:val="both"/>
      </w:pPr>
    </w:p>
    <w:p w:rsidR="00AC113A" w:rsidRDefault="00AC113A">
      <w:pPr>
        <w:tabs>
          <w:tab w:val="left" w:pos="1278"/>
        </w:tabs>
        <w:ind w:left="426"/>
        <w:jc w:val="both"/>
        <w:rPr>
          <w:u w:val="single"/>
        </w:rPr>
      </w:pPr>
      <w:r>
        <w:rPr>
          <w:u w:val="single"/>
        </w:rPr>
        <w:t>Dictionnaire Wikipédia :</w:t>
      </w:r>
    </w:p>
    <w:p w:rsidR="00AC113A" w:rsidRDefault="00AC113A">
      <w:pPr>
        <w:tabs>
          <w:tab w:val="left" w:pos="1278"/>
        </w:tabs>
        <w:ind w:left="426"/>
        <w:jc w:val="both"/>
        <w:rPr>
          <w:u w:val="single"/>
        </w:rPr>
      </w:pPr>
    </w:p>
    <w:p w:rsidR="00AC113A" w:rsidRDefault="00AC113A">
      <w:pPr>
        <w:tabs>
          <w:tab w:val="left" w:pos="1278"/>
        </w:tabs>
        <w:ind w:left="426"/>
        <w:jc w:val="both"/>
      </w:pPr>
      <w:r>
        <w:t xml:space="preserve">Le </w:t>
      </w:r>
      <w:r>
        <w:rPr>
          <w:b/>
          <w:bCs/>
        </w:rPr>
        <w:t>stress</w:t>
      </w:r>
      <w:r>
        <w:t xml:space="preserve"> (issu par l'anglais de l'ancien français </w:t>
      </w:r>
      <w:r>
        <w:rPr>
          <w:i/>
          <w:iCs/>
        </w:rPr>
        <w:t>déstresse</w:t>
      </w:r>
      <w:r>
        <w:t>) est, en biologie, l'ensemble des réponses d'un organisme soumis à des pressions ou contraintes de la part de son environnement. Ces réponses dépendent toujours de la perception qu'a l'individu des pressions qu'il ressent. Selon la définition médicale, il s'agit d'une séquence complexe d’événements provoquant des réponses physiologiques, psychosomatiques. Par extension tous ces événements sont également qualifiés de stress. Dans le langage courant, on parle de stress positif (</w:t>
      </w:r>
      <w:r>
        <w:rPr>
          <w:rStyle w:val="lang-en"/>
          <w:i/>
          <w:iCs/>
        </w:rPr>
        <w:t>eustress</w:t>
      </w:r>
      <w:r>
        <w:t xml:space="preserve"> en anglais) ou négatif (</w:t>
      </w:r>
      <w:r>
        <w:rPr>
          <w:rStyle w:val="lang-en"/>
          <w:i/>
          <w:iCs/>
        </w:rPr>
        <w:t>distress</w:t>
      </w:r>
      <w:r>
        <w:t>). Le stress est différent de l'anxiété, celle-ci est une émotion alors que le stress est un mécanisme de réponse pouvant amener différentes émotions, dont l'anxiété.</w:t>
      </w:r>
    </w:p>
    <w:p w:rsidR="00AC113A" w:rsidRDefault="00AC113A">
      <w:pPr>
        <w:tabs>
          <w:tab w:val="left" w:pos="1278"/>
        </w:tabs>
        <w:ind w:left="426"/>
        <w:jc w:val="both"/>
      </w:pPr>
    </w:p>
    <w:p w:rsidR="00AC113A" w:rsidRDefault="00AC113A">
      <w:pPr>
        <w:tabs>
          <w:tab w:val="left" w:pos="1278"/>
        </w:tabs>
        <w:ind w:left="426"/>
        <w:jc w:val="both"/>
      </w:pPr>
    </w:p>
    <w:p w:rsidR="00AC113A" w:rsidRDefault="00AC113A">
      <w:pPr>
        <w:tabs>
          <w:tab w:val="left" w:pos="1998"/>
        </w:tabs>
        <w:ind w:left="786"/>
        <w:jc w:val="both"/>
      </w:pPr>
    </w:p>
    <w:p w:rsidR="00AC113A" w:rsidRDefault="00AC113A">
      <w:pPr>
        <w:pStyle w:val="ListParagraph"/>
        <w:numPr>
          <w:ilvl w:val="0"/>
          <w:numId w:val="4"/>
        </w:numPr>
        <w:suppressAutoHyphens w:val="0"/>
        <w:spacing w:after="0" w:line="100" w:lineRule="atLeast"/>
        <w:jc w:val="both"/>
        <w:rPr>
          <w:sz w:val="24"/>
          <w:szCs w:val="24"/>
        </w:rPr>
      </w:pPr>
      <w:r>
        <w:rPr>
          <w:b/>
          <w:sz w:val="24"/>
          <w:szCs w:val="24"/>
          <w:u w:val="single"/>
        </w:rPr>
        <w:t>Défintion selon H. Selye</w:t>
      </w:r>
    </w:p>
    <w:p w:rsidR="00AC113A" w:rsidRDefault="00AC113A">
      <w:pPr>
        <w:pStyle w:val="ListParagraph"/>
        <w:ind w:left="792"/>
        <w:jc w:val="both"/>
        <w:rPr>
          <w:sz w:val="24"/>
          <w:szCs w:val="24"/>
        </w:rPr>
      </w:pPr>
    </w:p>
    <w:p w:rsidR="00AC113A" w:rsidRDefault="00AC113A">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Ce concept est introduit dans les années 1930 en individualisant des réactions physiologiques communes à toutes les agressions. L’ensemble des réponses au stress est</w:t>
      </w:r>
      <w:r w:rsidR="001941AC">
        <w:rPr>
          <w:rFonts w:ascii="Times New Roman" w:hAnsi="Times New Roman" w:cs="Times New Roman"/>
          <w:sz w:val="24"/>
          <w:szCs w:val="24"/>
        </w:rPr>
        <w:t xml:space="preserve">, </w:t>
      </w:r>
      <w:r>
        <w:rPr>
          <w:rFonts w:ascii="Times New Roman" w:hAnsi="Times New Roman" w:cs="Times New Roman"/>
          <w:sz w:val="24"/>
          <w:szCs w:val="24"/>
        </w:rPr>
        <w:t>d’après Hans Selye</w:t>
      </w:r>
      <w:r w:rsidR="001941AC">
        <w:rPr>
          <w:rFonts w:ascii="Times New Roman" w:hAnsi="Times New Roman" w:cs="Times New Roman"/>
          <w:sz w:val="24"/>
          <w:szCs w:val="24"/>
        </w:rPr>
        <w:t>,</w:t>
      </w:r>
      <w:r>
        <w:rPr>
          <w:rFonts w:ascii="Times New Roman" w:hAnsi="Times New Roman" w:cs="Times New Roman"/>
          <w:sz w:val="24"/>
          <w:szCs w:val="24"/>
        </w:rPr>
        <w:t xml:space="preserve"> une réponse non spécifique provoquée par un agent agressif physique. Ces réactions sont stéréotypées </w:t>
      </w:r>
      <w:r>
        <w:rPr>
          <w:rFonts w:ascii="Times New Roman" w:hAnsi="Times New Roman" w:cs="Times New Roman"/>
          <w:sz w:val="24"/>
          <w:szCs w:val="24"/>
        </w:rPr>
        <w:lastRenderedPageBreak/>
        <w:t>quel que soit l’agent.</w:t>
      </w:r>
    </w:p>
    <w:p w:rsidR="00AC113A" w:rsidRDefault="00AC113A">
      <w:pPr>
        <w:pStyle w:val="ListParagraph"/>
        <w:ind w:left="0" w:firstLine="426"/>
        <w:jc w:val="both"/>
        <w:rPr>
          <w:rFonts w:ascii="Times New Roman" w:hAnsi="Times New Roman" w:cs="Times New Roman"/>
          <w:sz w:val="24"/>
          <w:szCs w:val="24"/>
        </w:rPr>
      </w:pPr>
    </w:p>
    <w:p w:rsidR="00AC113A" w:rsidRDefault="00AC113A">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Cette réponse de l’organisme est appelée le syndrome général d’adaptation ou SGA qui évolue dans le temps en trois phases :</w:t>
      </w:r>
    </w:p>
    <w:p w:rsidR="00AC113A" w:rsidRDefault="00AC113A">
      <w:pPr>
        <w:pStyle w:val="ListParagraph"/>
        <w:numPr>
          <w:ilvl w:val="0"/>
          <w:numId w:val="5"/>
        </w:numPr>
        <w:suppressAutoHyphens w:val="0"/>
        <w:spacing w:after="0" w:line="100" w:lineRule="atLeast"/>
        <w:ind w:left="0" w:firstLine="426"/>
        <w:jc w:val="both"/>
        <w:rPr>
          <w:rFonts w:ascii="Times New Roman" w:hAnsi="Times New Roman" w:cs="Times New Roman"/>
          <w:sz w:val="24"/>
          <w:szCs w:val="24"/>
        </w:rPr>
      </w:pPr>
      <w:r>
        <w:rPr>
          <w:rFonts w:ascii="Times New Roman" w:hAnsi="Times New Roman" w:cs="Times New Roman"/>
          <w:sz w:val="24"/>
          <w:szCs w:val="24"/>
        </w:rPr>
        <w:t>La réaction d’alarme ou d’alerte,</w:t>
      </w:r>
    </w:p>
    <w:p w:rsidR="00AC113A" w:rsidRDefault="00AC113A">
      <w:pPr>
        <w:pStyle w:val="ListParagraph"/>
        <w:numPr>
          <w:ilvl w:val="0"/>
          <w:numId w:val="5"/>
        </w:numPr>
        <w:suppressAutoHyphens w:val="0"/>
        <w:spacing w:after="0" w:line="100" w:lineRule="atLeast"/>
        <w:ind w:left="0" w:firstLine="426"/>
        <w:jc w:val="both"/>
        <w:rPr>
          <w:rFonts w:ascii="Times New Roman" w:hAnsi="Times New Roman" w:cs="Times New Roman"/>
          <w:sz w:val="24"/>
          <w:szCs w:val="24"/>
        </w:rPr>
      </w:pPr>
      <w:r>
        <w:rPr>
          <w:rFonts w:ascii="Times New Roman" w:hAnsi="Times New Roman" w:cs="Times New Roman"/>
          <w:sz w:val="24"/>
          <w:szCs w:val="24"/>
        </w:rPr>
        <w:t>Le stade de résistance ou d’adaptation</w:t>
      </w:r>
    </w:p>
    <w:p w:rsidR="00AC113A" w:rsidRDefault="00AC113A">
      <w:pPr>
        <w:pStyle w:val="ListParagraph"/>
        <w:numPr>
          <w:ilvl w:val="0"/>
          <w:numId w:val="5"/>
        </w:numPr>
        <w:suppressAutoHyphens w:val="0"/>
        <w:spacing w:after="0" w:line="100" w:lineRule="atLeast"/>
        <w:ind w:left="0" w:firstLine="426"/>
        <w:jc w:val="both"/>
      </w:pPr>
      <w:r>
        <w:rPr>
          <w:rFonts w:ascii="Times New Roman" w:hAnsi="Times New Roman" w:cs="Times New Roman"/>
          <w:sz w:val="24"/>
          <w:szCs w:val="24"/>
        </w:rPr>
        <w:t>Le stade d’épuisement.</w:t>
      </w:r>
    </w:p>
    <w:p w:rsidR="00AC113A" w:rsidRDefault="00AC113A">
      <w:pPr>
        <w:jc w:val="both"/>
      </w:pPr>
    </w:p>
    <w:p w:rsidR="00AC113A" w:rsidRDefault="00AC113A">
      <w:pPr>
        <w:jc w:val="both"/>
      </w:pPr>
      <w:r>
        <w:tab/>
        <w:t>Selon la définition de Selye, le stress est la « réponse de l’organisme à toute stimulation qui lui est faite. ». Il se caractérise par une réaction physiologique linéaire non spécifique du stresseur.</w:t>
      </w:r>
    </w:p>
    <w:p w:rsidR="00AC113A" w:rsidRDefault="00AC113A">
      <w:pPr>
        <w:jc w:val="both"/>
      </w:pPr>
      <w:r>
        <w:t>Le concept de stress a donc évolué au cours des années, de cause déclenchante avec Cannon, il devient effet consécutif avec Selye.</w:t>
      </w:r>
    </w:p>
    <w:p w:rsidR="00AC113A" w:rsidRDefault="00AC113A">
      <w:pPr>
        <w:jc w:val="both"/>
      </w:pPr>
      <w:r>
        <w:tab/>
      </w:r>
    </w:p>
    <w:p w:rsidR="00AC113A" w:rsidRDefault="00AC113A">
      <w:pPr>
        <w:jc w:val="both"/>
      </w:pPr>
      <w:r>
        <w:tab/>
        <w:t>Depuis le début des années 1990, la théorie du stress de Hans Selye a été revue et approfondie par de nombreux scientifiques. La non spécificité de la réponse au stress a été remise en cause avec la démonstration des grandes variations dans les réponses au stress en fonction de l’agent stressant, mais surtout du vécu et de l’expérience de l’individu. Le premier à contredire Hans Selye fut John Mason qui a démontré l’importance de l’activation émotionnelle dans l’intensité des réponses de stress. (34)</w:t>
      </w:r>
    </w:p>
    <w:p w:rsidR="00AC113A" w:rsidRDefault="00AC113A">
      <w:pPr>
        <w:jc w:val="both"/>
      </w:pPr>
      <w:r>
        <w:t>Les théories de coping élaborées par les neuropsychologues ont ensuite démontré que l’évaluation cognitive est cruciale dans l’activation émotionnelle et physiologique qui suit. Ces avancées ont permis d’aboutir à la définition actuelle du stress (35) qui prend en compte la forte variabilité interindividuelle observée dans les réponses de stress (36), relevant à la fois du patrimoine génétique (38) et de l’histoire personnelle.  (39, 40, 41)</w:t>
      </w:r>
    </w:p>
    <w:p w:rsidR="00AC113A" w:rsidRDefault="00AC113A">
      <w:pPr>
        <w:jc w:val="both"/>
      </w:pPr>
    </w:p>
    <w:p w:rsidR="00AC113A" w:rsidRDefault="00AC113A">
      <w:pPr>
        <w:jc w:val="both"/>
      </w:pPr>
      <w:r>
        <w:t>Ainsi le stress peut être considéré comme un concept fondamentalement psychobiologique, les stresseurs agissant par l’intermédiaire de processus cognitifs et émotionnels, tout phénomène mental ayant par essence une correspondance cérébrale et biologique (42).</w:t>
      </w:r>
    </w:p>
    <w:p w:rsidR="00AC113A" w:rsidRDefault="00AC113A">
      <w:pPr>
        <w:jc w:val="both"/>
      </w:pPr>
    </w:p>
    <w:p w:rsidR="00AC113A" w:rsidRDefault="00AC113A">
      <w:pPr>
        <w:jc w:val="both"/>
        <w:rPr>
          <w:b/>
          <w:u w:val="single"/>
        </w:rPr>
      </w:pPr>
    </w:p>
    <w:p w:rsidR="00AC113A" w:rsidRDefault="00AC113A">
      <w:pPr>
        <w:jc w:val="both"/>
        <w:rPr>
          <w:b/>
          <w:u w:val="single"/>
        </w:rPr>
      </w:pPr>
    </w:p>
    <w:p w:rsidR="00AC113A" w:rsidRDefault="00AC113A">
      <w:pPr>
        <w:pStyle w:val="ListParagraph"/>
        <w:numPr>
          <w:ilvl w:val="0"/>
          <w:numId w:val="4"/>
        </w:numPr>
        <w:suppressAutoHyphens w:val="0"/>
        <w:spacing w:after="0" w:line="100" w:lineRule="atLeast"/>
        <w:jc w:val="both"/>
      </w:pPr>
      <w:r>
        <w:rPr>
          <w:b/>
          <w:sz w:val="24"/>
          <w:szCs w:val="24"/>
          <w:u w:val="single"/>
        </w:rPr>
        <w:t>Définition actuelle</w:t>
      </w:r>
    </w:p>
    <w:p w:rsidR="00AC113A" w:rsidRDefault="00AC113A">
      <w:pPr>
        <w:jc w:val="both"/>
      </w:pPr>
    </w:p>
    <w:p w:rsidR="00AC113A" w:rsidRDefault="00AC113A">
      <w:pPr>
        <w:jc w:val="both"/>
      </w:pPr>
      <w:r>
        <w:t>La définition du stress la plus utilisée est la suivante : « le stress est un état dynamique traduisant un déséquilibre psychophysiologique entre les ressources estimées et les exigences perçues lors de situations contraignantes »(42)</w:t>
      </w:r>
      <w:r w:rsidR="001941AC">
        <w:t>.</w:t>
      </w:r>
    </w:p>
    <w:p w:rsidR="00AC113A" w:rsidRDefault="00AC113A">
      <w:pPr>
        <w:jc w:val="both"/>
      </w:pPr>
    </w:p>
    <w:p w:rsidR="00AC113A" w:rsidRDefault="00AC113A">
      <w:pPr>
        <w:jc w:val="both"/>
      </w:pPr>
    </w:p>
    <w:p w:rsidR="00AC113A" w:rsidRDefault="00AC113A">
      <w:pPr>
        <w:pStyle w:val="ListParagraph"/>
        <w:numPr>
          <w:ilvl w:val="0"/>
          <w:numId w:val="4"/>
        </w:numPr>
        <w:suppressAutoHyphens w:val="0"/>
        <w:spacing w:after="0" w:line="100" w:lineRule="atLeast"/>
        <w:jc w:val="both"/>
      </w:pPr>
      <w:r>
        <w:rPr>
          <w:b/>
          <w:sz w:val="24"/>
          <w:szCs w:val="24"/>
          <w:u w:val="single"/>
        </w:rPr>
        <w:t>Définition du stress au travail</w:t>
      </w:r>
    </w:p>
    <w:p w:rsidR="00AC113A" w:rsidRDefault="00AC113A">
      <w:pPr>
        <w:jc w:val="both"/>
      </w:pPr>
    </w:p>
    <w:p w:rsidR="00AC113A" w:rsidRDefault="00AC113A">
      <w:pPr>
        <w:jc w:val="both"/>
      </w:pPr>
      <w:r>
        <w:t>Le 8 octobre 2004, un accord européen a donné une définition du stress au travail  afin de mieux sensibiliser le monde du travail</w:t>
      </w:r>
      <w:r w:rsidR="001941AC">
        <w:t xml:space="preserve">, </w:t>
      </w:r>
      <w:r>
        <w:t>de développer des mesures anti-stress et définir la responsabilité de chacun, employeurs ou salariés.</w:t>
      </w:r>
    </w:p>
    <w:p w:rsidR="00AC113A" w:rsidRDefault="00AC113A">
      <w:pPr>
        <w:jc w:val="both"/>
      </w:pPr>
    </w:p>
    <w:p w:rsidR="00AC113A" w:rsidRDefault="00AC113A">
      <w:pPr>
        <w:jc w:val="both"/>
      </w:pPr>
      <w:r>
        <w:t>La définition est la suivante : « le stress est un déséquilibre entre les contraintes imposées par l’environnement et la perception des ressources pour y faire face. »</w:t>
      </w:r>
    </w:p>
    <w:p w:rsidR="00AC113A" w:rsidRDefault="00AC113A">
      <w:pPr>
        <w:jc w:val="both"/>
      </w:pPr>
    </w:p>
    <w:p w:rsidR="00AC113A" w:rsidRDefault="00AC113A">
      <w:pPr>
        <w:jc w:val="both"/>
      </w:pPr>
      <w:r>
        <w:t xml:space="preserve">Cette définition complète celle </w:t>
      </w:r>
      <w:r w:rsidR="001941AC">
        <w:t>énoncée</w:t>
      </w:r>
      <w:r>
        <w:t xml:space="preserve"> par Schaufeli en 1998 (43) : « le stress est un état transitoire de désadaptation fonctionnelle dont les symptômes psychiques, physiologiques et comportementaux </w:t>
      </w:r>
      <w:r>
        <w:lastRenderedPageBreak/>
        <w:t>manifestent une tentative d’adaptation non encore réussie et se révélant à court/moyen terme, le </w:t>
      </w:r>
      <w:r w:rsidR="001941AC">
        <w:t>« </w:t>
      </w:r>
      <w:r>
        <w:t>burn-out » pouvant en être  une étape ultime, à la symptomatologie très diversifiée et se traduisant à long terme par une incapacité totale à agir.</w:t>
      </w:r>
    </w:p>
    <w:p w:rsidR="00AC113A" w:rsidRDefault="00AC113A">
      <w:pPr>
        <w:jc w:val="both"/>
      </w:pPr>
    </w:p>
    <w:p w:rsidR="00AC113A" w:rsidRDefault="00AC113A">
      <w:pPr>
        <w:jc w:val="both"/>
      </w:pPr>
    </w:p>
    <w:p w:rsidR="00AC113A" w:rsidRPr="000D1B1C" w:rsidRDefault="00AC113A">
      <w:pPr>
        <w:ind w:firstLine="708"/>
        <w:jc w:val="both"/>
        <w:rPr>
          <w:rFonts w:ascii="Times New (W1)" w:hAnsi="Times New (W1)" w:cs="Times New (W1)"/>
          <w:b/>
          <w:smallCaps/>
        </w:rPr>
      </w:pPr>
      <w:r w:rsidRPr="000D1B1C">
        <w:rPr>
          <w:rFonts w:ascii="Times New (W1)" w:hAnsi="Times New (W1)" w:cs="Times New (W1)"/>
          <w:b/>
          <w:smallCaps/>
        </w:rPr>
        <w:t>2.3 Physiologie de la réponse au stress</w:t>
      </w:r>
    </w:p>
    <w:p w:rsidR="00AC113A" w:rsidRDefault="00AC113A">
      <w:pPr>
        <w:jc w:val="both"/>
      </w:pPr>
    </w:p>
    <w:p w:rsidR="00AC113A" w:rsidRDefault="00AC113A">
      <w:pPr>
        <w:jc w:val="both"/>
      </w:pPr>
      <w:r>
        <w:t xml:space="preserve">Chaque individu réagit de manière différente à un stimulus stressant, selon l’intensité des agents stresseurs et sa capacité à y faire face. Le stress intervient quand existe un déséquilibre entre les exigences perçues et les ressources disponibles. La réponse physiologique à un stress est une réponse d’adaptation permettant une mobilisation accrue des ressources. On parle de pathologie quand il y a rupture d’équilibre entre les capacités d’adaptation du sujet et les exigences de l’environnement. </w:t>
      </w:r>
    </w:p>
    <w:p w:rsidR="00AC113A" w:rsidRDefault="00AC113A">
      <w:pPr>
        <w:jc w:val="both"/>
      </w:pPr>
    </w:p>
    <w:p w:rsidR="00AC113A" w:rsidRDefault="00AC113A">
      <w:pPr>
        <w:jc w:val="both"/>
      </w:pPr>
      <w:r>
        <w:t>On distingue deux types de stress : le stress aigu et le stress chronique, qui abouti à la pathologie.</w:t>
      </w:r>
    </w:p>
    <w:p w:rsidR="00AC113A" w:rsidRDefault="00AC113A">
      <w:pPr>
        <w:jc w:val="both"/>
      </w:pPr>
    </w:p>
    <w:p w:rsidR="00AC113A" w:rsidRDefault="00AC113A">
      <w:pPr>
        <w:jc w:val="both"/>
      </w:pPr>
    </w:p>
    <w:p w:rsidR="00AC113A" w:rsidRDefault="00AC113A">
      <w:pPr>
        <w:pStyle w:val="ListParagraph"/>
        <w:suppressAutoHyphens w:val="0"/>
        <w:spacing w:after="0" w:line="100" w:lineRule="atLeast"/>
        <w:ind w:left="1410"/>
        <w:jc w:val="both"/>
      </w:pPr>
      <w:r>
        <w:rPr>
          <w:b/>
          <w:sz w:val="24"/>
          <w:szCs w:val="24"/>
          <w:u w:val="single"/>
        </w:rPr>
        <w:t>2.3.1 Le stress aigu :</w:t>
      </w:r>
    </w:p>
    <w:p w:rsidR="00AC113A" w:rsidRDefault="00AC113A">
      <w:pPr>
        <w:jc w:val="both"/>
      </w:pPr>
    </w:p>
    <w:p w:rsidR="00AC113A" w:rsidRDefault="00AC113A">
      <w:pPr>
        <w:jc w:val="both"/>
      </w:pPr>
      <w:r>
        <w:t>C’est la composante adaptative.</w:t>
      </w:r>
    </w:p>
    <w:p w:rsidR="00AC113A" w:rsidRDefault="00AC113A">
      <w:pPr>
        <w:jc w:val="both"/>
      </w:pPr>
      <w:r>
        <w:t>De nombreux médiateurs biologiques sont impliqués. (37)</w:t>
      </w:r>
    </w:p>
    <w:p w:rsidR="00AC113A" w:rsidRDefault="00AC113A">
      <w:pPr>
        <w:jc w:val="both"/>
      </w:pPr>
      <w:r>
        <w:t>Un évènement isolé, ressenti comme une menace, une situation d’incertitude et d’imprévisibilité, conduit à un stress aigu et à la recherche d’un nouvel équilibre. On distingue trois phases : la phase d’alarme, l’adaptation puis la phase de résistance.</w:t>
      </w:r>
    </w:p>
    <w:p w:rsidR="00AC113A" w:rsidRDefault="00AC113A">
      <w:pPr>
        <w:jc w:val="both"/>
      </w:pPr>
    </w:p>
    <w:p w:rsidR="00AC113A" w:rsidRDefault="00AC113A">
      <w:pPr>
        <w:pStyle w:val="ListParagraph"/>
        <w:suppressAutoHyphens w:val="0"/>
        <w:spacing w:after="0" w:line="100" w:lineRule="atLeast"/>
        <w:ind w:left="1065"/>
        <w:jc w:val="both"/>
      </w:pPr>
      <w:r>
        <w:rPr>
          <w:b/>
          <w:sz w:val="24"/>
          <w:szCs w:val="24"/>
          <w:u w:val="single"/>
        </w:rPr>
        <w:t xml:space="preserve">La phase d’alarme </w:t>
      </w:r>
    </w:p>
    <w:p w:rsidR="00AC113A" w:rsidRDefault="00AC113A">
      <w:pPr>
        <w:jc w:val="both"/>
      </w:pPr>
    </w:p>
    <w:p w:rsidR="00AC113A" w:rsidRDefault="00AC113A">
      <w:pPr>
        <w:jc w:val="both"/>
      </w:pPr>
      <w:r>
        <w:tab/>
        <w:t xml:space="preserve">Le cerveau est soumis dans cette phase à un élément perturbateur stressant qui stimule l’hypothalamus et qui est responsable d’une double activation des hormones et neuromédiateurs de l’axe du stress, les </w:t>
      </w:r>
      <w:r w:rsidR="00912109">
        <w:t>catécholamines</w:t>
      </w:r>
      <w:r>
        <w:t>.</w:t>
      </w:r>
    </w:p>
    <w:p w:rsidR="00AC113A" w:rsidRDefault="00AC113A">
      <w:pPr>
        <w:jc w:val="both"/>
      </w:pPr>
    </w:p>
    <w:p w:rsidR="00AC113A" w:rsidRDefault="00AC113A">
      <w:pPr>
        <w:pStyle w:val="ListParagraph"/>
        <w:numPr>
          <w:ilvl w:val="0"/>
          <w:numId w:val="6"/>
        </w:numPr>
        <w:suppressAutoHyphens w:val="0"/>
        <w:spacing w:after="0" w:line="100" w:lineRule="atLeast"/>
        <w:jc w:val="both"/>
      </w:pPr>
      <w:r>
        <w:rPr>
          <w:b/>
          <w:sz w:val="24"/>
          <w:szCs w:val="24"/>
          <w:u w:val="single"/>
        </w:rPr>
        <w:t>Périphérique :</w:t>
      </w:r>
    </w:p>
    <w:p w:rsidR="00AC113A" w:rsidRDefault="00AC113A">
      <w:pPr>
        <w:jc w:val="both"/>
      </w:pPr>
    </w:p>
    <w:p w:rsidR="00AC113A" w:rsidRDefault="00AC113A">
      <w:pPr>
        <w:jc w:val="both"/>
      </w:pPr>
      <w:r>
        <w:tab/>
        <w:t>Cette action se fait par l’intermédiaire du système nerveux autonome (SNA) sympathique, les médullosurrénales synthétisent adrénaline et noradrénaline, messagers hormonaux responsables des effets stimulants cardiovasculaires de la réaction de l’organisme soumis à un stress.</w:t>
      </w:r>
    </w:p>
    <w:p w:rsidR="00AC113A" w:rsidRDefault="00AC113A">
      <w:pPr>
        <w:jc w:val="both"/>
      </w:pPr>
    </w:p>
    <w:p w:rsidR="00AC113A" w:rsidRDefault="00AC113A">
      <w:pPr>
        <w:jc w:val="both"/>
      </w:pPr>
      <w:r>
        <w:t xml:space="preserve">Ces </w:t>
      </w:r>
      <w:r w:rsidR="00912109">
        <w:t>catécholamines</w:t>
      </w:r>
      <w:r>
        <w:t xml:space="preserve"> périphériques activent ensuite le tractus solitaire via le nerf vague puis le locu</w:t>
      </w:r>
      <w:r w:rsidR="00455FC7">
        <w:t>s</w:t>
      </w:r>
      <w:r>
        <w:t xml:space="preserve"> coeruleus de la région médiane rostrale de la protubérance.</w:t>
      </w:r>
    </w:p>
    <w:p w:rsidR="00AC113A" w:rsidRDefault="00AC113A">
      <w:pPr>
        <w:jc w:val="both"/>
      </w:pPr>
      <w:r>
        <w:t>Les neurotransmetteurs (noradrénaline, sérotonine, dopamine) et les peptides (CRH, AVP) agissent dans les minutes qui suivent l’apparition de l’évènement stresseur et cesse</w:t>
      </w:r>
      <w:r w:rsidR="00455FC7">
        <w:t>nt</w:t>
      </w:r>
      <w:r>
        <w:t xml:space="preserve"> aussi rapidement</w:t>
      </w:r>
      <w:r w:rsidR="00455FC7">
        <w:t>,</w:t>
      </w:r>
      <w:r>
        <w:t xml:space="preserve"> </w:t>
      </w:r>
      <w:r w:rsidR="00455FC7">
        <w:t>c</w:t>
      </w:r>
      <w:r>
        <w:t>e pour favoriser la vigilance, l’évaluation de la situation et la prise de décision.</w:t>
      </w:r>
    </w:p>
    <w:p w:rsidR="00AC113A" w:rsidRDefault="00AC113A">
      <w:pPr>
        <w:jc w:val="both"/>
      </w:pPr>
    </w:p>
    <w:p w:rsidR="00AC113A" w:rsidRDefault="00AC113A">
      <w:pPr>
        <w:pStyle w:val="ListParagraph"/>
        <w:numPr>
          <w:ilvl w:val="0"/>
          <w:numId w:val="6"/>
        </w:numPr>
        <w:suppressAutoHyphens w:val="0"/>
        <w:spacing w:after="0" w:line="100" w:lineRule="atLeast"/>
        <w:jc w:val="both"/>
      </w:pPr>
      <w:r>
        <w:rPr>
          <w:b/>
          <w:sz w:val="24"/>
          <w:szCs w:val="24"/>
          <w:u w:val="single"/>
        </w:rPr>
        <w:t>Centrale :</w:t>
      </w:r>
    </w:p>
    <w:p w:rsidR="00AC113A" w:rsidRDefault="00AC113A">
      <w:pPr>
        <w:jc w:val="both"/>
      </w:pPr>
    </w:p>
    <w:p w:rsidR="00AC113A" w:rsidRDefault="00AC113A">
      <w:pPr>
        <w:jc w:val="both"/>
      </w:pPr>
      <w:r>
        <w:t>C’est le locus coeruleus qui active l’hypothalamus en stimulant les régions limbiques et préfrontales riches en récepteurs alpha et béta adrénergiques.</w:t>
      </w:r>
    </w:p>
    <w:p w:rsidR="00AC113A" w:rsidRDefault="00AC113A">
      <w:pPr>
        <w:jc w:val="both"/>
      </w:pPr>
      <w:r>
        <w:t xml:space="preserve"> </w:t>
      </w:r>
    </w:p>
    <w:p w:rsidR="00AC113A" w:rsidRDefault="00AC113A">
      <w:pPr>
        <w:jc w:val="both"/>
      </w:pPr>
      <w:r>
        <w:tab/>
        <w:t>Le locus coeruleus, en interaction avec l’amygdale</w:t>
      </w:r>
      <w:r w:rsidR="00455FC7">
        <w:t>,</w:t>
      </w:r>
      <w:r>
        <w:t xml:space="preserve"> a un rôle clé dans l’orchestration des réponses comportementales et biologiques de stress. L’activation de l’amygdale est modulée par ses connexions neuronales</w:t>
      </w:r>
      <w:r w:rsidR="00455FC7">
        <w:t>,</w:t>
      </w:r>
      <w:r>
        <w:t xml:space="preserve"> d’une part avec le cortex préfrontal (région fondamentale pour l’évaluation cognitive des informations reçues) et d’autre part avec l’hippocampe (structure clé dans la mémoire </w:t>
      </w:r>
      <w:r>
        <w:lastRenderedPageBreak/>
        <w:t>des expériences similaires déjà vécues).(44)</w:t>
      </w:r>
    </w:p>
    <w:p w:rsidR="00AC113A" w:rsidRDefault="00AC113A">
      <w:pPr>
        <w:jc w:val="both"/>
      </w:pPr>
    </w:p>
    <w:p w:rsidR="00AC113A" w:rsidRDefault="00AC113A">
      <w:pPr>
        <w:jc w:val="both"/>
      </w:pPr>
      <w:r>
        <w:t>La stimulation du locus coeruleus active en particulier le cortex préfrontal par le biais de ses nombreuses projections noradrénergique</w:t>
      </w:r>
      <w:r w:rsidR="00455FC7">
        <w:t>s</w:t>
      </w:r>
      <w:r>
        <w:t xml:space="preserve">. La stimulation de l’amygdale entraîne la libération rapide de neurotransmetteurs tels que la dopamine, l’acétylcholine, la sérotonine et l’adrénaline, et de peptides tels que la corticolibérine (ou CRH : cortisol releasing </w:t>
      </w:r>
      <w:r w:rsidR="00EE54B7">
        <w:t>hormone)</w:t>
      </w:r>
      <w:r>
        <w:t>. (36)</w:t>
      </w:r>
    </w:p>
    <w:p w:rsidR="00AC113A" w:rsidRDefault="00AC113A">
      <w:pPr>
        <w:jc w:val="both"/>
      </w:pPr>
    </w:p>
    <w:p w:rsidR="00AC113A" w:rsidRDefault="00A17D42">
      <w:pPr>
        <w:jc w:val="both"/>
        <w:rPr>
          <w:b/>
        </w:rPr>
      </w:pPr>
      <w:r>
        <w:rPr>
          <w:noProof/>
          <w:lang w:eastAsia="fr-FR" w:bidi="ar-SA"/>
        </w:rPr>
        <w:drawing>
          <wp:inline distT="0" distB="0" distL="0" distR="0">
            <wp:extent cx="5381625" cy="38385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625" cy="3838575"/>
                    </a:xfrm>
                    <a:prstGeom prst="rect">
                      <a:avLst/>
                    </a:prstGeom>
                    <a:solidFill>
                      <a:srgbClr val="FFFFFF"/>
                    </a:solidFill>
                    <a:ln>
                      <a:noFill/>
                    </a:ln>
                  </pic:spPr>
                </pic:pic>
              </a:graphicData>
            </a:graphic>
          </wp:inline>
        </w:drawing>
      </w:r>
    </w:p>
    <w:p w:rsidR="00AC113A" w:rsidRDefault="00AC113A">
      <w:pPr>
        <w:jc w:val="both"/>
      </w:pPr>
      <w:r>
        <w:rPr>
          <w:b/>
        </w:rPr>
        <w:t>Figure 1 : Médiateurs biologiques de la réponse au stress.</w:t>
      </w:r>
    </w:p>
    <w:p w:rsidR="00AC113A" w:rsidRDefault="00AC113A">
      <w:pPr>
        <w:jc w:val="both"/>
      </w:pPr>
    </w:p>
    <w:p w:rsidR="00AC113A" w:rsidRDefault="00AC113A">
      <w:pPr>
        <w:jc w:val="both"/>
      </w:pPr>
    </w:p>
    <w:p w:rsidR="00AC113A" w:rsidRDefault="00AC113A">
      <w:pPr>
        <w:pStyle w:val="ListParagraph"/>
        <w:suppressAutoHyphens w:val="0"/>
        <w:spacing w:after="0" w:line="100" w:lineRule="atLeast"/>
        <w:ind w:left="1065"/>
        <w:jc w:val="both"/>
      </w:pPr>
      <w:r>
        <w:rPr>
          <w:b/>
          <w:sz w:val="24"/>
          <w:szCs w:val="24"/>
          <w:u w:val="single"/>
        </w:rPr>
        <w:t>Phase d’adaptation </w:t>
      </w:r>
      <w:r>
        <w:rPr>
          <w:sz w:val="24"/>
          <w:szCs w:val="24"/>
        </w:rPr>
        <w:t>:</w:t>
      </w:r>
    </w:p>
    <w:p w:rsidR="00AC113A" w:rsidRDefault="00AC113A">
      <w:pPr>
        <w:jc w:val="both"/>
      </w:pPr>
    </w:p>
    <w:p w:rsidR="00AC113A" w:rsidRDefault="00AC113A">
      <w:pPr>
        <w:jc w:val="both"/>
      </w:pPr>
      <w:r>
        <w:t>Si le stimulus dure trop longtemps, la mobilisation de l’énergie de l’ensemble du corps est nécessaire</w:t>
      </w:r>
      <w:r w:rsidR="000E75A0">
        <w:t> ;</w:t>
      </w:r>
      <w:r>
        <w:t xml:space="preserve"> c’est alors le système endocrinien qui prend le relais.</w:t>
      </w:r>
    </w:p>
    <w:p w:rsidR="00AC113A" w:rsidRDefault="00AC113A">
      <w:pPr>
        <w:jc w:val="both"/>
      </w:pPr>
    </w:p>
    <w:p w:rsidR="00AC113A" w:rsidRDefault="00AC113A">
      <w:pPr>
        <w:jc w:val="both"/>
      </w:pPr>
      <w:r>
        <w:t>L’axe corticotrope est activé par la synthèse de CRH dans l’hypothalamus pour conduire ensuite à la production de d’adrénocorticotrophine (ACTH) dans le sang. L’ACTH va stimuler ensuite la synthèse et la libération des hormones glucocorticoïdes, notamment le cortisol, à partir du cortex des glandes surrénales.(50)</w:t>
      </w:r>
    </w:p>
    <w:p w:rsidR="00AC113A" w:rsidRDefault="00AC113A">
      <w:pPr>
        <w:jc w:val="both"/>
      </w:pPr>
    </w:p>
    <w:p w:rsidR="00AC113A" w:rsidRDefault="00AC113A">
      <w:pPr>
        <w:jc w:val="both"/>
      </w:pPr>
      <w:r>
        <w:t>L’action des glucocorticoïdes est plus tardive. Ces hormones agissent dans la demi-heure et leurs effets perdurent quelques heures pour une réponse adaptative prolongée permettant la consolidation de la mémoire des informations liées au stresseur. (46)</w:t>
      </w:r>
    </w:p>
    <w:p w:rsidR="00AC113A" w:rsidRDefault="00AC113A">
      <w:pPr>
        <w:jc w:val="both"/>
      </w:pPr>
    </w:p>
    <w:p w:rsidR="00AC113A" w:rsidRDefault="00AC113A">
      <w:pPr>
        <w:jc w:val="both"/>
      </w:pPr>
      <w:r>
        <w:t xml:space="preserve">La réponse physiologique des </w:t>
      </w:r>
      <w:r w:rsidR="00912109">
        <w:t>catécholamines</w:t>
      </w:r>
      <w:r>
        <w:t xml:space="preserve"> est la suivante :</w:t>
      </w:r>
    </w:p>
    <w:p w:rsidR="00AC113A" w:rsidRDefault="00AC113A">
      <w:pPr>
        <w:jc w:val="both"/>
      </w:pPr>
      <w:r>
        <w:tab/>
        <w:t>-augmentation de la fréquence cardiaque</w:t>
      </w:r>
    </w:p>
    <w:p w:rsidR="00AC113A" w:rsidRDefault="00AC113A">
      <w:pPr>
        <w:jc w:val="both"/>
      </w:pPr>
      <w:r>
        <w:tab/>
        <w:t>-augmentation de la fréquence respiratoire</w:t>
      </w:r>
    </w:p>
    <w:p w:rsidR="00AC113A" w:rsidRDefault="00AC113A">
      <w:pPr>
        <w:jc w:val="both"/>
      </w:pPr>
      <w:r>
        <w:tab/>
        <w:t>-augmentation de la fixation et du transport en oxygène</w:t>
      </w:r>
    </w:p>
    <w:p w:rsidR="00AC113A" w:rsidRDefault="00AC113A">
      <w:pPr>
        <w:jc w:val="both"/>
      </w:pPr>
      <w:r>
        <w:tab/>
        <w:t>-augmentation de la glycémie</w:t>
      </w:r>
    </w:p>
    <w:p w:rsidR="00AC113A" w:rsidRDefault="00AC113A">
      <w:pPr>
        <w:jc w:val="both"/>
      </w:pPr>
      <w:r>
        <w:tab/>
        <w:t>-augmentation de la quantité d’acides gras sanguins</w:t>
      </w:r>
      <w:r w:rsidR="000E75A0">
        <w:t>.</w:t>
      </w:r>
    </w:p>
    <w:p w:rsidR="00AC113A" w:rsidRDefault="00AC113A">
      <w:pPr>
        <w:jc w:val="both"/>
      </w:pPr>
    </w:p>
    <w:p w:rsidR="00AC113A" w:rsidRDefault="00AC113A">
      <w:pPr>
        <w:jc w:val="both"/>
      </w:pPr>
      <w:r>
        <w:t>Les effets des glucocorticoïdes sont les suivants :</w:t>
      </w:r>
    </w:p>
    <w:p w:rsidR="00AC113A" w:rsidRDefault="00AC113A">
      <w:pPr>
        <w:jc w:val="both"/>
      </w:pPr>
      <w:r>
        <w:tab/>
        <w:t>-diminution de la croissance</w:t>
      </w:r>
    </w:p>
    <w:p w:rsidR="00AC113A" w:rsidRDefault="00AC113A">
      <w:pPr>
        <w:ind w:firstLine="708"/>
        <w:jc w:val="both"/>
      </w:pPr>
      <w:r>
        <w:t>-</w:t>
      </w:r>
      <w:r w:rsidR="000E75A0">
        <w:t>a</w:t>
      </w:r>
      <w:r>
        <w:t>ffaiblissement du système immunitaire</w:t>
      </w:r>
    </w:p>
    <w:p w:rsidR="00AC113A" w:rsidRDefault="00AC113A">
      <w:pPr>
        <w:jc w:val="both"/>
      </w:pPr>
      <w:r>
        <w:tab/>
        <w:t>-diminution de la reproduction</w:t>
      </w:r>
    </w:p>
    <w:p w:rsidR="00AC113A" w:rsidRDefault="00AC113A">
      <w:pPr>
        <w:jc w:val="both"/>
      </w:pPr>
      <w:r>
        <w:tab/>
        <w:t>-augmentation de la glycémie</w:t>
      </w:r>
    </w:p>
    <w:p w:rsidR="00AC113A" w:rsidRDefault="00AC113A">
      <w:pPr>
        <w:jc w:val="both"/>
      </w:pPr>
      <w:r>
        <w:tab/>
        <w:t>-augmentation de la quantité d’acides gras dans le sang</w:t>
      </w:r>
      <w:r w:rsidR="000E75A0">
        <w:t>.</w:t>
      </w:r>
    </w:p>
    <w:p w:rsidR="00AC113A" w:rsidRDefault="00AC113A">
      <w:pPr>
        <w:jc w:val="both"/>
      </w:pPr>
    </w:p>
    <w:p w:rsidR="00AC113A" w:rsidRDefault="00AC113A">
      <w:pPr>
        <w:jc w:val="both"/>
      </w:pPr>
      <w:r>
        <w:tab/>
        <w:t>Ces effets physiologiques permettent une économie importante de l’énergie (diminution de la croissance, du système immunitaire et de la reproduction) et augmentent la disponibilité des substrats énergétiques.</w:t>
      </w:r>
    </w:p>
    <w:p w:rsidR="00AC113A" w:rsidRDefault="00AC113A">
      <w:pPr>
        <w:jc w:val="both"/>
      </w:pPr>
      <w:r>
        <w:t>On observe une redistribution adaptative pour faire face aux situations stressantes.</w:t>
      </w:r>
    </w:p>
    <w:p w:rsidR="00AC113A" w:rsidRDefault="00AC113A">
      <w:pPr>
        <w:jc w:val="both"/>
      </w:pPr>
    </w:p>
    <w:p w:rsidR="00AC113A" w:rsidRDefault="00AC113A">
      <w:pPr>
        <w:pStyle w:val="ListParagraph"/>
        <w:suppressAutoHyphens w:val="0"/>
        <w:spacing w:after="0" w:line="100" w:lineRule="atLeast"/>
        <w:ind w:left="1065"/>
        <w:jc w:val="both"/>
        <w:rPr>
          <w:b/>
          <w:sz w:val="24"/>
          <w:szCs w:val="24"/>
          <w:u w:val="single"/>
        </w:rPr>
      </w:pPr>
      <w:r>
        <w:rPr>
          <w:b/>
          <w:sz w:val="24"/>
          <w:szCs w:val="24"/>
          <w:u w:val="single"/>
        </w:rPr>
        <w:t>Phase de résistance</w:t>
      </w:r>
    </w:p>
    <w:p w:rsidR="00AC113A" w:rsidRDefault="00AC113A">
      <w:pPr>
        <w:jc w:val="both"/>
      </w:pPr>
      <w:r>
        <w:t>Ces modifications biologiques doivent être limitées dans le temps afin de ne pas affecter l’organisme.</w:t>
      </w:r>
    </w:p>
    <w:p w:rsidR="00AC113A" w:rsidRDefault="00AC113A">
      <w:pPr>
        <w:jc w:val="both"/>
      </w:pPr>
    </w:p>
    <w:p w:rsidR="00D207E2" w:rsidRDefault="00D207E2">
      <w:pPr>
        <w:jc w:val="both"/>
      </w:pPr>
    </w:p>
    <w:p w:rsidR="00AC113A" w:rsidRPr="00D207E2" w:rsidRDefault="00D207E2" w:rsidP="00D207E2">
      <w:pPr>
        <w:ind w:firstLine="708"/>
        <w:jc w:val="both"/>
        <w:rPr>
          <w:rFonts w:ascii="Times New (W1)" w:hAnsi="Times New (W1)" w:cs="Times New (W1)"/>
          <w:b/>
          <w:smallCaps/>
        </w:rPr>
      </w:pPr>
      <w:r>
        <w:rPr>
          <w:rFonts w:ascii="Times New (W1)" w:hAnsi="Times New (W1)" w:cs="Times New (W1)"/>
          <w:b/>
          <w:smallCaps/>
        </w:rPr>
        <w:t xml:space="preserve">2.4 </w:t>
      </w:r>
      <w:r w:rsidR="00AC113A" w:rsidRPr="00D207E2">
        <w:rPr>
          <w:rFonts w:ascii="Times New (W1)" w:hAnsi="Times New (W1)" w:cs="Times New (W1)"/>
          <w:b/>
          <w:smallCaps/>
        </w:rPr>
        <w:t>Les glandes surrénales</w:t>
      </w:r>
    </w:p>
    <w:p w:rsidR="00AC113A" w:rsidRDefault="00AC113A">
      <w:pPr>
        <w:jc w:val="both"/>
      </w:pPr>
    </w:p>
    <w:p w:rsidR="00AC113A" w:rsidRDefault="00AC113A">
      <w:pPr>
        <w:jc w:val="both"/>
      </w:pPr>
      <w:r>
        <w:t>Ces glandes se trouvent au-dessus des reins. Elles sont composées d’une partie corticale et d’une partie médullaire.</w:t>
      </w:r>
    </w:p>
    <w:p w:rsidR="00D207E2" w:rsidRDefault="00D207E2">
      <w:pPr>
        <w:pStyle w:val="ListParagraph"/>
        <w:ind w:left="1065"/>
        <w:jc w:val="both"/>
        <w:rPr>
          <w:b/>
          <w:sz w:val="24"/>
          <w:szCs w:val="24"/>
        </w:rPr>
      </w:pPr>
    </w:p>
    <w:p w:rsidR="00AC113A" w:rsidRPr="002F3417" w:rsidRDefault="00AC113A">
      <w:pPr>
        <w:pStyle w:val="ListParagraph"/>
        <w:ind w:left="1065"/>
        <w:jc w:val="both"/>
        <w:rPr>
          <w:b/>
          <w:sz w:val="24"/>
          <w:szCs w:val="24"/>
          <w:u w:val="single"/>
        </w:rPr>
      </w:pPr>
      <w:r w:rsidRPr="002F3417">
        <w:rPr>
          <w:b/>
          <w:sz w:val="24"/>
          <w:szCs w:val="24"/>
        </w:rPr>
        <w:tab/>
      </w:r>
      <w:r w:rsidR="002F3417" w:rsidRPr="002F3417">
        <w:rPr>
          <w:b/>
          <w:sz w:val="24"/>
          <w:szCs w:val="24"/>
          <w:u w:val="single"/>
        </w:rPr>
        <w:t>2.</w:t>
      </w:r>
      <w:r w:rsidR="00D207E2">
        <w:rPr>
          <w:b/>
          <w:sz w:val="24"/>
          <w:szCs w:val="24"/>
          <w:u w:val="single"/>
        </w:rPr>
        <w:t>4</w:t>
      </w:r>
      <w:r w:rsidR="002F3417" w:rsidRPr="002F3417">
        <w:rPr>
          <w:b/>
          <w:sz w:val="24"/>
          <w:szCs w:val="24"/>
          <w:u w:val="single"/>
        </w:rPr>
        <w:t>.</w:t>
      </w:r>
      <w:r>
        <w:rPr>
          <w:b/>
          <w:sz w:val="24"/>
          <w:szCs w:val="24"/>
          <w:u w:val="single"/>
        </w:rPr>
        <w:t>1.La médullo-surrénale</w:t>
      </w:r>
    </w:p>
    <w:p w:rsidR="00AC113A" w:rsidRDefault="00AC113A">
      <w:pPr>
        <w:jc w:val="both"/>
      </w:pPr>
      <w:r>
        <w:tab/>
        <w:t xml:space="preserve">Elle est peuplée de cellules chromaffines. Leur fonction est de stocker et de sécréter les </w:t>
      </w:r>
      <w:r w:rsidR="00912109">
        <w:t>catécholamines</w:t>
      </w:r>
      <w:r>
        <w:t>. Chaque cellule stocke et fabrique un seul type d’hormones : 80 % font de l’adrénaline, 16 % de la noradrénaline et 4 % de la dopamine. Ces cellules sont contrôlées par le système nerveux sympathique.</w:t>
      </w:r>
    </w:p>
    <w:p w:rsidR="00AC113A" w:rsidRDefault="00AC113A">
      <w:pPr>
        <w:jc w:val="both"/>
      </w:pPr>
    </w:p>
    <w:p w:rsidR="00AC113A" w:rsidRDefault="00AC113A">
      <w:pPr>
        <w:jc w:val="both"/>
      </w:pPr>
      <w:r>
        <w:t xml:space="preserve">Les </w:t>
      </w:r>
      <w:r w:rsidR="00912109">
        <w:t>catécholamines</w:t>
      </w:r>
      <w:r>
        <w:t xml:space="preserve"> ont une très faible demi-vie d’environ une minute, une fois libérées. Elles sont régulées par le foie qui est capable de </w:t>
      </w:r>
      <w:r w:rsidR="00912109">
        <w:t>sécréter</w:t>
      </w:r>
      <w:r>
        <w:t xml:space="preserve"> une substance inhibitrice de l'adrénaline et/ou de recapturer la noradrénaline.</w:t>
      </w:r>
    </w:p>
    <w:p w:rsidR="00AC113A" w:rsidRDefault="00AC113A">
      <w:pPr>
        <w:jc w:val="both"/>
      </w:pPr>
    </w:p>
    <w:p w:rsidR="00AC113A" w:rsidRDefault="00AC113A">
      <w:pPr>
        <w:pStyle w:val="ListParagraph"/>
        <w:suppressAutoHyphens w:val="0"/>
        <w:spacing w:after="0" w:line="100" w:lineRule="atLeast"/>
        <w:ind w:left="1410"/>
        <w:jc w:val="both"/>
        <w:rPr>
          <w:b/>
          <w:u w:val="single"/>
        </w:rPr>
      </w:pPr>
      <w:r>
        <w:rPr>
          <w:b/>
          <w:sz w:val="24"/>
          <w:szCs w:val="24"/>
          <w:u w:val="single"/>
        </w:rPr>
        <w:t>2.</w:t>
      </w:r>
      <w:r w:rsidR="00D207E2">
        <w:rPr>
          <w:rFonts w:ascii="Times New (W1)" w:eastAsia="SimSun" w:hAnsi="Times New (W1)" w:cs="Times New (W1)"/>
          <w:b/>
          <w:smallCaps/>
          <w:sz w:val="24"/>
          <w:szCs w:val="24"/>
        </w:rPr>
        <w:t>4</w:t>
      </w:r>
      <w:r>
        <w:rPr>
          <w:b/>
          <w:sz w:val="24"/>
          <w:szCs w:val="24"/>
          <w:u w:val="single"/>
        </w:rPr>
        <w:t>.2 La cortico-surrénale</w:t>
      </w:r>
    </w:p>
    <w:p w:rsidR="00AC113A" w:rsidRDefault="00AC113A">
      <w:pPr>
        <w:jc w:val="both"/>
        <w:rPr>
          <w:b/>
          <w:u w:val="single"/>
        </w:rPr>
      </w:pPr>
    </w:p>
    <w:p w:rsidR="00AC113A" w:rsidRDefault="00AC113A">
      <w:pPr>
        <w:jc w:val="both"/>
      </w:pPr>
      <w:r>
        <w:t>Ces cellules fabriquent les glucocorticoïdes. Elles ont toutes pour précurseur le cholestérol, ces hormones font donc partie des stéroïdes. Elles circulent dans le sang grâce à des transportines. Le mécanisme du cortisol sera détaillé plus loin.</w:t>
      </w:r>
    </w:p>
    <w:p w:rsidR="00AC113A" w:rsidRDefault="00AC113A">
      <w:pPr>
        <w:jc w:val="both"/>
      </w:pPr>
    </w:p>
    <w:p w:rsidR="00AC113A" w:rsidRDefault="00AC113A">
      <w:pPr>
        <w:jc w:val="both"/>
      </w:pPr>
      <w:r>
        <w:t>Ces différentes hormones sont principalement régulées par le foie.</w:t>
      </w:r>
    </w:p>
    <w:p w:rsidR="00AC113A" w:rsidRDefault="00AC113A">
      <w:pPr>
        <w:jc w:val="both"/>
      </w:pPr>
    </w:p>
    <w:p w:rsidR="00AC113A" w:rsidRDefault="00AC113A">
      <w:pPr>
        <w:jc w:val="both"/>
      </w:pPr>
      <w:r>
        <w:t>Il existe un rétrocontrôle dans le mécanisme du cortisol, indispensable dans la réponse au stress.</w:t>
      </w:r>
    </w:p>
    <w:p w:rsidR="00AC113A" w:rsidRDefault="00AC113A">
      <w:pPr>
        <w:jc w:val="both"/>
      </w:pPr>
    </w:p>
    <w:p w:rsidR="00AC113A" w:rsidRDefault="00AC113A">
      <w:pPr>
        <w:jc w:val="both"/>
      </w:pPr>
    </w:p>
    <w:p w:rsidR="00AC113A" w:rsidRDefault="00A17D42">
      <w:pPr>
        <w:jc w:val="both"/>
      </w:pPr>
      <w:r>
        <w:rPr>
          <w:noProof/>
          <w:lang w:eastAsia="fr-FR" w:bidi="ar-SA"/>
        </w:rPr>
        <w:lastRenderedPageBreak/>
        <w:drawing>
          <wp:inline distT="0" distB="0" distL="0" distR="0">
            <wp:extent cx="2828925" cy="30861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3086100"/>
                    </a:xfrm>
                    <a:prstGeom prst="rect">
                      <a:avLst/>
                    </a:prstGeom>
                    <a:solidFill>
                      <a:srgbClr val="FFFFFF"/>
                    </a:solidFill>
                    <a:ln>
                      <a:noFill/>
                    </a:ln>
                  </pic:spPr>
                </pic:pic>
              </a:graphicData>
            </a:graphic>
          </wp:inline>
        </w:drawing>
      </w:r>
    </w:p>
    <w:p w:rsidR="00AC113A" w:rsidRDefault="00AC113A">
      <w:pPr>
        <w:jc w:val="both"/>
      </w:pPr>
      <w:r>
        <w:t xml:space="preserve">Fig 2 : le mécanisme de </w:t>
      </w:r>
      <w:r w:rsidR="00912109">
        <w:t>rétrocontrôle</w:t>
      </w:r>
      <w:r>
        <w:t xml:space="preserve"> du cortisol</w:t>
      </w:r>
    </w:p>
    <w:p w:rsidR="00AC113A" w:rsidRDefault="00AC113A">
      <w:pPr>
        <w:jc w:val="both"/>
      </w:pPr>
    </w:p>
    <w:p w:rsidR="00AC113A" w:rsidRDefault="00AC113A">
      <w:pPr>
        <w:jc w:val="both"/>
      </w:pPr>
    </w:p>
    <w:p w:rsidR="00AC113A" w:rsidRDefault="00AC113A">
      <w:pPr>
        <w:jc w:val="both"/>
      </w:pPr>
      <w:r>
        <w:t>Nous avons vu qu’il y avait deux catégories d’hormones impliquées dans la réponse au stress, nous allons maintenant étudier plus en détail l’axe corticotrope, puisque les dosages de notre étude sont réalisés à partir du cortisol salivaire.</w:t>
      </w:r>
    </w:p>
    <w:p w:rsidR="00AC113A" w:rsidRDefault="00AC113A">
      <w:pPr>
        <w:jc w:val="both"/>
      </w:pPr>
    </w:p>
    <w:p w:rsidR="00AC113A" w:rsidRDefault="00AC113A">
      <w:pPr>
        <w:pStyle w:val="ListParagraph"/>
        <w:suppressAutoHyphens w:val="0"/>
        <w:spacing w:after="0" w:line="100" w:lineRule="atLeast"/>
        <w:ind w:left="1416"/>
        <w:jc w:val="both"/>
        <w:rPr>
          <w:b/>
          <w:sz w:val="24"/>
          <w:szCs w:val="24"/>
          <w:u w:val="single"/>
        </w:rPr>
      </w:pPr>
      <w:r>
        <w:rPr>
          <w:b/>
          <w:sz w:val="24"/>
          <w:szCs w:val="24"/>
          <w:u w:val="single"/>
        </w:rPr>
        <w:t>2.</w:t>
      </w:r>
      <w:r w:rsidR="00D207E2">
        <w:rPr>
          <w:b/>
          <w:sz w:val="24"/>
          <w:szCs w:val="24"/>
          <w:u w:val="single"/>
        </w:rPr>
        <w:t>4</w:t>
      </w:r>
      <w:r>
        <w:rPr>
          <w:b/>
          <w:sz w:val="24"/>
          <w:szCs w:val="24"/>
          <w:u w:val="single"/>
        </w:rPr>
        <w:t>.3 L’axe corticotrope et le cortisol</w:t>
      </w:r>
    </w:p>
    <w:p w:rsidR="00AC113A" w:rsidRDefault="00AC113A">
      <w:pPr>
        <w:pStyle w:val="ListParagraph"/>
        <w:ind w:left="2136"/>
        <w:jc w:val="both"/>
        <w:rPr>
          <w:b/>
          <w:sz w:val="24"/>
          <w:szCs w:val="24"/>
          <w:u w:val="single"/>
        </w:rPr>
      </w:pPr>
    </w:p>
    <w:p w:rsidR="00AC113A" w:rsidRDefault="00AC113A">
      <w:pPr>
        <w:pStyle w:val="ListParagraph"/>
        <w:numPr>
          <w:ilvl w:val="0"/>
          <w:numId w:val="7"/>
        </w:numPr>
        <w:suppressAutoHyphens w:val="0"/>
        <w:spacing w:after="0" w:line="100" w:lineRule="atLeast"/>
        <w:jc w:val="both"/>
      </w:pPr>
      <w:r>
        <w:rPr>
          <w:b/>
          <w:sz w:val="24"/>
          <w:szCs w:val="24"/>
          <w:u w:val="single"/>
        </w:rPr>
        <w:t>Physiologie de l’axe corticotrope</w:t>
      </w:r>
    </w:p>
    <w:p w:rsidR="00AC113A" w:rsidRDefault="00AC113A">
      <w:pPr>
        <w:jc w:val="both"/>
      </w:pPr>
    </w:p>
    <w:p w:rsidR="00AC113A" w:rsidRDefault="00AC113A">
      <w:pPr>
        <w:jc w:val="both"/>
      </w:pPr>
      <w:r>
        <w:tab/>
        <w:t>La stimulation de l’axe corticotrope (axe hypothalamo-hypophyso-corticosurrénalien) permet la synthèse par l’hypothalamus d’une hormone, la CRH (corticolibérine)</w:t>
      </w:r>
      <w:r w:rsidR="00416D7F">
        <w:t>,</w:t>
      </w:r>
      <w:r>
        <w:t xml:space="preserve"> donnant l’ordre à l’hypophyse de sécréter, entre autres, l’ACTH (adrénocorticotropine). Le cortisol, glucocorticoïde secrété par les glandes surrénales, est sous le contrôle de l’ACTH. Le cortisol régule sa sécrétion par des mécanismes de « feed back », essentiels dans l’adaptation de la réponse au stress. (48)</w:t>
      </w:r>
    </w:p>
    <w:p w:rsidR="00AC113A" w:rsidRDefault="00AC113A">
      <w:pPr>
        <w:jc w:val="both"/>
      </w:pPr>
    </w:p>
    <w:p w:rsidR="00AC113A" w:rsidRDefault="00AC113A">
      <w:pPr>
        <w:jc w:val="both"/>
      </w:pPr>
      <w:r>
        <w:tab/>
        <w:t>La synthèse du cortisol se produit dans la zone fasciculée du cortex surrénalien</w:t>
      </w:r>
      <w:r w:rsidR="00416D7F">
        <w:t xml:space="preserve"> et</w:t>
      </w:r>
      <w:r>
        <w:t xml:space="preserve"> s’effectue à partir du cholestérol endogène et exogène (49). Le cholestérol est transformé en prégnénolone puis en progestérone. La progestérone subit deux hydroxylations successives pour être transformée en </w:t>
      </w:r>
      <w:r w:rsidR="000D1B1C">
        <w:t>corticostérone</w:t>
      </w:r>
      <w:r>
        <w:t xml:space="preserve"> ou trois hydroxylations successives pour donner de l’hydrocortisone ou cortisol (51). Cette biosynthèse des hormones du cortex surrénal fait intervenir des enzymes tantôt mitochondrial</w:t>
      </w:r>
      <w:r w:rsidR="00416D7F">
        <w:t>es</w:t>
      </w:r>
      <w:r>
        <w:t xml:space="preserve"> (desmolase et 11béta hydroxylase), tantôt du réticulum endoplasmique (3 béta-deshydrogénase, 17 et 21 hydroxylases).</w:t>
      </w:r>
      <w:r>
        <w:rPr>
          <w:lang/>
        </w:rPr>
        <w:t xml:space="preserve"> </w:t>
      </w:r>
    </w:p>
    <w:p w:rsidR="00AC113A" w:rsidRDefault="00AC113A">
      <w:pPr>
        <w:jc w:val="both"/>
      </w:pPr>
    </w:p>
    <w:p w:rsidR="00AC113A" w:rsidRDefault="00A17D42">
      <w:pPr>
        <w:jc w:val="both"/>
      </w:pPr>
      <w:r>
        <w:rPr>
          <w:noProof/>
          <w:lang w:eastAsia="fr-FR" w:bidi="ar-SA"/>
        </w:rPr>
        <w:lastRenderedPageBreak/>
        <w:drawing>
          <wp:inline distT="0" distB="0" distL="0" distR="0">
            <wp:extent cx="5343525" cy="64484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3525" cy="6448425"/>
                    </a:xfrm>
                    <a:prstGeom prst="rect">
                      <a:avLst/>
                    </a:prstGeom>
                    <a:solidFill>
                      <a:srgbClr val="FFFFFF"/>
                    </a:solidFill>
                    <a:ln>
                      <a:noFill/>
                    </a:ln>
                  </pic:spPr>
                </pic:pic>
              </a:graphicData>
            </a:graphic>
          </wp:inline>
        </w:drawing>
      </w:r>
    </w:p>
    <w:p w:rsidR="00AC113A" w:rsidRDefault="00AC113A">
      <w:pPr>
        <w:jc w:val="both"/>
      </w:pPr>
    </w:p>
    <w:p w:rsidR="00AC113A" w:rsidRDefault="00AC113A">
      <w:pPr>
        <w:jc w:val="both"/>
      </w:pPr>
    </w:p>
    <w:p w:rsidR="00AC113A" w:rsidRDefault="00AC113A">
      <w:pPr>
        <w:jc w:val="both"/>
      </w:pPr>
      <w:r>
        <w:tab/>
        <w:t>90 % du cortisol plasmatique est lié à la CBG (corticosteroid binding globulin). Cette liaison est réversible et la part active du cortisol est la part non liée.</w:t>
      </w:r>
    </w:p>
    <w:p w:rsidR="00AC113A" w:rsidRDefault="00AC113A">
      <w:pPr>
        <w:jc w:val="both"/>
      </w:pPr>
      <w:r>
        <w:t>On peut mesurer la part libre et liée dans le plasma, alors que dans la salive on ne mesure que la part libre.(50, 52, 53, 54, 55, 56, 57, 58).</w:t>
      </w:r>
    </w:p>
    <w:p w:rsidR="00AC113A" w:rsidRDefault="00AC113A">
      <w:pPr>
        <w:jc w:val="both"/>
      </w:pPr>
      <w:r>
        <w:t>Cette corrélation constitue un avantage non négligeable pour les études menées sur le terrain (59)</w:t>
      </w:r>
      <w:r w:rsidR="00416D7F">
        <w:t>.</w:t>
      </w:r>
    </w:p>
    <w:p w:rsidR="00AC113A" w:rsidRDefault="00AC113A">
      <w:pPr>
        <w:jc w:val="both"/>
      </w:pPr>
    </w:p>
    <w:p w:rsidR="00AC113A" w:rsidRDefault="00AC113A">
      <w:pPr>
        <w:jc w:val="both"/>
      </w:pPr>
    </w:p>
    <w:p w:rsidR="00AC113A" w:rsidRDefault="00AC113A">
      <w:pPr>
        <w:pStyle w:val="ListParagraph"/>
        <w:numPr>
          <w:ilvl w:val="0"/>
          <w:numId w:val="7"/>
        </w:numPr>
        <w:suppressAutoHyphens w:val="0"/>
        <w:spacing w:after="0" w:line="100" w:lineRule="atLeast"/>
        <w:jc w:val="both"/>
        <w:rPr>
          <w:b/>
          <w:sz w:val="24"/>
          <w:szCs w:val="24"/>
          <w:u w:val="single"/>
        </w:rPr>
      </w:pPr>
      <w:r>
        <w:rPr>
          <w:b/>
          <w:sz w:val="24"/>
          <w:szCs w:val="24"/>
          <w:u w:val="single"/>
        </w:rPr>
        <w:t xml:space="preserve">Applications et utilisation du cortisol </w:t>
      </w:r>
    </w:p>
    <w:p w:rsidR="00D207E2" w:rsidRDefault="00D207E2">
      <w:pPr>
        <w:jc w:val="both"/>
      </w:pPr>
    </w:p>
    <w:p w:rsidR="00AC113A" w:rsidRDefault="00AC113A">
      <w:pPr>
        <w:jc w:val="both"/>
      </w:pPr>
      <w:r>
        <w:tab/>
        <w:t>La principale fonction des corticoïdes est d’intervenir dans la régulation des réponses induites par le stress. De nombreuses études ont maintenant démontré que le cortisol, et en particulier le cortisol salivaire, est un marqueur biologique très fiable des niveaux de stress physiologiques et physiques. (54, 57, 58, 59, 60)</w:t>
      </w:r>
    </w:p>
    <w:p w:rsidR="00AC113A" w:rsidRDefault="00AC113A">
      <w:pPr>
        <w:jc w:val="both"/>
      </w:pPr>
      <w:r>
        <w:lastRenderedPageBreak/>
        <w:t>La variation spontanée du cortisol est de l’ordre de 15 minutes (61)</w:t>
      </w:r>
      <w:r w:rsidR="00416D7F">
        <w:t>.</w:t>
      </w:r>
    </w:p>
    <w:p w:rsidR="00AC113A" w:rsidRDefault="00AC113A">
      <w:pPr>
        <w:jc w:val="both"/>
      </w:pPr>
    </w:p>
    <w:p w:rsidR="00AC113A" w:rsidRDefault="00AC113A">
      <w:pPr>
        <w:jc w:val="both"/>
      </w:pPr>
      <w:r>
        <w:tab/>
        <w:t xml:space="preserve">Pour une utilisation optimale du cortisol salivaire (62, 63), il faut cependant connaître les variations spontanées ou provoquées au cours des 24 heures. Comme bon nombre de variable biologique, le cortisol fluctue de manière régulière au cours des 24 heures. </w:t>
      </w:r>
    </w:p>
    <w:p w:rsidR="00AC113A" w:rsidRDefault="00AC113A">
      <w:pPr>
        <w:jc w:val="both"/>
      </w:pPr>
      <w:r>
        <w:t>La cortisolémie répond à un processus circadien (61). Le rythme du cortisol est le suivant : concentrations plasmatiques très faibles en soirée, suivies d’une augmentation progressives des concentrations situant l’acrophase dans la matinée, avec un pic de cortisol 45 minutes après la phase de réveil ou CAR (cortisol awakening response) (64, 65, 67) puis diminution tout au long de la journée (66, 68).</w:t>
      </w:r>
    </w:p>
    <w:p w:rsidR="00AC113A" w:rsidRDefault="00AC113A">
      <w:pPr>
        <w:jc w:val="both"/>
      </w:pPr>
    </w:p>
    <w:p w:rsidR="00AC113A" w:rsidRDefault="00AC113A">
      <w:pPr>
        <w:jc w:val="both"/>
      </w:pPr>
    </w:p>
    <w:p w:rsidR="00AC113A" w:rsidRDefault="00AC113A">
      <w:pPr>
        <w:jc w:val="both"/>
      </w:pPr>
      <w:r>
        <w:t>D’autres facteurs de variation jouent un rôle sur le taux de cortisol comme :</w:t>
      </w:r>
    </w:p>
    <w:p w:rsidR="00AC113A" w:rsidRDefault="00AC113A">
      <w:pPr>
        <w:jc w:val="both"/>
      </w:pPr>
      <w:r>
        <w:tab/>
        <w:t>-la station debout (69, 78)</w:t>
      </w:r>
    </w:p>
    <w:p w:rsidR="00AC113A" w:rsidRDefault="00AC113A">
      <w:pPr>
        <w:jc w:val="both"/>
      </w:pPr>
      <w:r>
        <w:tab/>
        <w:t>-sexe (70, 74, 75, 84, 87, 88, 89, 90, 91)</w:t>
      </w:r>
    </w:p>
    <w:p w:rsidR="00AC113A" w:rsidRDefault="00AC113A">
      <w:pPr>
        <w:jc w:val="both"/>
      </w:pPr>
      <w:r>
        <w:tab/>
        <w:t>-la prise de repas (72, 80)</w:t>
      </w:r>
    </w:p>
    <w:p w:rsidR="00AC113A" w:rsidRDefault="00AC113A">
      <w:pPr>
        <w:jc w:val="both"/>
      </w:pPr>
      <w:r>
        <w:tab/>
        <w:t>-la consommation de tabac (73, 76, 84)</w:t>
      </w:r>
    </w:p>
    <w:p w:rsidR="00AC113A" w:rsidRDefault="00AC113A">
      <w:pPr>
        <w:jc w:val="both"/>
      </w:pPr>
      <w:r>
        <w:tab/>
        <w:t>-la consommation de café (74, 75)</w:t>
      </w:r>
    </w:p>
    <w:p w:rsidR="00AC113A" w:rsidRDefault="00AC113A">
      <w:pPr>
        <w:jc w:val="both"/>
      </w:pPr>
      <w:r>
        <w:tab/>
        <w:t>-la consommation d’alcool (84)</w:t>
      </w:r>
    </w:p>
    <w:p w:rsidR="00AC113A" w:rsidRDefault="00AC113A">
      <w:pPr>
        <w:tabs>
          <w:tab w:val="left" w:pos="708"/>
          <w:tab w:val="left" w:pos="1416"/>
          <w:tab w:val="left" w:pos="2820"/>
        </w:tabs>
        <w:jc w:val="both"/>
      </w:pPr>
      <w:r>
        <w:tab/>
        <w:t>-la lumière</w:t>
      </w:r>
      <w:r>
        <w:tab/>
        <w:t xml:space="preserve"> (79, 77)</w:t>
      </w:r>
    </w:p>
    <w:p w:rsidR="00AC113A" w:rsidRDefault="00AC113A">
      <w:pPr>
        <w:jc w:val="both"/>
      </w:pPr>
      <w:r>
        <w:tab/>
        <w:t>-la prise de médicaments (84, 92, 90)</w:t>
      </w:r>
    </w:p>
    <w:p w:rsidR="00AC113A" w:rsidRDefault="00AC113A">
      <w:pPr>
        <w:jc w:val="both"/>
      </w:pPr>
      <w:r>
        <w:tab/>
        <w:t>-le cycle menstruel (70, 92, 90)</w:t>
      </w:r>
    </w:p>
    <w:p w:rsidR="00AC113A" w:rsidRDefault="00AC113A">
      <w:pPr>
        <w:jc w:val="both"/>
      </w:pPr>
      <w:r>
        <w:tab/>
        <w:t>-la grossesse et l’allaitement (84)</w:t>
      </w:r>
    </w:p>
    <w:p w:rsidR="00AC113A" w:rsidRDefault="00AC113A">
      <w:pPr>
        <w:jc w:val="both"/>
      </w:pPr>
      <w:r>
        <w:tab/>
        <w:t>-l’âge (84, 85)</w:t>
      </w:r>
    </w:p>
    <w:p w:rsidR="00AC113A" w:rsidRDefault="00AC113A">
      <w:pPr>
        <w:jc w:val="both"/>
      </w:pPr>
      <w:r>
        <w:tab/>
        <w:t>-la fatigue (86)</w:t>
      </w:r>
    </w:p>
    <w:p w:rsidR="00AC113A" w:rsidRDefault="00AC113A">
      <w:pPr>
        <w:jc w:val="both"/>
      </w:pPr>
      <w:r>
        <w:tab/>
        <w:t>-les pathologies psychiatriques (82, 93)</w:t>
      </w:r>
    </w:p>
    <w:p w:rsidR="00AC113A" w:rsidRDefault="00AC113A">
      <w:pPr>
        <w:jc w:val="both"/>
      </w:pPr>
      <w:r>
        <w:tab/>
        <w:t>-la pratique du sport (71, 81, 94)</w:t>
      </w:r>
      <w:r w:rsidR="00416D7F">
        <w:t>.</w:t>
      </w:r>
    </w:p>
    <w:p w:rsidR="00AC113A" w:rsidRDefault="00AC113A">
      <w:pPr>
        <w:jc w:val="both"/>
      </w:pPr>
    </w:p>
    <w:p w:rsidR="00AC113A" w:rsidRDefault="00AC113A">
      <w:pPr>
        <w:jc w:val="both"/>
      </w:pPr>
      <w:r>
        <w:t>Il apparaît donc évident que le contrôle précis des facteurs environnementaux, comportementaux ou endogènes impliqués dans la régulation de la sécrétion du cortisol, est un pré-requis méthodologique indispensable lors d’études sur le cortisol salivaire. La mesure du taux de cortisol à un moment de la journée ne constitue pas une valeur de référence absolue puisque ce taux peut doubler ou tripler à un autre moment de la journée sous l’influence de composantes circadiennes ou comportementales</w:t>
      </w:r>
      <w:r w:rsidR="00912109">
        <w:t>.</w:t>
      </w:r>
    </w:p>
    <w:p w:rsidR="00AC113A" w:rsidRDefault="00AC113A">
      <w:pPr>
        <w:jc w:val="both"/>
      </w:pPr>
    </w:p>
    <w:p w:rsidR="00AC113A" w:rsidRDefault="00AC113A">
      <w:pPr>
        <w:jc w:val="both"/>
      </w:pPr>
    </w:p>
    <w:p w:rsidR="00AC113A" w:rsidRDefault="00AC113A">
      <w:pPr>
        <w:pStyle w:val="ListParagraph"/>
        <w:suppressAutoHyphens w:val="0"/>
        <w:spacing w:after="0" w:line="100" w:lineRule="atLeast"/>
        <w:ind w:left="1416"/>
        <w:jc w:val="both"/>
        <w:rPr>
          <w:b/>
          <w:sz w:val="24"/>
          <w:szCs w:val="24"/>
          <w:u w:val="single"/>
        </w:rPr>
      </w:pPr>
      <w:r>
        <w:rPr>
          <w:b/>
          <w:sz w:val="24"/>
          <w:szCs w:val="24"/>
          <w:u w:val="single"/>
        </w:rPr>
        <w:t>2.</w:t>
      </w:r>
      <w:r w:rsidR="00D207E2">
        <w:rPr>
          <w:b/>
          <w:sz w:val="24"/>
          <w:szCs w:val="24"/>
          <w:u w:val="single"/>
        </w:rPr>
        <w:t>4</w:t>
      </w:r>
      <w:r>
        <w:rPr>
          <w:b/>
          <w:sz w:val="24"/>
          <w:szCs w:val="24"/>
          <w:u w:val="single"/>
        </w:rPr>
        <w:t>.4 Du stress chronique à la pathologie</w:t>
      </w:r>
    </w:p>
    <w:p w:rsidR="00AC113A" w:rsidRDefault="00AC113A">
      <w:pPr>
        <w:pStyle w:val="ListParagraph"/>
        <w:ind w:left="2136"/>
        <w:jc w:val="both"/>
        <w:rPr>
          <w:b/>
          <w:sz w:val="24"/>
          <w:szCs w:val="24"/>
          <w:u w:val="single"/>
        </w:rPr>
      </w:pPr>
    </w:p>
    <w:p w:rsidR="00AC113A" w:rsidRDefault="002F3417" w:rsidP="002F3417">
      <w:pPr>
        <w:pStyle w:val="ListParagraph"/>
        <w:suppressAutoHyphens w:val="0"/>
        <w:spacing w:after="0" w:line="100" w:lineRule="atLeast"/>
        <w:ind w:left="2136"/>
        <w:jc w:val="both"/>
      </w:pPr>
      <w:r>
        <w:rPr>
          <w:b/>
          <w:sz w:val="24"/>
          <w:szCs w:val="24"/>
          <w:u w:val="single"/>
        </w:rPr>
        <w:t xml:space="preserve">A </w:t>
      </w:r>
      <w:r w:rsidR="00AC113A">
        <w:rPr>
          <w:b/>
          <w:sz w:val="24"/>
          <w:szCs w:val="24"/>
          <w:u w:val="single"/>
        </w:rPr>
        <w:t xml:space="preserve">Physiopathologie de la </w:t>
      </w:r>
      <w:r w:rsidR="007B32D8">
        <w:rPr>
          <w:b/>
          <w:sz w:val="24"/>
          <w:szCs w:val="24"/>
          <w:u w:val="single"/>
        </w:rPr>
        <w:t>genèse</w:t>
      </w:r>
      <w:r w:rsidR="00AC113A">
        <w:rPr>
          <w:b/>
          <w:sz w:val="24"/>
          <w:szCs w:val="24"/>
          <w:u w:val="single"/>
        </w:rPr>
        <w:t xml:space="preserve"> du stress chronique</w:t>
      </w:r>
    </w:p>
    <w:p w:rsidR="00AC113A" w:rsidRDefault="00AC113A">
      <w:pPr>
        <w:jc w:val="both"/>
      </w:pPr>
    </w:p>
    <w:p w:rsidR="00AC113A" w:rsidRDefault="00AC113A">
      <w:pPr>
        <w:jc w:val="both"/>
      </w:pPr>
      <w:r>
        <w:tab/>
        <w:t>Le stress chronique est associé à une production accrue de cortisol. Le premier à travailler sur cette hypothèse fut R.M. Sapolsky (95) qui a étudié la cascade des glucocorticoïdes pour expliquer l’altération des fonctions cérébrales due à une exposition prolongée aux glucocorticoïdes.</w:t>
      </w:r>
    </w:p>
    <w:p w:rsidR="00AC113A" w:rsidRDefault="00AC113A">
      <w:pPr>
        <w:jc w:val="both"/>
      </w:pPr>
      <w:r>
        <w:t>La sécrétion prolongée d’hormone glucocorticoïde endommage en particulier les neurones hippocampiques et conduit à une levée de l’inhibition tonique qu’exerce l’hippocampe sur l’activation de l’axe corticotrope.</w:t>
      </w:r>
    </w:p>
    <w:p w:rsidR="00AC113A" w:rsidRDefault="00AC113A">
      <w:pPr>
        <w:jc w:val="both"/>
      </w:pPr>
    </w:p>
    <w:p w:rsidR="00AC113A" w:rsidRDefault="00AC113A">
      <w:pPr>
        <w:jc w:val="both"/>
      </w:pPr>
    </w:p>
    <w:p w:rsidR="00AC113A" w:rsidRDefault="00AC113A">
      <w:pPr>
        <w:jc w:val="both"/>
      </w:pPr>
    </w:p>
    <w:p w:rsidR="00AC113A" w:rsidRDefault="00A17D42">
      <w:pPr>
        <w:jc w:val="both"/>
        <w:rPr>
          <w:b/>
        </w:rPr>
      </w:pPr>
      <w:r>
        <w:rPr>
          <w:noProof/>
          <w:lang w:eastAsia="fr-FR" w:bidi="ar-SA"/>
        </w:rPr>
        <w:lastRenderedPageBreak/>
        <w:drawing>
          <wp:inline distT="0" distB="0" distL="0" distR="0">
            <wp:extent cx="5067300" cy="32099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3209925"/>
                    </a:xfrm>
                    <a:prstGeom prst="rect">
                      <a:avLst/>
                    </a:prstGeom>
                    <a:solidFill>
                      <a:srgbClr val="FFFFFF"/>
                    </a:solidFill>
                    <a:ln>
                      <a:noFill/>
                    </a:ln>
                  </pic:spPr>
                </pic:pic>
              </a:graphicData>
            </a:graphic>
          </wp:inline>
        </w:drawing>
      </w:r>
    </w:p>
    <w:p w:rsidR="00AC113A" w:rsidRDefault="00AC113A">
      <w:pPr>
        <w:jc w:val="both"/>
      </w:pPr>
      <w:r>
        <w:rPr>
          <w:b/>
        </w:rPr>
        <w:t>Figure 3 : Mécanisme des effets délétères du stress chronique</w:t>
      </w:r>
    </w:p>
    <w:p w:rsidR="00AC113A" w:rsidRDefault="00AC113A">
      <w:pPr>
        <w:jc w:val="both"/>
      </w:pPr>
    </w:p>
    <w:p w:rsidR="00AC113A" w:rsidRDefault="00AC113A">
      <w:pPr>
        <w:jc w:val="both"/>
      </w:pPr>
    </w:p>
    <w:p w:rsidR="00AC113A" w:rsidRDefault="00AC113A">
      <w:pPr>
        <w:jc w:val="both"/>
      </w:pPr>
      <w:r>
        <w:t>Cela aboutit à des changements morphologiques dans le cerveau, comme dans le cortex préfrontal</w:t>
      </w:r>
      <w:r w:rsidR="00912109">
        <w:t>,</w:t>
      </w:r>
      <w:r>
        <w:t xml:space="preserve"> à une altération de l’attention, de la mémoire de travail et de la flexibilité comportementale. Les modifications de l’hippocampe sont associées à des troubles de la mémoire spatiale et de l’apprentissage alors que l’amygdale est associée à une augmentation de la mémoire de peur, à l’anxiété et à l’agressivité. (96, 97)</w:t>
      </w:r>
    </w:p>
    <w:p w:rsidR="00AC113A" w:rsidRDefault="00AC113A">
      <w:pPr>
        <w:jc w:val="both"/>
      </w:pPr>
    </w:p>
    <w:p w:rsidR="00AC113A" w:rsidRDefault="00AC113A">
      <w:pPr>
        <w:jc w:val="both"/>
        <w:rPr>
          <w:b/>
          <w:u w:val="single"/>
        </w:rPr>
      </w:pPr>
    </w:p>
    <w:p w:rsidR="00AC113A" w:rsidRDefault="002F3417" w:rsidP="002F3417">
      <w:pPr>
        <w:pStyle w:val="ListParagraph"/>
        <w:suppressAutoHyphens w:val="0"/>
        <w:spacing w:after="0" w:line="100" w:lineRule="atLeast"/>
        <w:ind w:left="2136"/>
        <w:jc w:val="both"/>
        <w:rPr>
          <w:b/>
          <w:u w:val="single"/>
        </w:rPr>
      </w:pPr>
      <w:r>
        <w:rPr>
          <w:b/>
          <w:sz w:val="24"/>
          <w:szCs w:val="24"/>
          <w:u w:val="single"/>
        </w:rPr>
        <w:t xml:space="preserve">B </w:t>
      </w:r>
      <w:r w:rsidR="00AC113A">
        <w:rPr>
          <w:b/>
          <w:sz w:val="24"/>
          <w:szCs w:val="24"/>
          <w:u w:val="single"/>
        </w:rPr>
        <w:t>La fonction corticotrope et les pathologies</w:t>
      </w:r>
    </w:p>
    <w:p w:rsidR="00AC113A" w:rsidRDefault="00AC113A">
      <w:pPr>
        <w:jc w:val="both"/>
        <w:rPr>
          <w:b/>
          <w:u w:val="single"/>
        </w:rPr>
      </w:pPr>
    </w:p>
    <w:p w:rsidR="00AC113A" w:rsidRDefault="00AC113A">
      <w:pPr>
        <w:jc w:val="both"/>
      </w:pPr>
      <w:r>
        <w:tab/>
        <w:t>L’axe corticotrope apparaît comme un système majeur pour l’élaboration des processus comportementaux et physiologiques adaptatifs. Cependant, la mise en évidence d’effets toxiques provoqués au niveau cérébral par une libération prolongée de glucocorticoïdes (98, 99) augmentée des effets imprévisibles d’une dépression prolongée des défenses immunitaires, conduit à supposer qu’une sécrétion anormalement élevée de glucocorticoïdes pourrait rendre leur fonction non adaptative.</w:t>
      </w:r>
    </w:p>
    <w:p w:rsidR="00AC113A" w:rsidRDefault="00AC113A">
      <w:pPr>
        <w:jc w:val="both"/>
      </w:pPr>
    </w:p>
    <w:p w:rsidR="00AC113A" w:rsidRDefault="00AC113A">
      <w:pPr>
        <w:jc w:val="both"/>
      </w:pPr>
      <w:r>
        <w:t xml:space="preserve">Nous allons maintenant détailler les pathologies liées à des dysfonctionnements de l’axe corticotrope et donc supposées liées au stress. </w:t>
      </w:r>
    </w:p>
    <w:p w:rsidR="00AC113A" w:rsidRDefault="00AC113A">
      <w:pPr>
        <w:jc w:val="both"/>
      </w:pPr>
    </w:p>
    <w:p w:rsidR="00AC113A" w:rsidRDefault="00AC113A">
      <w:pPr>
        <w:jc w:val="both"/>
      </w:pPr>
    </w:p>
    <w:p w:rsidR="00AC113A" w:rsidRDefault="00AC113A">
      <w:pPr>
        <w:pStyle w:val="ListParagraph"/>
        <w:numPr>
          <w:ilvl w:val="0"/>
          <w:numId w:val="9"/>
        </w:numPr>
        <w:suppressAutoHyphens w:val="0"/>
        <w:spacing w:after="0" w:line="100" w:lineRule="atLeast"/>
        <w:jc w:val="both"/>
      </w:pPr>
      <w:r>
        <w:rPr>
          <w:b/>
          <w:sz w:val="24"/>
          <w:szCs w:val="24"/>
          <w:u w:val="single"/>
        </w:rPr>
        <w:t>Sur le plan psychiatrique </w:t>
      </w:r>
    </w:p>
    <w:p w:rsidR="00AC113A" w:rsidRDefault="00AC113A">
      <w:pPr>
        <w:jc w:val="both"/>
      </w:pPr>
    </w:p>
    <w:p w:rsidR="00AC113A" w:rsidRDefault="00AC113A">
      <w:pPr>
        <w:jc w:val="both"/>
      </w:pPr>
      <w:r>
        <w:tab/>
        <w:t xml:space="preserve">La dépression majeure serait due à une anomalie de la contre-régulation des réponses généralisées au stress résultant en une hypersécrétion de CRH et/ou de </w:t>
      </w:r>
      <w:r w:rsidR="00912109">
        <w:t>catécholamines</w:t>
      </w:r>
      <w:r>
        <w:t xml:space="preserve"> centrales (100, 101).</w:t>
      </w:r>
    </w:p>
    <w:p w:rsidR="00AC113A" w:rsidRDefault="00AC113A">
      <w:pPr>
        <w:jc w:val="both"/>
      </w:pPr>
      <w:r>
        <w:t>Les symptômes majeurs de la dépression mélancolique indiquent que cette pathologie n’est pas associée à un état d’inactivation comme son nom pourrait le laisser supposer mais plutôt à un état d’hypervigilance pathologique (102, 103, 104).</w:t>
      </w:r>
    </w:p>
    <w:p w:rsidR="00AC113A" w:rsidRDefault="00AC113A">
      <w:pPr>
        <w:jc w:val="both"/>
      </w:pPr>
    </w:p>
    <w:p w:rsidR="00AC113A" w:rsidRDefault="00AC113A">
      <w:pPr>
        <w:jc w:val="both"/>
      </w:pPr>
      <w:r>
        <w:t>Le stress favoriserait également les troubles du sommeil (111, 112, 113).</w:t>
      </w:r>
    </w:p>
    <w:p w:rsidR="00AC113A" w:rsidRDefault="00AC113A">
      <w:pPr>
        <w:jc w:val="both"/>
      </w:pPr>
    </w:p>
    <w:p w:rsidR="00AC113A" w:rsidRDefault="00AC113A">
      <w:pPr>
        <w:jc w:val="both"/>
      </w:pPr>
    </w:p>
    <w:p w:rsidR="00AC113A" w:rsidRDefault="00AC113A">
      <w:pPr>
        <w:pStyle w:val="ListParagraph"/>
        <w:numPr>
          <w:ilvl w:val="0"/>
          <w:numId w:val="9"/>
        </w:numPr>
        <w:suppressAutoHyphens w:val="0"/>
        <w:spacing w:after="0" w:line="100" w:lineRule="atLeast"/>
        <w:jc w:val="both"/>
      </w:pPr>
      <w:r>
        <w:rPr>
          <w:b/>
          <w:sz w:val="24"/>
          <w:szCs w:val="24"/>
          <w:u w:val="single"/>
        </w:rPr>
        <w:t>Sur le plan cardiovasculaire </w:t>
      </w:r>
    </w:p>
    <w:p w:rsidR="00AC113A" w:rsidRDefault="00AC113A">
      <w:pPr>
        <w:jc w:val="both"/>
      </w:pPr>
    </w:p>
    <w:p w:rsidR="00AC113A" w:rsidRDefault="00AC113A">
      <w:pPr>
        <w:jc w:val="both"/>
      </w:pPr>
      <w:r>
        <w:t>Le stress est un facteur de risque cardiovasculaire secondaire à part entière (107)</w:t>
      </w:r>
      <w:r w:rsidR="00912109">
        <w:t>.</w:t>
      </w:r>
    </w:p>
    <w:p w:rsidR="00AC113A" w:rsidRDefault="00AC113A">
      <w:pPr>
        <w:jc w:val="both"/>
      </w:pPr>
      <w:r>
        <w:t>Le stress</w:t>
      </w:r>
      <w:r w:rsidR="00912109">
        <w:t>,</w:t>
      </w:r>
      <w:r>
        <w:t xml:space="preserve"> par le biais de l’hyperactivité de l’axe corticotrope</w:t>
      </w:r>
      <w:r w:rsidR="00912109">
        <w:t>,</w:t>
      </w:r>
      <w:r>
        <w:t xml:space="preserve"> serait responsable de la mise en place du </w:t>
      </w:r>
      <w:r w:rsidR="007B32D8">
        <w:t>syndrome</w:t>
      </w:r>
      <w:r>
        <w:t xml:space="preserve"> métabolique (103, 109, 110). Il jouerait également un rôle dans la formation des calcifications coronaires par le biais du même mécanisme (104,105) et favoriserait la survenue de syndrome coronarien aigu (108). Le cortisol favoriserait également la survenue de l’hypertension (114) par un mécanisme de rétention sodée et d’expansion du volume.</w:t>
      </w:r>
    </w:p>
    <w:p w:rsidR="00AC113A" w:rsidRDefault="00AC113A">
      <w:pPr>
        <w:jc w:val="both"/>
      </w:pPr>
    </w:p>
    <w:p w:rsidR="00AC113A" w:rsidRDefault="00AC113A">
      <w:pPr>
        <w:jc w:val="both"/>
      </w:pPr>
    </w:p>
    <w:p w:rsidR="00AC113A" w:rsidRDefault="00AC113A">
      <w:pPr>
        <w:pStyle w:val="ListParagraph"/>
        <w:numPr>
          <w:ilvl w:val="0"/>
          <w:numId w:val="9"/>
        </w:numPr>
        <w:suppressAutoHyphens w:val="0"/>
        <w:spacing w:after="0" w:line="100" w:lineRule="atLeast"/>
        <w:jc w:val="both"/>
      </w:pPr>
      <w:r>
        <w:rPr>
          <w:b/>
          <w:sz w:val="24"/>
          <w:szCs w:val="24"/>
          <w:u w:val="single"/>
        </w:rPr>
        <w:t>Sur le plan digestif</w:t>
      </w:r>
      <w:r>
        <w:rPr>
          <w:sz w:val="24"/>
          <w:szCs w:val="24"/>
        </w:rPr>
        <w:t> </w:t>
      </w:r>
    </w:p>
    <w:p w:rsidR="00AC113A" w:rsidRDefault="00AC113A">
      <w:pPr>
        <w:jc w:val="both"/>
      </w:pPr>
    </w:p>
    <w:p w:rsidR="00AC113A" w:rsidRDefault="00AC113A">
      <w:pPr>
        <w:jc w:val="both"/>
      </w:pPr>
      <w:r>
        <w:t>On note un important rôle du stress dans les maladies inflammatoires chroniques de l’intestin, le stress altérerait la motricité, la sensibilité, et la fonction sécrétrice du tube digestif (115).</w:t>
      </w:r>
    </w:p>
    <w:p w:rsidR="00AC113A" w:rsidRDefault="00AC113A">
      <w:pPr>
        <w:jc w:val="both"/>
        <w:rPr>
          <w:b/>
          <w:u w:val="single"/>
        </w:rPr>
      </w:pPr>
      <w:r>
        <w:t xml:space="preserve">Le stress est connu depuis bien longtemps en réanimation pour être responsable d’ulcères que l’on dit </w:t>
      </w:r>
      <w:r w:rsidR="00912109">
        <w:t>« </w:t>
      </w:r>
      <w:r>
        <w:t>de stress</w:t>
      </w:r>
      <w:r w:rsidR="00912109">
        <w:t> »</w:t>
      </w:r>
      <w:r>
        <w:t xml:space="preserve"> (116)</w:t>
      </w:r>
      <w:r w:rsidR="00912109">
        <w:t>.</w:t>
      </w:r>
    </w:p>
    <w:p w:rsidR="00AC113A" w:rsidRDefault="00AC113A">
      <w:pPr>
        <w:jc w:val="both"/>
        <w:rPr>
          <w:b/>
          <w:u w:val="single"/>
        </w:rPr>
      </w:pPr>
    </w:p>
    <w:p w:rsidR="00AC113A" w:rsidRDefault="00AC113A">
      <w:pPr>
        <w:jc w:val="both"/>
        <w:rPr>
          <w:b/>
          <w:u w:val="single"/>
        </w:rPr>
      </w:pPr>
    </w:p>
    <w:p w:rsidR="00AC113A" w:rsidRDefault="00AC113A">
      <w:pPr>
        <w:pStyle w:val="ListParagraph"/>
        <w:numPr>
          <w:ilvl w:val="0"/>
          <w:numId w:val="9"/>
        </w:numPr>
        <w:suppressAutoHyphens w:val="0"/>
        <w:spacing w:after="0" w:line="100" w:lineRule="atLeast"/>
        <w:jc w:val="both"/>
      </w:pPr>
      <w:r>
        <w:rPr>
          <w:b/>
          <w:sz w:val="24"/>
          <w:szCs w:val="24"/>
          <w:u w:val="single"/>
        </w:rPr>
        <w:t>Sur le plan endocrinien </w:t>
      </w:r>
    </w:p>
    <w:p w:rsidR="00AC113A" w:rsidRDefault="00AC113A">
      <w:pPr>
        <w:jc w:val="both"/>
      </w:pPr>
    </w:p>
    <w:p w:rsidR="00AC113A" w:rsidRDefault="00AC113A">
      <w:pPr>
        <w:jc w:val="both"/>
      </w:pPr>
      <w:r>
        <w:t xml:space="preserve">Des liens ont été mis en évidence entre le stress et une augmentation de la consommation alimentaire (117), ainsi qu’entre stress et diminution de l’activité physique (121). </w:t>
      </w:r>
    </w:p>
    <w:p w:rsidR="00AC113A" w:rsidRDefault="00AC113A">
      <w:pPr>
        <w:jc w:val="both"/>
      </w:pPr>
      <w:r>
        <w:t>Le stress pourrait être également un facteur d’infertilité (118).</w:t>
      </w:r>
    </w:p>
    <w:p w:rsidR="00AC113A" w:rsidRDefault="00AC113A">
      <w:pPr>
        <w:jc w:val="both"/>
      </w:pPr>
      <w:r>
        <w:t>Il joue un rôle aisément compréhensible dans la perturbation de la fonction glycémique et la genèse du diabète (119). Il peut également perturber la fonction thyroïdienne.</w:t>
      </w:r>
    </w:p>
    <w:p w:rsidR="00AC113A" w:rsidRDefault="00AC113A">
      <w:pPr>
        <w:jc w:val="both"/>
      </w:pPr>
      <w:r>
        <w:t>Le stress jouerait également un rôle dans le vieillissement cellulaire (122).</w:t>
      </w:r>
    </w:p>
    <w:p w:rsidR="00AC113A" w:rsidRDefault="00AC113A">
      <w:pPr>
        <w:jc w:val="both"/>
      </w:pPr>
      <w:r>
        <w:tab/>
      </w:r>
    </w:p>
    <w:p w:rsidR="00AC113A" w:rsidRDefault="00AC113A">
      <w:pPr>
        <w:jc w:val="both"/>
      </w:pPr>
    </w:p>
    <w:p w:rsidR="00AC113A" w:rsidRDefault="00AC113A">
      <w:pPr>
        <w:pStyle w:val="ListParagraph"/>
        <w:numPr>
          <w:ilvl w:val="0"/>
          <w:numId w:val="9"/>
        </w:numPr>
        <w:suppressAutoHyphens w:val="0"/>
        <w:spacing w:after="0" w:line="100" w:lineRule="atLeast"/>
        <w:jc w:val="both"/>
        <w:rPr>
          <w:b/>
          <w:u w:val="single"/>
        </w:rPr>
      </w:pPr>
      <w:r>
        <w:rPr>
          <w:b/>
          <w:sz w:val="24"/>
          <w:szCs w:val="24"/>
          <w:u w:val="single"/>
        </w:rPr>
        <w:t>Sur le plan rhumatologique </w:t>
      </w:r>
    </w:p>
    <w:p w:rsidR="00AC113A" w:rsidRDefault="00AC113A">
      <w:pPr>
        <w:jc w:val="both"/>
        <w:rPr>
          <w:b/>
          <w:u w:val="single"/>
        </w:rPr>
      </w:pPr>
    </w:p>
    <w:p w:rsidR="00AC113A" w:rsidRDefault="00AC113A">
      <w:pPr>
        <w:jc w:val="both"/>
      </w:pPr>
      <w:r>
        <w:t>Le stress jouerait un rôle dans les poussées de rhumatisme articulaire (123). Le stress peut également avoir un impact sur la fibromyalgie (125, 126)</w:t>
      </w:r>
      <w:r w:rsidR="00912109">
        <w:t>.</w:t>
      </w:r>
    </w:p>
    <w:p w:rsidR="00AC113A" w:rsidRDefault="00AC113A">
      <w:pPr>
        <w:jc w:val="both"/>
      </w:pPr>
    </w:p>
    <w:p w:rsidR="00AC113A" w:rsidRDefault="00AC113A">
      <w:pPr>
        <w:jc w:val="both"/>
      </w:pPr>
    </w:p>
    <w:p w:rsidR="00AC113A" w:rsidRDefault="00AC113A">
      <w:pPr>
        <w:pStyle w:val="ListParagraph"/>
        <w:numPr>
          <w:ilvl w:val="0"/>
          <w:numId w:val="9"/>
        </w:numPr>
        <w:suppressAutoHyphens w:val="0"/>
        <w:spacing w:after="0" w:line="100" w:lineRule="atLeast"/>
        <w:jc w:val="both"/>
      </w:pPr>
      <w:r>
        <w:rPr>
          <w:b/>
          <w:sz w:val="24"/>
          <w:szCs w:val="24"/>
          <w:u w:val="single"/>
        </w:rPr>
        <w:t>Sur le plan dermatologique </w:t>
      </w:r>
    </w:p>
    <w:p w:rsidR="00AC113A" w:rsidRDefault="00AC113A">
      <w:pPr>
        <w:jc w:val="both"/>
      </w:pPr>
    </w:p>
    <w:p w:rsidR="00AC113A" w:rsidRDefault="00AC113A">
      <w:pPr>
        <w:jc w:val="both"/>
      </w:pPr>
      <w:r>
        <w:t xml:space="preserve">Le stress jouerait un rôle dans la </w:t>
      </w:r>
      <w:r w:rsidR="007B32D8">
        <w:t>genèse</w:t>
      </w:r>
      <w:r>
        <w:t xml:space="preserve"> de troubles tels que l’eczéma, le prurit, l’urticaire (124).</w:t>
      </w:r>
    </w:p>
    <w:p w:rsidR="00AC113A" w:rsidRDefault="00AC113A">
      <w:pPr>
        <w:jc w:val="both"/>
      </w:pPr>
    </w:p>
    <w:p w:rsidR="00AC113A" w:rsidRDefault="00AC113A">
      <w:pPr>
        <w:jc w:val="both"/>
      </w:pPr>
    </w:p>
    <w:p w:rsidR="00AC113A" w:rsidRDefault="00AC113A">
      <w:pPr>
        <w:pStyle w:val="ListParagraph"/>
        <w:numPr>
          <w:ilvl w:val="0"/>
          <w:numId w:val="9"/>
        </w:numPr>
        <w:suppressAutoHyphens w:val="0"/>
        <w:spacing w:after="0" w:line="100" w:lineRule="atLeast"/>
        <w:jc w:val="both"/>
      </w:pPr>
      <w:r>
        <w:rPr>
          <w:b/>
          <w:sz w:val="24"/>
          <w:szCs w:val="24"/>
          <w:u w:val="single"/>
        </w:rPr>
        <w:t>Sur le plan immunologique </w:t>
      </w:r>
    </w:p>
    <w:p w:rsidR="00AC113A" w:rsidRDefault="00AC113A">
      <w:pPr>
        <w:jc w:val="both"/>
      </w:pPr>
    </w:p>
    <w:p w:rsidR="00AC113A" w:rsidRDefault="00AC113A">
      <w:pPr>
        <w:jc w:val="both"/>
      </w:pPr>
      <w:r>
        <w:t>Le stress</w:t>
      </w:r>
      <w:r w:rsidR="00912109">
        <w:t>,</w:t>
      </w:r>
      <w:r>
        <w:t xml:space="preserve"> par le biais de l’élévation du cortisol plasmatique</w:t>
      </w:r>
      <w:r w:rsidR="00912109">
        <w:t>,</w:t>
      </w:r>
      <w:r>
        <w:t xml:space="preserve"> jouerait un rôle dans la diminution des défenses immunitaires et par conséquence directe ou indirecte la formation de pathologies virales ou tumorales (127, 128, 129).</w:t>
      </w:r>
    </w:p>
    <w:p w:rsidR="00AC113A" w:rsidRDefault="00AC113A">
      <w:pPr>
        <w:jc w:val="both"/>
      </w:pPr>
    </w:p>
    <w:p w:rsidR="00AC113A" w:rsidRDefault="00AC113A">
      <w:pPr>
        <w:jc w:val="both"/>
      </w:pPr>
    </w:p>
    <w:p w:rsidR="00AC113A" w:rsidRDefault="00912109">
      <w:pPr>
        <w:pStyle w:val="ListParagraph"/>
        <w:numPr>
          <w:ilvl w:val="0"/>
          <w:numId w:val="9"/>
        </w:numPr>
        <w:suppressAutoHyphens w:val="0"/>
        <w:spacing w:after="0" w:line="100" w:lineRule="atLeast"/>
        <w:jc w:val="both"/>
      </w:pPr>
      <w:r>
        <w:rPr>
          <w:b/>
          <w:sz w:val="24"/>
          <w:szCs w:val="24"/>
          <w:u w:val="single"/>
        </w:rPr>
        <w:t>S</w:t>
      </w:r>
      <w:r w:rsidR="00AC113A">
        <w:rPr>
          <w:b/>
          <w:sz w:val="24"/>
          <w:szCs w:val="24"/>
          <w:u w:val="single"/>
        </w:rPr>
        <w:t>ur le plan professionnel :</w:t>
      </w:r>
    </w:p>
    <w:p w:rsidR="00AC113A" w:rsidRDefault="00AC113A">
      <w:pPr>
        <w:jc w:val="both"/>
      </w:pPr>
    </w:p>
    <w:p w:rsidR="00AC113A" w:rsidRDefault="00AC113A">
      <w:pPr>
        <w:jc w:val="both"/>
        <w:rPr>
          <w:b/>
          <w:u w:val="single"/>
        </w:rPr>
      </w:pPr>
      <w:r>
        <w:t>Dans le monde du travail et en particulier celui des soins, le stress chronique peut conduire au syndrome d’épuisement professionnel ou burn-out (130, 131, 132) : il s’agit d’un état d’épuisement émotionnel, physique et psychique.</w:t>
      </w:r>
    </w:p>
    <w:p w:rsidR="00AC113A" w:rsidRDefault="00AC113A">
      <w:pPr>
        <w:jc w:val="both"/>
        <w:rPr>
          <w:b/>
          <w:u w:val="single"/>
        </w:rPr>
      </w:pPr>
    </w:p>
    <w:p w:rsidR="00AC113A" w:rsidRPr="00D207E2" w:rsidRDefault="00AC113A" w:rsidP="00D207E2">
      <w:pPr>
        <w:ind w:firstLine="708"/>
        <w:jc w:val="both"/>
        <w:rPr>
          <w:rFonts w:ascii="Times New (W1)" w:hAnsi="Times New (W1)" w:cs="Times New (W1)"/>
          <w:b/>
          <w:smallCaps/>
        </w:rPr>
      </w:pPr>
      <w:r w:rsidRPr="00D207E2">
        <w:rPr>
          <w:rFonts w:ascii="Times New (W1)" w:hAnsi="Times New (W1)" w:cs="Times New (W1)"/>
          <w:b/>
          <w:smallCaps/>
        </w:rPr>
        <w:t>2.</w:t>
      </w:r>
      <w:r w:rsidR="00D207E2">
        <w:rPr>
          <w:rFonts w:ascii="Times New (W1)" w:hAnsi="Times New (W1)" w:cs="Times New (W1)"/>
          <w:b/>
          <w:smallCaps/>
        </w:rPr>
        <w:t>5</w:t>
      </w:r>
      <w:r w:rsidRPr="00D207E2">
        <w:rPr>
          <w:rFonts w:ascii="Times New (W1)" w:hAnsi="Times New (W1)" w:cs="Times New (W1)"/>
          <w:b/>
          <w:smallCaps/>
        </w:rPr>
        <w:t xml:space="preserve"> Population étudiée dans notre étude</w:t>
      </w:r>
    </w:p>
    <w:p w:rsidR="00AC113A" w:rsidRDefault="00AC113A">
      <w:pPr>
        <w:jc w:val="both"/>
        <w:rPr>
          <w:b/>
          <w:u w:val="single"/>
        </w:rPr>
      </w:pPr>
    </w:p>
    <w:p w:rsidR="00AC113A" w:rsidRDefault="00AC113A">
      <w:pPr>
        <w:jc w:val="both"/>
      </w:pPr>
      <w:r>
        <w:t>La présente étude aura pour but d’étudier le stress en régulation.</w:t>
      </w:r>
    </w:p>
    <w:p w:rsidR="00AC113A" w:rsidRDefault="00AC113A">
      <w:pPr>
        <w:jc w:val="both"/>
      </w:pPr>
    </w:p>
    <w:p w:rsidR="00AC113A" w:rsidRDefault="00AC113A">
      <w:pPr>
        <w:jc w:val="both"/>
      </w:pPr>
      <w:r>
        <w:t>La population étudiée sera constituée du personnel du centre 15 du CHR Metz Thionville (Hôpital de Mercy) : ARM, médecins urgentistes et généralistes répondant aux critères d'éligibilité de l’étude.</w:t>
      </w:r>
    </w:p>
    <w:p w:rsidR="00AC113A" w:rsidRDefault="00AC113A">
      <w:pPr>
        <w:jc w:val="both"/>
      </w:pPr>
    </w:p>
    <w:p w:rsidR="00AC113A" w:rsidRDefault="00AC113A">
      <w:pPr>
        <w:ind w:left="1800"/>
        <w:jc w:val="both"/>
        <w:rPr>
          <w:b/>
          <w:bCs/>
          <w:u w:val="single"/>
        </w:rPr>
      </w:pPr>
      <w:r>
        <w:rPr>
          <w:b/>
          <w:bCs/>
          <w:u w:val="single"/>
        </w:rPr>
        <w:t>2.</w:t>
      </w:r>
      <w:r w:rsidR="00D207E2">
        <w:rPr>
          <w:b/>
          <w:bCs/>
          <w:u w:val="single"/>
        </w:rPr>
        <w:t>5</w:t>
      </w:r>
      <w:r>
        <w:rPr>
          <w:b/>
          <w:bCs/>
          <w:u w:val="single"/>
        </w:rPr>
        <w:t xml:space="preserve">.1 </w:t>
      </w:r>
      <w:r w:rsidR="0072248D">
        <w:rPr>
          <w:b/>
          <w:bCs/>
          <w:u w:val="single"/>
        </w:rPr>
        <w:t>Mission</w:t>
      </w:r>
      <w:r>
        <w:rPr>
          <w:b/>
          <w:bCs/>
          <w:u w:val="single"/>
        </w:rPr>
        <w:t xml:space="preserve"> générale des ARM :</w:t>
      </w:r>
    </w:p>
    <w:p w:rsidR="00AC113A" w:rsidRDefault="00AC113A">
      <w:pPr>
        <w:jc w:val="both"/>
        <w:rPr>
          <w:b/>
          <w:bCs/>
          <w:u w:val="single"/>
        </w:rPr>
      </w:pPr>
    </w:p>
    <w:p w:rsidR="00AC113A" w:rsidRDefault="00AC113A">
      <w:pPr>
        <w:jc w:val="both"/>
      </w:pPr>
      <w:r>
        <w:t>Les ARM sont des agents hospitaliers qui exercent un rôle propre dans la gestion des appels d'aide médicale urgente et de permanence des soins qui parviennent au centre de régulation des appels du SAMU-centre 15.</w:t>
      </w:r>
    </w:p>
    <w:p w:rsidR="00AC113A" w:rsidRDefault="00AC113A">
      <w:pPr>
        <w:jc w:val="both"/>
      </w:pPr>
      <w:r>
        <w:t>Ils exercent l'ensemble des missions qui leurs sont attribuées dans le cadre législatif et réglementaire, sous le contrôle opérationnel du ou des médecins régulateurs, hospitaliers et généralistes. Les ARM leur rendent compte en permanence de leurs actions.</w:t>
      </w:r>
      <w:r>
        <w:br/>
        <w:t xml:space="preserve">Ils entretiennent le matériel en salle de régulation et tiennent à jour la documentation du </w:t>
      </w:r>
      <w:r w:rsidR="007B32D8">
        <w:t xml:space="preserve">SAMU </w:t>
      </w:r>
      <w:r>
        <w:t>centre 15 : patients répertoriés, plan de secours, listes de garde, annuaires opérationnels...</w:t>
      </w:r>
    </w:p>
    <w:p w:rsidR="00AC113A" w:rsidRDefault="00AC113A">
      <w:pPr>
        <w:jc w:val="both"/>
      </w:pPr>
    </w:p>
    <w:p w:rsidR="00AC113A" w:rsidRDefault="00AC113A">
      <w:pPr>
        <w:ind w:left="1800"/>
        <w:jc w:val="both"/>
        <w:rPr>
          <w:b/>
          <w:bCs/>
          <w:u w:val="single"/>
        </w:rPr>
      </w:pPr>
      <w:r>
        <w:rPr>
          <w:b/>
          <w:bCs/>
          <w:u w:val="single"/>
        </w:rPr>
        <w:t>2.</w:t>
      </w:r>
      <w:r w:rsidR="00D207E2">
        <w:rPr>
          <w:b/>
          <w:bCs/>
          <w:u w:val="single"/>
        </w:rPr>
        <w:t>5</w:t>
      </w:r>
      <w:r>
        <w:rPr>
          <w:b/>
          <w:bCs/>
          <w:u w:val="single"/>
        </w:rPr>
        <w:t xml:space="preserve">.2 </w:t>
      </w:r>
      <w:r w:rsidR="0072248D">
        <w:rPr>
          <w:b/>
          <w:bCs/>
          <w:u w:val="single"/>
        </w:rPr>
        <w:t>Compétences</w:t>
      </w:r>
      <w:r>
        <w:rPr>
          <w:b/>
          <w:bCs/>
          <w:u w:val="single"/>
        </w:rPr>
        <w:t xml:space="preserve"> générales des ARM</w:t>
      </w:r>
    </w:p>
    <w:p w:rsidR="00AC113A" w:rsidRDefault="00AC113A">
      <w:pPr>
        <w:jc w:val="both"/>
        <w:rPr>
          <w:b/>
          <w:bCs/>
          <w:u w:val="single"/>
        </w:rPr>
      </w:pPr>
    </w:p>
    <w:p w:rsidR="00AC113A" w:rsidRDefault="00AC113A">
      <w:pPr>
        <w:numPr>
          <w:ilvl w:val="0"/>
          <w:numId w:val="10"/>
        </w:numPr>
        <w:jc w:val="both"/>
      </w:pPr>
      <w:r>
        <w:t>Connaître l'organisation et les missions de l'aide médicale urgente</w:t>
      </w:r>
    </w:p>
    <w:p w:rsidR="00AC113A" w:rsidRDefault="00AC113A">
      <w:pPr>
        <w:numPr>
          <w:ilvl w:val="0"/>
          <w:numId w:val="10"/>
        </w:numPr>
        <w:jc w:val="both"/>
      </w:pPr>
      <w:r>
        <w:t>réceptionner les appels</w:t>
      </w:r>
    </w:p>
    <w:p w:rsidR="00AC113A" w:rsidRDefault="00AC113A">
      <w:pPr>
        <w:numPr>
          <w:ilvl w:val="0"/>
          <w:numId w:val="10"/>
        </w:numPr>
        <w:jc w:val="both"/>
      </w:pPr>
      <w:r>
        <w:t>trier, par un interrogatoire initial succinct mais précis</w:t>
      </w:r>
      <w:r w:rsidR="0072248D">
        <w:t>,</w:t>
      </w:r>
      <w:r>
        <w:t xml:space="preserve"> les appels non médicaux et les traiter en les hiérarchisant selon leur degré d'urgence</w:t>
      </w:r>
    </w:p>
    <w:p w:rsidR="00AC113A" w:rsidRDefault="00AC113A">
      <w:pPr>
        <w:numPr>
          <w:ilvl w:val="0"/>
          <w:numId w:val="10"/>
        </w:numPr>
        <w:jc w:val="both"/>
      </w:pPr>
      <w:r>
        <w:t>déceler une urgence vitale</w:t>
      </w:r>
    </w:p>
    <w:p w:rsidR="00AC113A" w:rsidRDefault="00AC113A">
      <w:pPr>
        <w:numPr>
          <w:ilvl w:val="0"/>
          <w:numId w:val="10"/>
        </w:numPr>
        <w:jc w:val="both"/>
      </w:pPr>
      <w:r>
        <w:t>gérer la communication et l'adapter à la réaction et au stress des appelants</w:t>
      </w:r>
    </w:p>
    <w:p w:rsidR="00AC113A" w:rsidRDefault="00AC113A">
      <w:pPr>
        <w:numPr>
          <w:ilvl w:val="0"/>
          <w:numId w:val="10"/>
        </w:numPr>
        <w:jc w:val="both"/>
      </w:pPr>
      <w:r>
        <w:t>transmettre les informations pertinentes aux médecins régulateurs</w:t>
      </w:r>
    </w:p>
    <w:p w:rsidR="00AC113A" w:rsidRDefault="00AC113A">
      <w:pPr>
        <w:numPr>
          <w:ilvl w:val="0"/>
          <w:numId w:val="10"/>
        </w:numPr>
        <w:jc w:val="both"/>
      </w:pPr>
      <w:r>
        <w:t>appliquer les décisions des médecins régulateurs et les procédures réflexes</w:t>
      </w:r>
    </w:p>
    <w:p w:rsidR="00AC113A" w:rsidRDefault="00AC113A">
      <w:pPr>
        <w:numPr>
          <w:ilvl w:val="0"/>
          <w:numId w:val="10"/>
        </w:numPr>
        <w:jc w:val="both"/>
      </w:pPr>
      <w:r>
        <w:t>connaître l'ensemble des procédures et des documents opérationnels d'aide à la régulation en situation quotidienne ou de crise</w:t>
      </w:r>
    </w:p>
    <w:p w:rsidR="00AC113A" w:rsidRDefault="00AC113A">
      <w:pPr>
        <w:numPr>
          <w:ilvl w:val="0"/>
          <w:numId w:val="10"/>
        </w:numPr>
        <w:jc w:val="both"/>
      </w:pPr>
      <w:r>
        <w:t>connaître les ressources en moyen pré-hospitaliers et hospitaliers du département, de la région et de la zone de défense</w:t>
      </w:r>
    </w:p>
    <w:p w:rsidR="00AC113A" w:rsidRDefault="00AC113A">
      <w:pPr>
        <w:numPr>
          <w:ilvl w:val="0"/>
          <w:numId w:val="10"/>
        </w:numPr>
        <w:jc w:val="both"/>
      </w:pPr>
      <w:r>
        <w:t>connaître les critères de gravité des grandes pathologies d'urgence et les gestes et soins d'urgence</w:t>
      </w:r>
    </w:p>
    <w:p w:rsidR="00AC113A" w:rsidRDefault="00AC113A">
      <w:pPr>
        <w:numPr>
          <w:ilvl w:val="0"/>
          <w:numId w:val="10"/>
        </w:numPr>
        <w:jc w:val="both"/>
      </w:pPr>
      <w:r>
        <w:t>maîtriser les divers outils de l'information, des communications et de l'informatique</w:t>
      </w:r>
    </w:p>
    <w:p w:rsidR="00AC113A" w:rsidRDefault="00AC113A">
      <w:pPr>
        <w:numPr>
          <w:ilvl w:val="0"/>
          <w:numId w:val="10"/>
        </w:numPr>
        <w:jc w:val="both"/>
      </w:pPr>
      <w:r>
        <w:t>renseigner les documents opérationnels et administratifs liés aux affaires traitées et à la maintenance opérationnelle du centre de régulation</w:t>
      </w:r>
    </w:p>
    <w:p w:rsidR="00AC113A" w:rsidRDefault="00AC113A">
      <w:pPr>
        <w:jc w:val="both"/>
      </w:pPr>
    </w:p>
    <w:p w:rsidR="00AC113A" w:rsidRDefault="00AC113A">
      <w:pPr>
        <w:jc w:val="both"/>
      </w:pPr>
    </w:p>
    <w:p w:rsidR="00AC113A" w:rsidRDefault="00AC113A">
      <w:pPr>
        <w:ind w:left="1800"/>
        <w:jc w:val="both"/>
        <w:rPr>
          <w:b/>
          <w:bCs/>
          <w:u w:val="single"/>
        </w:rPr>
      </w:pPr>
      <w:r>
        <w:rPr>
          <w:b/>
          <w:bCs/>
          <w:u w:val="single"/>
        </w:rPr>
        <w:t>2.</w:t>
      </w:r>
      <w:r w:rsidR="00D207E2">
        <w:rPr>
          <w:b/>
          <w:bCs/>
          <w:u w:val="single"/>
        </w:rPr>
        <w:t>5</w:t>
      </w:r>
      <w:r>
        <w:rPr>
          <w:b/>
          <w:bCs/>
          <w:u w:val="single"/>
        </w:rPr>
        <w:t>.3 Rôle des médecins régulateurs</w:t>
      </w:r>
    </w:p>
    <w:p w:rsidR="00AC113A" w:rsidRDefault="00AC113A">
      <w:pPr>
        <w:jc w:val="both"/>
        <w:rPr>
          <w:b/>
          <w:bCs/>
          <w:u w:val="single"/>
        </w:rPr>
      </w:pPr>
    </w:p>
    <w:p w:rsidR="00AC113A" w:rsidRDefault="00AC113A">
      <w:pPr>
        <w:jc w:val="both"/>
      </w:pPr>
      <w:r>
        <w:rPr>
          <w:b/>
          <w:bCs/>
          <w:u w:val="single"/>
        </w:rPr>
        <w:t>Rôle du médecin urgentiste :</w:t>
      </w:r>
    </w:p>
    <w:p w:rsidR="00AC113A" w:rsidRDefault="00AC113A">
      <w:pPr>
        <w:numPr>
          <w:ilvl w:val="0"/>
          <w:numId w:val="11"/>
        </w:numPr>
        <w:jc w:val="both"/>
      </w:pPr>
      <w:r>
        <w:t xml:space="preserve">régulation identifiées P0 et P1 </w:t>
      </w:r>
    </w:p>
    <w:p w:rsidR="00AC113A" w:rsidRDefault="00AC113A">
      <w:pPr>
        <w:numPr>
          <w:ilvl w:val="0"/>
          <w:numId w:val="11"/>
        </w:numPr>
        <w:jc w:val="both"/>
      </w:pPr>
      <w:r>
        <w:t>bilans identifiés B</w:t>
      </w:r>
    </w:p>
    <w:p w:rsidR="00AC113A" w:rsidRDefault="00AC113A">
      <w:pPr>
        <w:numPr>
          <w:ilvl w:val="0"/>
          <w:numId w:val="11"/>
        </w:numPr>
        <w:jc w:val="both"/>
      </w:pPr>
      <w:r>
        <w:t>demande de transfert inter-hospitalier</w:t>
      </w:r>
    </w:p>
    <w:p w:rsidR="00AC113A" w:rsidRDefault="00AC113A">
      <w:pPr>
        <w:numPr>
          <w:ilvl w:val="0"/>
          <w:numId w:val="11"/>
        </w:numPr>
        <w:jc w:val="both"/>
      </w:pPr>
      <w:r>
        <w:t>demande des autres SAMU</w:t>
      </w:r>
    </w:p>
    <w:p w:rsidR="00AC113A" w:rsidRDefault="00AC113A">
      <w:pPr>
        <w:numPr>
          <w:ilvl w:val="0"/>
          <w:numId w:val="11"/>
        </w:numPr>
        <w:jc w:val="both"/>
      </w:pPr>
      <w:r>
        <w:t>demande de SMUR</w:t>
      </w:r>
    </w:p>
    <w:p w:rsidR="00AC113A" w:rsidRDefault="00AC113A">
      <w:pPr>
        <w:numPr>
          <w:ilvl w:val="0"/>
          <w:numId w:val="11"/>
        </w:numPr>
        <w:jc w:val="both"/>
      </w:pPr>
      <w:r>
        <w:t>interventions sur la voie publique</w:t>
      </w:r>
    </w:p>
    <w:p w:rsidR="00AC113A" w:rsidRDefault="00AC113A">
      <w:pPr>
        <w:numPr>
          <w:ilvl w:val="0"/>
          <w:numId w:val="11"/>
        </w:numPr>
        <w:jc w:val="both"/>
      </w:pPr>
      <w:r>
        <w:t>bilan SMUR</w:t>
      </w:r>
    </w:p>
    <w:p w:rsidR="00AC113A" w:rsidRDefault="00AC113A">
      <w:pPr>
        <w:jc w:val="both"/>
      </w:pPr>
    </w:p>
    <w:p w:rsidR="00AC113A" w:rsidRDefault="00AC113A">
      <w:pPr>
        <w:jc w:val="both"/>
      </w:pPr>
      <w:r>
        <w:rPr>
          <w:b/>
          <w:bCs/>
          <w:u w:val="single"/>
        </w:rPr>
        <w:t>Rôle du médecin généraliste ou hospitalier non urgentistes</w:t>
      </w:r>
    </w:p>
    <w:p w:rsidR="00AC113A" w:rsidRDefault="00AC113A">
      <w:pPr>
        <w:numPr>
          <w:ilvl w:val="0"/>
          <w:numId w:val="12"/>
        </w:numPr>
        <w:jc w:val="both"/>
      </w:pPr>
      <w:r>
        <w:t>régulations identifiées P2</w:t>
      </w:r>
    </w:p>
    <w:p w:rsidR="00AC113A" w:rsidRDefault="00AC113A">
      <w:pPr>
        <w:numPr>
          <w:ilvl w:val="0"/>
          <w:numId w:val="12"/>
        </w:numPr>
        <w:jc w:val="both"/>
      </w:pPr>
      <w:r>
        <w:t>demande de conseils médicaux</w:t>
      </w:r>
    </w:p>
    <w:p w:rsidR="00AC113A" w:rsidRDefault="00AC113A">
      <w:pPr>
        <w:numPr>
          <w:ilvl w:val="0"/>
          <w:numId w:val="12"/>
        </w:numPr>
        <w:jc w:val="both"/>
      </w:pPr>
      <w:r>
        <w:t>appels relevant de la permanence des soins ambulatoires</w:t>
      </w:r>
    </w:p>
    <w:p w:rsidR="00AC113A" w:rsidRDefault="00AC113A">
      <w:pPr>
        <w:jc w:val="both"/>
        <w:rPr>
          <w:caps/>
        </w:rPr>
      </w:pPr>
      <w:r>
        <w:tab/>
      </w:r>
      <w:r>
        <w:tab/>
      </w:r>
    </w:p>
    <w:p w:rsidR="00AC113A" w:rsidRDefault="00AC113A">
      <w:pPr>
        <w:jc w:val="both"/>
        <w:rPr>
          <w:caps/>
        </w:rPr>
      </w:pPr>
    </w:p>
    <w:p w:rsidR="00AC113A" w:rsidRDefault="00AC113A">
      <w:pPr>
        <w:jc w:val="both"/>
        <w:rPr>
          <w:b/>
        </w:rPr>
      </w:pPr>
    </w:p>
    <w:p w:rsidR="00AC113A" w:rsidRDefault="00AC113A">
      <w:pPr>
        <w:shd w:val="clear" w:color="auto" w:fill="CCFFFF"/>
        <w:jc w:val="both"/>
      </w:pPr>
      <w:r>
        <w:rPr>
          <w:b/>
          <w:caps/>
        </w:rPr>
        <w:t>3. Objectifs de la recherche :</w:t>
      </w:r>
    </w:p>
    <w:p w:rsidR="00AC113A" w:rsidRDefault="00AC113A">
      <w:pPr>
        <w:jc w:val="both"/>
      </w:pPr>
    </w:p>
    <w:p w:rsidR="00AC113A" w:rsidRDefault="00AC113A">
      <w:pPr>
        <w:jc w:val="both"/>
        <w:rPr>
          <w:rFonts w:ascii="Times New (W1)" w:hAnsi="Times New (W1)" w:cs="Times New (W1)"/>
          <w:bCs/>
        </w:rPr>
      </w:pPr>
      <w:r>
        <w:tab/>
      </w:r>
      <w:r>
        <w:rPr>
          <w:rFonts w:ascii="Times New (W1)" w:hAnsi="Times New (W1)" w:cs="Times New (W1)"/>
          <w:b/>
          <w:smallCaps/>
        </w:rPr>
        <w:t xml:space="preserve">3.1. Objectif Principal : </w:t>
      </w:r>
    </w:p>
    <w:p w:rsidR="00AC113A" w:rsidRDefault="00AC113A">
      <w:pPr>
        <w:jc w:val="both"/>
        <w:rPr>
          <w:rFonts w:ascii="Times New (W1)" w:hAnsi="Times New (W1)" w:cs="Times New (W1)"/>
          <w:bCs/>
        </w:rPr>
      </w:pPr>
    </w:p>
    <w:p w:rsidR="00AC113A" w:rsidRDefault="00AC113A">
      <w:pPr>
        <w:jc w:val="both"/>
        <w:rPr>
          <w:i/>
          <w:sz w:val="22"/>
          <w:szCs w:val="22"/>
        </w:rPr>
      </w:pPr>
      <w:r>
        <w:rPr>
          <w:rFonts w:ascii="Times New (W1)" w:hAnsi="Times New (W1)" w:cs="Times New (W1)"/>
          <w:bCs/>
        </w:rPr>
        <w:t>Décrire le stress biologique à travers le dosage de la cortisolémie ainsi que le stress perçu par une évaluation visuelle analogique de stress chez les ARM et les médecins lors du traitement d'un appel au centre 15.</w:t>
      </w:r>
    </w:p>
    <w:tbl>
      <w:tblPr>
        <w:tblW w:w="0" w:type="auto"/>
        <w:tblInd w:w="-15" w:type="dxa"/>
        <w:tblLayout w:type="fixed"/>
        <w:tblCellMar>
          <w:left w:w="70" w:type="dxa"/>
          <w:right w:w="70" w:type="dxa"/>
        </w:tblCellMar>
        <w:tblLook w:val="0000" w:firstRow="0" w:lastRow="0" w:firstColumn="0" w:lastColumn="0" w:noHBand="0" w:noVBand="0"/>
      </w:tblPr>
      <w:tblGrid>
        <w:gridCol w:w="9252"/>
      </w:tblGrid>
      <w:tr w:rsidR="00AC113A">
        <w:tc>
          <w:tcPr>
            <w:tcW w:w="9252" w:type="dxa"/>
            <w:tcBorders>
              <w:top w:val="single" w:sz="4" w:space="0" w:color="FFFFFF"/>
              <w:left w:val="single" w:sz="4" w:space="0" w:color="FFFFFF"/>
              <w:bottom w:val="single" w:sz="4" w:space="0" w:color="FFFFFF"/>
              <w:right w:val="single" w:sz="4" w:space="0" w:color="FFFFFF"/>
            </w:tcBorders>
            <w:shd w:val="clear" w:color="auto" w:fill="auto"/>
          </w:tcPr>
          <w:p w:rsidR="00AC113A" w:rsidRDefault="00AC113A">
            <w:pPr>
              <w:snapToGrid w:val="0"/>
              <w:jc w:val="both"/>
              <w:rPr>
                <w:i/>
                <w:sz w:val="22"/>
                <w:szCs w:val="22"/>
              </w:rPr>
            </w:pPr>
          </w:p>
        </w:tc>
      </w:tr>
      <w:tr w:rsidR="00AC113A">
        <w:tc>
          <w:tcPr>
            <w:tcW w:w="9252" w:type="dxa"/>
            <w:tcBorders>
              <w:top w:val="single" w:sz="4" w:space="0" w:color="FFFFFF"/>
              <w:left w:val="single" w:sz="4" w:space="0" w:color="FFFFFF"/>
              <w:bottom w:val="single" w:sz="4" w:space="0" w:color="FFFFFF"/>
              <w:right w:val="single" w:sz="4" w:space="0" w:color="FFFFFF"/>
            </w:tcBorders>
            <w:shd w:val="clear" w:color="auto" w:fill="auto"/>
          </w:tcPr>
          <w:p w:rsidR="00AC113A" w:rsidRDefault="00AC113A">
            <w:pPr>
              <w:snapToGrid w:val="0"/>
              <w:jc w:val="both"/>
              <w:rPr>
                <w:i/>
                <w:sz w:val="22"/>
                <w:szCs w:val="22"/>
              </w:rPr>
            </w:pPr>
          </w:p>
        </w:tc>
      </w:tr>
    </w:tbl>
    <w:p w:rsidR="00AC113A" w:rsidRDefault="00AC113A">
      <w:pPr>
        <w:jc w:val="both"/>
        <w:rPr>
          <w:rFonts w:ascii="Times New (W1)" w:hAnsi="Times New (W1)" w:cs="Times New (W1)"/>
          <w:bCs/>
        </w:rPr>
      </w:pPr>
      <w:r>
        <w:rPr>
          <w:rFonts w:ascii="Times New (W1)" w:hAnsi="Times New (W1)" w:cs="Times New (W1)"/>
          <w:b/>
          <w:smallCaps/>
        </w:rPr>
        <w:tab/>
        <w:t xml:space="preserve">3.2. Objectifs secondaires : </w:t>
      </w:r>
    </w:p>
    <w:p w:rsidR="00AC113A" w:rsidRDefault="00AC113A">
      <w:pPr>
        <w:jc w:val="both"/>
        <w:rPr>
          <w:rFonts w:ascii="Times New (W1)" w:hAnsi="Times New (W1)" w:cs="Times New (W1)"/>
          <w:bCs/>
        </w:rPr>
      </w:pPr>
    </w:p>
    <w:p w:rsidR="00AC113A" w:rsidRDefault="00AA539A">
      <w:pPr>
        <w:jc w:val="both"/>
        <w:rPr>
          <w:rFonts w:ascii="Times New (W1)" w:hAnsi="Times New (W1)" w:cs="Times New (W1)"/>
          <w:bCs/>
        </w:rPr>
      </w:pPr>
      <w:r>
        <w:rPr>
          <w:rFonts w:ascii="Times New (W1)" w:hAnsi="Times New (W1)" w:cs="Times New (W1)"/>
          <w:bCs/>
        </w:rPr>
        <w:t xml:space="preserve">- </w:t>
      </w:r>
      <w:r w:rsidR="00AC113A">
        <w:rPr>
          <w:rFonts w:ascii="Times New (W1)" w:hAnsi="Times New (W1)" w:cs="Times New (W1)"/>
          <w:bCs/>
        </w:rPr>
        <w:t>Comparer le stress perçu et biologique chez les ARM en fonction des différents postes</w:t>
      </w:r>
    </w:p>
    <w:p w:rsidR="00AC113A" w:rsidRDefault="00AA539A">
      <w:pPr>
        <w:jc w:val="both"/>
        <w:rPr>
          <w:rFonts w:ascii="Times New (W1)" w:hAnsi="Times New (W1)" w:cs="Times New (W1)"/>
          <w:bCs/>
        </w:rPr>
      </w:pPr>
      <w:r>
        <w:rPr>
          <w:rFonts w:ascii="Times New (W1)" w:hAnsi="Times New (W1)" w:cs="Times New (W1)"/>
          <w:bCs/>
        </w:rPr>
        <w:t xml:space="preserve">- </w:t>
      </w:r>
      <w:r w:rsidR="00AC113A">
        <w:rPr>
          <w:rFonts w:ascii="Times New (W1)" w:hAnsi="Times New (W1)" w:cs="Times New (W1)"/>
          <w:bCs/>
        </w:rPr>
        <w:t>Etudier la pénibilité des différents postes chez les ARM</w:t>
      </w:r>
    </w:p>
    <w:p w:rsidR="00AC113A" w:rsidRDefault="00AA539A">
      <w:pPr>
        <w:jc w:val="both"/>
        <w:rPr>
          <w:rFonts w:ascii="Times New (W1)" w:hAnsi="Times New (W1)" w:cs="Times New (W1)"/>
          <w:bCs/>
        </w:rPr>
      </w:pPr>
      <w:r>
        <w:rPr>
          <w:rFonts w:ascii="Times New (W1)" w:hAnsi="Times New (W1)" w:cs="Times New (W1)"/>
          <w:bCs/>
        </w:rPr>
        <w:t xml:space="preserve">- </w:t>
      </w:r>
      <w:r w:rsidR="00AC113A">
        <w:rPr>
          <w:rFonts w:ascii="Times New (W1)" w:hAnsi="Times New (W1)" w:cs="Times New (W1)"/>
          <w:bCs/>
        </w:rPr>
        <w:t>Etudier la corrélation entre stress perçu et stress biologique</w:t>
      </w:r>
    </w:p>
    <w:p w:rsidR="00AC113A" w:rsidRDefault="00AA539A">
      <w:pPr>
        <w:jc w:val="both"/>
        <w:rPr>
          <w:rFonts w:ascii="Times New (W1)" w:hAnsi="Times New (W1)" w:cs="Times New (W1)"/>
          <w:b/>
          <w:smallCaps/>
        </w:rPr>
      </w:pPr>
      <w:r>
        <w:rPr>
          <w:rFonts w:ascii="Times New (W1)" w:hAnsi="Times New (W1)" w:cs="Times New (W1)"/>
          <w:bCs/>
        </w:rPr>
        <w:t xml:space="preserve">- </w:t>
      </w:r>
      <w:r w:rsidR="00AC113A">
        <w:rPr>
          <w:rFonts w:ascii="Times New (W1)" w:hAnsi="Times New (W1)" w:cs="Times New (W1)"/>
          <w:bCs/>
        </w:rPr>
        <w:t>Etudier la corrélation entre gravité de la situation téléphonique et stress</w:t>
      </w:r>
    </w:p>
    <w:p w:rsidR="00AC113A" w:rsidRDefault="00AC113A">
      <w:pPr>
        <w:jc w:val="both"/>
        <w:rPr>
          <w:rFonts w:ascii="Times New (W1)" w:hAnsi="Times New (W1)" w:cs="Times New (W1)"/>
          <w:b/>
          <w:smallCaps/>
        </w:rPr>
      </w:pPr>
    </w:p>
    <w:p w:rsidR="00AC113A" w:rsidRDefault="00AC113A">
      <w:pPr>
        <w:jc w:val="both"/>
        <w:rPr>
          <w:b/>
        </w:rPr>
      </w:pPr>
    </w:p>
    <w:p w:rsidR="00AC113A" w:rsidRDefault="00AC113A">
      <w:pPr>
        <w:jc w:val="both"/>
        <w:rPr>
          <w:b/>
        </w:rPr>
      </w:pPr>
    </w:p>
    <w:p w:rsidR="00AC113A" w:rsidRDefault="00AC113A">
      <w:pPr>
        <w:shd w:val="clear" w:color="auto" w:fill="CCFFFF"/>
        <w:jc w:val="both"/>
      </w:pPr>
      <w:r>
        <w:rPr>
          <w:b/>
          <w:caps/>
        </w:rPr>
        <w:t>4. Conception de la recherche</w:t>
      </w:r>
    </w:p>
    <w:p w:rsidR="00AC113A" w:rsidRDefault="00AC113A">
      <w:pPr>
        <w:jc w:val="both"/>
      </w:pPr>
    </w:p>
    <w:p w:rsidR="00AC113A" w:rsidRDefault="00AC113A">
      <w:pPr>
        <w:jc w:val="both"/>
      </w:pPr>
      <w:r>
        <w:t>Etude physiologique contrôlée chez l’homme sain, chaque sujet est son propre témoin.</w:t>
      </w:r>
    </w:p>
    <w:p w:rsidR="00AC113A" w:rsidRDefault="0072248D">
      <w:pPr>
        <w:jc w:val="both"/>
      </w:pPr>
      <w:r>
        <w:t>Quatre</w:t>
      </w:r>
      <w:r w:rsidR="00AC113A">
        <w:t xml:space="preserve"> conditions expérimentales chez les ARM et </w:t>
      </w:r>
      <w:r>
        <w:t>deux</w:t>
      </w:r>
      <w:r w:rsidR="00AC113A">
        <w:t xml:space="preserve"> conditions expérimentales chez les médecins urgentistes et libéraux</w:t>
      </w:r>
      <w:r>
        <w:t>.</w:t>
      </w:r>
    </w:p>
    <w:p w:rsidR="00AC113A" w:rsidRDefault="00AC113A">
      <w:pPr>
        <w:jc w:val="both"/>
      </w:pPr>
    </w:p>
    <w:p w:rsidR="00AC113A" w:rsidRDefault="00AC113A">
      <w:pPr>
        <w:jc w:val="both"/>
      </w:pPr>
    </w:p>
    <w:p w:rsidR="00AC113A" w:rsidRPr="0072248D" w:rsidRDefault="00AC113A">
      <w:pPr>
        <w:ind w:left="705"/>
        <w:jc w:val="both"/>
        <w:rPr>
          <w:rFonts w:ascii="Times New (W1)" w:hAnsi="Times New (W1)" w:cs="Times New (W1)"/>
          <w:b/>
          <w:bCs/>
          <w:smallCaps/>
        </w:rPr>
      </w:pPr>
      <w:r>
        <w:rPr>
          <w:b/>
        </w:rPr>
        <w:t xml:space="preserve">4.1. </w:t>
      </w:r>
      <w:r>
        <w:rPr>
          <w:rFonts w:ascii="Times New (W1)" w:hAnsi="Times New (W1)" w:cs="Times New (W1)"/>
          <w:b/>
          <w:bCs/>
          <w:smallCaps/>
        </w:rPr>
        <w:t>Enoncé précis d</w:t>
      </w:r>
      <w:r w:rsidR="0072248D">
        <w:rPr>
          <w:rFonts w:ascii="Times New (W1)" w:hAnsi="Times New (W1)" w:cs="Times New (W1)"/>
          <w:b/>
          <w:bCs/>
          <w:smallCaps/>
        </w:rPr>
        <w:t>u</w:t>
      </w:r>
      <w:r>
        <w:rPr>
          <w:rFonts w:ascii="Tahoma" w:hAnsi="Tahoma" w:cs="Tahoma"/>
          <w:bCs/>
          <w:sz w:val="22"/>
        </w:rPr>
        <w:t xml:space="preserve"> </w:t>
      </w:r>
      <w:r>
        <w:rPr>
          <w:rFonts w:ascii="Times New (W1)" w:hAnsi="Times New (W1)" w:cs="Times New (W1)"/>
          <w:b/>
          <w:smallCaps/>
        </w:rPr>
        <w:t>critère d’évaluation principa</w:t>
      </w:r>
      <w:r w:rsidR="0072248D">
        <w:rPr>
          <w:rFonts w:ascii="Times New (W1)" w:hAnsi="Times New (W1)" w:cs="Times New (W1)"/>
          <w:b/>
          <w:smallCaps/>
        </w:rPr>
        <w:t>l</w:t>
      </w:r>
      <w:r>
        <w:rPr>
          <w:rFonts w:ascii="Times New (W1)" w:hAnsi="Times New (W1)" w:cs="Times New (W1)"/>
          <w:b/>
          <w:smallCaps/>
        </w:rPr>
        <w:t xml:space="preserve"> </w:t>
      </w:r>
      <w:r w:rsidRPr="0072248D">
        <w:rPr>
          <w:rFonts w:ascii="Times New (W1)" w:hAnsi="Times New (W1)" w:cs="Times New (W1)"/>
          <w:b/>
          <w:smallCaps/>
          <w:sz w:val="20"/>
          <w:szCs w:val="20"/>
        </w:rPr>
        <w:t>ET</w:t>
      </w:r>
      <w:r>
        <w:rPr>
          <w:rFonts w:ascii="Times New (W1)" w:hAnsi="Times New (W1)" w:cs="Times New (W1)"/>
          <w:b/>
          <w:smallCaps/>
        </w:rPr>
        <w:t>,</w:t>
      </w:r>
      <w:r>
        <w:rPr>
          <w:rFonts w:ascii="Times New (W1)" w:hAnsi="Times New (W1)" w:cs="Times New (W1)"/>
          <w:b/>
          <w:bCs/>
          <w:smallCaps/>
          <w:sz w:val="22"/>
          <w:szCs w:val="22"/>
        </w:rPr>
        <w:t xml:space="preserve"> le cas échéant, des</w:t>
      </w:r>
      <w:r>
        <w:rPr>
          <w:rFonts w:ascii="Times New (W1)" w:hAnsi="Times New (W1)" w:cs="Times New (W1)"/>
          <w:b/>
          <w:smallCaps/>
        </w:rPr>
        <w:t xml:space="preserve"> critères d’évaluation</w:t>
      </w:r>
      <w:r>
        <w:rPr>
          <w:rFonts w:ascii="Tahoma" w:hAnsi="Tahoma" w:cs="Tahoma"/>
          <w:bCs/>
          <w:sz w:val="22"/>
        </w:rPr>
        <w:t xml:space="preserve"> </w:t>
      </w:r>
      <w:r>
        <w:rPr>
          <w:rFonts w:ascii="Times New (W1)" w:hAnsi="Times New (W1)" w:cs="Times New (W1)"/>
          <w:b/>
          <w:smallCaps/>
        </w:rPr>
        <w:t>secondaires</w:t>
      </w:r>
    </w:p>
    <w:p w:rsidR="00AC113A" w:rsidRDefault="00AC113A">
      <w:pPr>
        <w:jc w:val="both"/>
      </w:pPr>
    </w:p>
    <w:p w:rsidR="00AC113A" w:rsidRDefault="00AC113A">
      <w:pPr>
        <w:numPr>
          <w:ilvl w:val="0"/>
          <w:numId w:val="13"/>
        </w:numPr>
        <w:jc w:val="both"/>
        <w:rPr>
          <w:i/>
        </w:rPr>
      </w:pPr>
      <w:r>
        <w:t>Critère d’évaluation principal</w:t>
      </w:r>
    </w:p>
    <w:p w:rsidR="00AC113A" w:rsidRDefault="00AC113A">
      <w:pPr>
        <w:jc w:val="both"/>
        <w:rPr>
          <w:i/>
        </w:rPr>
      </w:pPr>
    </w:p>
    <w:p w:rsidR="00AC113A" w:rsidRDefault="00AC113A">
      <w:pPr>
        <w:jc w:val="both"/>
        <w:rPr>
          <w:b/>
        </w:rPr>
      </w:pPr>
      <w:r>
        <w:rPr>
          <w:b/>
        </w:rPr>
        <w:t>Mesure objective du stress :</w:t>
      </w:r>
      <w:r w:rsidR="0072248D">
        <w:rPr>
          <w:b/>
        </w:rPr>
        <w:t xml:space="preserve"> </w:t>
      </w:r>
      <w:r>
        <w:rPr>
          <w:b/>
        </w:rPr>
        <w:t xml:space="preserve">dosage du </w:t>
      </w:r>
      <w:r w:rsidR="00AA539A">
        <w:rPr>
          <w:b/>
        </w:rPr>
        <w:t xml:space="preserve">cortisol </w:t>
      </w:r>
      <w:r>
        <w:rPr>
          <w:b/>
        </w:rPr>
        <w:t>salivaire dans différentes conditions expérimentales.</w:t>
      </w:r>
    </w:p>
    <w:p w:rsidR="00AC113A" w:rsidRPr="000D1B1C" w:rsidRDefault="00AC113A">
      <w:pPr>
        <w:jc w:val="both"/>
      </w:pPr>
      <w:r w:rsidRPr="000D1B1C">
        <w:t>4 conditions expérimentales pour les ARM : « appel, effect</w:t>
      </w:r>
      <w:r w:rsidR="00EE54B7" w:rsidRPr="000D1B1C">
        <w:t>eur</w:t>
      </w:r>
      <w:r w:rsidRPr="000D1B1C">
        <w:t>, bilan, témoin »</w:t>
      </w:r>
    </w:p>
    <w:p w:rsidR="00AC113A" w:rsidRPr="000D1B1C" w:rsidRDefault="00AC113A">
      <w:pPr>
        <w:jc w:val="both"/>
        <w:rPr>
          <w:i/>
        </w:rPr>
      </w:pPr>
      <w:r w:rsidRPr="000D1B1C">
        <w:t>2 conditions expérimentales pour les médecins : « appel, témoin »</w:t>
      </w:r>
      <w:r w:rsidR="0072248D" w:rsidRPr="000D1B1C">
        <w:t>.</w:t>
      </w:r>
    </w:p>
    <w:p w:rsidR="00AC113A" w:rsidRDefault="00AC113A">
      <w:pPr>
        <w:ind w:left="1425"/>
        <w:jc w:val="both"/>
        <w:rPr>
          <w:i/>
        </w:rPr>
      </w:pPr>
    </w:p>
    <w:p w:rsidR="00AC113A" w:rsidRDefault="00AC113A">
      <w:pPr>
        <w:numPr>
          <w:ilvl w:val="0"/>
          <w:numId w:val="13"/>
        </w:numPr>
        <w:jc w:val="both"/>
        <w:rPr>
          <w:b/>
          <w:bCs/>
        </w:rPr>
      </w:pPr>
      <w:r>
        <w:t>Critères d’évaluation secondaires</w:t>
      </w:r>
    </w:p>
    <w:p w:rsidR="00AC113A" w:rsidRDefault="00AC113A">
      <w:pPr>
        <w:ind w:left="1425"/>
        <w:jc w:val="both"/>
        <w:rPr>
          <w:b/>
          <w:bCs/>
        </w:rPr>
      </w:pPr>
    </w:p>
    <w:p w:rsidR="00AC113A" w:rsidRDefault="00AC113A">
      <w:pPr>
        <w:jc w:val="both"/>
        <w:rPr>
          <w:b/>
        </w:rPr>
      </w:pPr>
      <w:r>
        <w:rPr>
          <w:b/>
          <w:bCs/>
        </w:rPr>
        <w:t>M</w:t>
      </w:r>
      <w:r>
        <w:rPr>
          <w:b/>
        </w:rPr>
        <w:t>esures subjectives du stress</w:t>
      </w:r>
    </w:p>
    <w:p w:rsidR="00AC113A" w:rsidRDefault="00AC113A">
      <w:pPr>
        <w:jc w:val="both"/>
        <w:rPr>
          <w:b/>
        </w:rPr>
      </w:pPr>
    </w:p>
    <w:p w:rsidR="00AC113A" w:rsidRDefault="00AC113A">
      <w:pPr>
        <w:jc w:val="both"/>
        <w:rPr>
          <w:i/>
        </w:rPr>
      </w:pPr>
      <w:r>
        <w:rPr>
          <w:b/>
        </w:rPr>
        <w:t xml:space="preserve"> - EVA : évaluation du stress aigu</w:t>
      </w:r>
    </w:p>
    <w:p w:rsidR="00AC113A" w:rsidRPr="00AA539A" w:rsidRDefault="00AC113A">
      <w:pPr>
        <w:jc w:val="both"/>
        <w:rPr>
          <w:b/>
        </w:rPr>
      </w:pPr>
      <w:r w:rsidRPr="00AA539A">
        <w:t xml:space="preserve">L’évaluation du stress aigu par EVA sera réalisée de façon concomitante à chaque </w:t>
      </w:r>
      <w:r w:rsidR="00F81378" w:rsidRPr="00AA539A">
        <w:t>série de prélèvements</w:t>
      </w:r>
      <w:r w:rsidRPr="00AA539A">
        <w:t xml:space="preserve"> de cortisol salivaire. Il sera demandé à chacun des sujets de coter son stress sur une échelle de </w:t>
      </w:r>
      <w:r w:rsidR="00264D00" w:rsidRPr="00264D00">
        <w:rPr>
          <w:highlight w:val="lightGray"/>
        </w:rPr>
        <w:t>0</w:t>
      </w:r>
      <w:r w:rsidRPr="00AA539A">
        <w:t xml:space="preserve"> à 10. L’EVA a été validée dans les études sur le stress. (133, 134, 135, 136, 137) </w:t>
      </w:r>
    </w:p>
    <w:p w:rsidR="00AC113A" w:rsidRPr="00AA539A" w:rsidRDefault="00AC113A">
      <w:pPr>
        <w:jc w:val="both"/>
        <w:rPr>
          <w:b/>
        </w:rPr>
      </w:pPr>
    </w:p>
    <w:p w:rsidR="00AC113A" w:rsidRPr="00AA539A" w:rsidRDefault="00AC113A">
      <w:pPr>
        <w:jc w:val="both"/>
      </w:pPr>
      <w:r w:rsidRPr="00AA539A">
        <w:rPr>
          <w:b/>
        </w:rPr>
        <w:lastRenderedPageBreak/>
        <w:t xml:space="preserve"> - Questionnaire SPPN : Stress Professionnel Positif et Négatif : évaluation du stress chronique</w:t>
      </w:r>
    </w:p>
    <w:p w:rsidR="00AC113A" w:rsidRPr="00AA539A" w:rsidRDefault="00AC113A">
      <w:pPr>
        <w:jc w:val="both"/>
      </w:pPr>
      <w:r w:rsidRPr="00AA539A">
        <w:t>Le questionnaire de stress chronique SPPN sera complété une seule fois par chaque sujet. Il sera distribué au centre 15, le matin à 10 heures (au moment de la prise de fonction) chez l’ensemble des sujets en activité ce jour l</w:t>
      </w:r>
      <w:r w:rsidR="0072248D" w:rsidRPr="00AA539A">
        <w:t>à</w:t>
      </w:r>
      <w:r w:rsidRPr="00AA539A">
        <w:t xml:space="preserve"> et avant de commencer les prélèvements de cortisol salivaire (138, 139, 140)</w:t>
      </w:r>
      <w:r w:rsidR="00B53F96" w:rsidRPr="00AA539A">
        <w:t>.</w:t>
      </w:r>
    </w:p>
    <w:p w:rsidR="00AC113A" w:rsidRPr="00AA539A" w:rsidRDefault="00AC113A">
      <w:pPr>
        <w:jc w:val="both"/>
      </w:pPr>
    </w:p>
    <w:p w:rsidR="00AC113A" w:rsidRPr="00AA539A" w:rsidRDefault="001A0DEB">
      <w:pPr>
        <w:jc w:val="both"/>
        <w:rPr>
          <w:b/>
        </w:rPr>
      </w:pPr>
      <w:r w:rsidRPr="00AA539A">
        <w:rPr>
          <w:b/>
        </w:rPr>
        <w:t>- Test de personnalité NEO PI R : (NEO personality inventory revised) (141) : évaluation des composantes de la personnalité.</w:t>
      </w:r>
    </w:p>
    <w:p w:rsidR="00446D85" w:rsidRPr="00AA539A" w:rsidRDefault="001A0DEB">
      <w:pPr>
        <w:jc w:val="both"/>
      </w:pPr>
      <w:r w:rsidRPr="00AA539A">
        <w:t>Le test de personnalité sera complété une seule fois par</w:t>
      </w:r>
      <w:r w:rsidR="006E3C55" w:rsidRPr="00AA539A">
        <w:t xml:space="preserve"> </w:t>
      </w:r>
      <w:r w:rsidRPr="00AA539A">
        <w:t>chaque sujet. Il sera distribué lors du temps de travail</w:t>
      </w:r>
      <w:r w:rsidR="00DA4A83" w:rsidRPr="00AA539A">
        <w:t xml:space="preserve">, le sujet bénéficiera d’un temps libre pour répondre à  l’étude. </w:t>
      </w:r>
    </w:p>
    <w:p w:rsidR="001A0DEB" w:rsidRPr="00AA539A" w:rsidRDefault="00DA4A83">
      <w:pPr>
        <w:jc w:val="both"/>
      </w:pPr>
      <w:r w:rsidRPr="00AA539A">
        <w:t>Le sujet répond à un questionnaire de 180 questions sous la supervision du psychologue du travail du CHR de Mercy. Les questionnaires seront ensuite analysés par ce même psychologue.</w:t>
      </w:r>
    </w:p>
    <w:p w:rsidR="00AC113A" w:rsidRDefault="00AC113A">
      <w:pPr>
        <w:pStyle w:val="Titre2"/>
        <w:ind w:left="426"/>
        <w:jc w:val="both"/>
        <w:rPr>
          <w:szCs w:val="22"/>
        </w:rPr>
      </w:pPr>
      <w:r>
        <w:rPr>
          <w:rFonts w:ascii="Times New Roman" w:hAnsi="Times New Roman" w:cs="Times New Roman"/>
          <w:bCs w:val="0"/>
          <w:i w:val="0"/>
          <w:smallCaps/>
          <w:sz w:val="24"/>
          <w:szCs w:val="24"/>
        </w:rPr>
        <w:t>4.2. Description de la méthodologie de la recherche, accompagnée de sa présentation schématique précisant notamment les visites et les examens prévus.</w:t>
      </w:r>
    </w:p>
    <w:p w:rsidR="00AC113A" w:rsidRDefault="00AC113A">
      <w:pPr>
        <w:ind w:firstLine="426"/>
        <w:jc w:val="both"/>
        <w:rPr>
          <w:szCs w:val="22"/>
        </w:rPr>
      </w:pPr>
    </w:p>
    <w:p w:rsidR="00AC113A" w:rsidRDefault="00AC113A">
      <w:pPr>
        <w:numPr>
          <w:ilvl w:val="0"/>
          <w:numId w:val="14"/>
        </w:numPr>
        <w:jc w:val="both"/>
        <w:rPr>
          <w:szCs w:val="22"/>
        </w:rPr>
      </w:pPr>
      <w:r>
        <w:rPr>
          <w:b/>
          <w:bCs/>
          <w:szCs w:val="22"/>
          <w:u w:val="single"/>
        </w:rPr>
        <w:t>Visite de pré inclusion</w:t>
      </w:r>
    </w:p>
    <w:p w:rsidR="00AC113A" w:rsidRDefault="00AC113A">
      <w:pPr>
        <w:ind w:left="426"/>
        <w:jc w:val="both"/>
        <w:rPr>
          <w:szCs w:val="22"/>
        </w:rPr>
      </w:pPr>
    </w:p>
    <w:p w:rsidR="00AC113A" w:rsidRDefault="00AC113A">
      <w:pPr>
        <w:jc w:val="both"/>
        <w:rPr>
          <w:i/>
          <w:szCs w:val="22"/>
        </w:rPr>
      </w:pPr>
      <w:r>
        <w:rPr>
          <w:szCs w:val="22"/>
        </w:rPr>
        <w:t xml:space="preserve">La visite de pré-inclusion aura lieu entre </w:t>
      </w:r>
      <w:r>
        <w:rPr>
          <w:i/>
          <w:szCs w:val="22"/>
        </w:rPr>
        <w:t>30 jours</w:t>
      </w:r>
      <w:r>
        <w:rPr>
          <w:szCs w:val="22"/>
        </w:rPr>
        <w:t xml:space="preserve"> et au plus tard </w:t>
      </w:r>
      <w:r>
        <w:rPr>
          <w:i/>
          <w:szCs w:val="22"/>
        </w:rPr>
        <w:t xml:space="preserve">15 jours </w:t>
      </w:r>
      <w:r>
        <w:rPr>
          <w:szCs w:val="22"/>
        </w:rPr>
        <w:t xml:space="preserve">avant la visite d’inclusion. </w:t>
      </w:r>
    </w:p>
    <w:p w:rsidR="00AC113A" w:rsidRDefault="00AC113A">
      <w:pPr>
        <w:ind w:left="426"/>
        <w:jc w:val="both"/>
        <w:rPr>
          <w:i/>
          <w:szCs w:val="22"/>
        </w:rPr>
      </w:pPr>
    </w:p>
    <w:p w:rsidR="00AC113A" w:rsidRDefault="00AC113A">
      <w:pPr>
        <w:jc w:val="both"/>
        <w:rPr>
          <w:iCs/>
          <w:szCs w:val="22"/>
        </w:rPr>
      </w:pPr>
      <w:r>
        <w:rPr>
          <w:iCs/>
          <w:szCs w:val="22"/>
        </w:rPr>
        <w:t>Une information sur le déroulement et les objectifs de l’étude sera effectuée</w:t>
      </w:r>
      <w:r w:rsidR="00AA539A">
        <w:rPr>
          <w:iCs/>
          <w:szCs w:val="22"/>
        </w:rPr>
        <w:t xml:space="preserve"> par l’investigateur</w:t>
      </w:r>
      <w:r>
        <w:rPr>
          <w:iCs/>
          <w:szCs w:val="22"/>
        </w:rPr>
        <w:t>.</w:t>
      </w:r>
    </w:p>
    <w:p w:rsidR="00AC113A" w:rsidRDefault="00AC113A">
      <w:pPr>
        <w:jc w:val="both"/>
        <w:rPr>
          <w:i/>
          <w:szCs w:val="22"/>
        </w:rPr>
      </w:pPr>
      <w:r>
        <w:rPr>
          <w:iCs/>
          <w:szCs w:val="22"/>
        </w:rPr>
        <w:t>Tous les PARM et les médecins participeront à cette réunion</w:t>
      </w:r>
      <w:r w:rsidR="00B53F96">
        <w:rPr>
          <w:iCs/>
          <w:szCs w:val="22"/>
        </w:rPr>
        <w:t>.</w:t>
      </w:r>
    </w:p>
    <w:p w:rsidR="00AC113A" w:rsidRDefault="00AC113A">
      <w:pPr>
        <w:jc w:val="both"/>
        <w:rPr>
          <w:szCs w:val="22"/>
        </w:rPr>
      </w:pPr>
    </w:p>
    <w:p w:rsidR="00AC113A" w:rsidRDefault="00AC113A">
      <w:pPr>
        <w:numPr>
          <w:ilvl w:val="0"/>
          <w:numId w:val="14"/>
        </w:numPr>
        <w:jc w:val="both"/>
        <w:rPr>
          <w:iCs/>
          <w:szCs w:val="22"/>
        </w:rPr>
      </w:pPr>
      <w:r>
        <w:rPr>
          <w:b/>
          <w:bCs/>
          <w:szCs w:val="22"/>
          <w:u w:val="single"/>
        </w:rPr>
        <w:t>Visite d’inclusion</w:t>
      </w:r>
    </w:p>
    <w:p w:rsidR="00AC113A" w:rsidRDefault="00AC113A">
      <w:pPr>
        <w:jc w:val="both"/>
        <w:rPr>
          <w:iCs/>
          <w:szCs w:val="22"/>
        </w:rPr>
      </w:pPr>
    </w:p>
    <w:p w:rsidR="00AC113A" w:rsidRDefault="00AC113A">
      <w:pPr>
        <w:jc w:val="both"/>
        <w:rPr>
          <w:iCs/>
          <w:szCs w:val="22"/>
        </w:rPr>
      </w:pPr>
      <w:r>
        <w:rPr>
          <w:iCs/>
          <w:szCs w:val="22"/>
        </w:rPr>
        <w:t xml:space="preserve">Un questionnaire contenant les critères d’éligibilité de l’étude sera distribué à chaque ARM </w:t>
      </w:r>
      <w:r w:rsidR="00B53F96">
        <w:rPr>
          <w:iCs/>
          <w:szCs w:val="22"/>
        </w:rPr>
        <w:t xml:space="preserve">et </w:t>
      </w:r>
      <w:r>
        <w:rPr>
          <w:iCs/>
          <w:szCs w:val="22"/>
        </w:rPr>
        <w:t>à chaque médecin du service, ainsi qu’une note d’information sur l’étude et un formulaire de consentement éclairé.</w:t>
      </w:r>
    </w:p>
    <w:p w:rsidR="00AC113A" w:rsidRDefault="00AC113A">
      <w:pPr>
        <w:jc w:val="both"/>
        <w:rPr>
          <w:iCs/>
          <w:szCs w:val="22"/>
        </w:rPr>
      </w:pPr>
    </w:p>
    <w:p w:rsidR="00AC113A" w:rsidRDefault="00AC113A">
      <w:pPr>
        <w:jc w:val="both"/>
        <w:rPr>
          <w:i/>
          <w:sz w:val="22"/>
          <w:szCs w:val="22"/>
        </w:rPr>
      </w:pPr>
      <w:r>
        <w:rPr>
          <w:iCs/>
          <w:szCs w:val="22"/>
        </w:rPr>
        <w:t>Suite à cette visite, seuls les sujets éligibles ayant signé un consentement éclairé pourront participer à l’étude.</w:t>
      </w:r>
    </w:p>
    <w:p w:rsidR="00AC113A" w:rsidRDefault="00AC113A">
      <w:pPr>
        <w:jc w:val="both"/>
        <w:rPr>
          <w:i/>
          <w:sz w:val="22"/>
          <w:szCs w:val="22"/>
        </w:rPr>
      </w:pPr>
    </w:p>
    <w:p w:rsidR="00AC113A" w:rsidRDefault="00AC113A">
      <w:pPr>
        <w:pStyle w:val="prototypetitre2"/>
        <w:numPr>
          <w:ilvl w:val="0"/>
          <w:numId w:val="14"/>
        </w:numPr>
        <w:spacing w:before="0" w:after="0"/>
      </w:pPr>
      <w:r>
        <w:rPr>
          <w:bCs/>
          <w:caps w:val="0"/>
          <w:sz w:val="24"/>
          <w:u w:val="single"/>
        </w:rPr>
        <w:t>Visites de suivi</w:t>
      </w:r>
    </w:p>
    <w:p w:rsidR="00AC113A" w:rsidRDefault="00AC113A"/>
    <w:p w:rsidR="00AC113A" w:rsidRDefault="00AC113A">
      <w:pPr>
        <w:jc w:val="both"/>
        <w:rPr>
          <w:b/>
          <w:bCs/>
        </w:rPr>
      </w:pPr>
      <w:r>
        <w:rPr>
          <w:b/>
          <w:bCs/>
        </w:rPr>
        <w:t>Lors de ces visites</w:t>
      </w:r>
      <w:r w:rsidR="00B53F96">
        <w:rPr>
          <w:b/>
          <w:bCs/>
        </w:rPr>
        <w:t>,</w:t>
      </w:r>
      <w:r>
        <w:rPr>
          <w:b/>
          <w:bCs/>
        </w:rPr>
        <w:t xml:space="preserve"> les dosages de cortisol salivaire seront réalisés et les questionnaires (EVA et SPPN) seront complétés.</w:t>
      </w:r>
    </w:p>
    <w:p w:rsidR="002F3417" w:rsidRDefault="002F3417">
      <w:pPr>
        <w:jc w:val="both"/>
        <w:rPr>
          <w:b/>
          <w:bCs/>
        </w:rPr>
      </w:pPr>
    </w:p>
    <w:p w:rsidR="00AC113A" w:rsidRDefault="00AC113A"/>
    <w:p w:rsidR="00AC113A" w:rsidRPr="00936D1F" w:rsidRDefault="00936D1F" w:rsidP="00936D1F">
      <w:pPr>
        <w:ind w:left="1800"/>
        <w:jc w:val="both"/>
        <w:rPr>
          <w:b/>
          <w:bCs/>
          <w:u w:val="single"/>
        </w:rPr>
      </w:pPr>
      <w:r w:rsidRPr="00936D1F">
        <w:rPr>
          <w:b/>
          <w:bCs/>
          <w:u w:val="single"/>
        </w:rPr>
        <w:t xml:space="preserve">4.2.1 </w:t>
      </w:r>
      <w:r w:rsidR="00AC113A" w:rsidRPr="00936D1F">
        <w:rPr>
          <w:b/>
          <w:bCs/>
          <w:u w:val="single"/>
        </w:rPr>
        <w:t>O</w:t>
      </w:r>
      <w:r>
        <w:rPr>
          <w:b/>
          <w:bCs/>
          <w:u w:val="single"/>
        </w:rPr>
        <w:t xml:space="preserve">rganisation du centre 15 au </w:t>
      </w:r>
      <w:r w:rsidR="00AC113A" w:rsidRPr="00936D1F">
        <w:rPr>
          <w:b/>
          <w:bCs/>
          <w:u w:val="single"/>
        </w:rPr>
        <w:t xml:space="preserve">CHR METZ-THIONVILLE </w:t>
      </w:r>
      <w:r>
        <w:rPr>
          <w:b/>
          <w:bCs/>
          <w:u w:val="single"/>
        </w:rPr>
        <w:t>et conditions expérimentales évaluées</w:t>
      </w:r>
    </w:p>
    <w:p w:rsidR="00AC113A" w:rsidRDefault="00AC113A">
      <w:pPr>
        <w:rPr>
          <w:b/>
          <w:bCs/>
          <w:i/>
          <w:iCs/>
          <w:u w:val="single"/>
        </w:rPr>
      </w:pPr>
    </w:p>
    <w:p w:rsidR="00AC113A" w:rsidRPr="00936D1F" w:rsidRDefault="00AC113A">
      <w:pPr>
        <w:jc w:val="both"/>
        <w:rPr>
          <w:rFonts w:ascii="Times New (W1)" w:hAnsi="Times New (W1)" w:cs="Times New (W1)"/>
          <w:shd w:val="clear" w:color="auto" w:fill="FFFF00"/>
        </w:rPr>
      </w:pPr>
      <w:r w:rsidRPr="00936D1F">
        <w:rPr>
          <w:rFonts w:ascii="Times New (W1)" w:hAnsi="Times New (W1)" w:cs="Times New (W1)"/>
        </w:rPr>
        <w:t>L</w:t>
      </w:r>
      <w:r w:rsidRPr="00936D1F">
        <w:rPr>
          <w:rFonts w:ascii="Times New (W1)" w:eastAsia="Times New Roman" w:hAnsi="Times New (W1)" w:cs="Times New (W1)"/>
        </w:rPr>
        <w:t>es ARM travaillent en poste de 12 heures avec des roulements de deux jours, une nuit, puis trois jours de repos pour un total de 36 heures par semaine.</w:t>
      </w:r>
    </w:p>
    <w:p w:rsidR="00AC113A" w:rsidRPr="00936D1F" w:rsidRDefault="00AC113A">
      <w:pPr>
        <w:jc w:val="both"/>
        <w:rPr>
          <w:rFonts w:ascii="Times New (W1)" w:hAnsi="Times New (W1)" w:cs="Times New (W1)"/>
          <w:shd w:val="clear" w:color="auto" w:fill="FFFF00"/>
        </w:rPr>
      </w:pPr>
    </w:p>
    <w:p w:rsidR="00AC113A" w:rsidRPr="00936D1F" w:rsidRDefault="00AC113A">
      <w:pPr>
        <w:jc w:val="both"/>
        <w:rPr>
          <w:rFonts w:ascii="Times New (W1)" w:hAnsi="Times New (W1)" w:cs="Times New (W1)"/>
        </w:rPr>
      </w:pPr>
      <w:r w:rsidRPr="00936D1F">
        <w:rPr>
          <w:rFonts w:ascii="Times New (W1)" w:hAnsi="Times New (W1)" w:cs="Times New (W1)"/>
        </w:rPr>
        <w:t>Les médecins urgentistes travaillent également en poste de 12 heures, pour une durée totale de 48 heures par semaine, en faisant des rotations en service de médecine, régulation et poste SMUR/déchoquage</w:t>
      </w:r>
      <w:r w:rsidR="00B53F96" w:rsidRPr="00936D1F">
        <w:rPr>
          <w:rFonts w:ascii="Times New (W1)" w:hAnsi="Times New (W1)" w:cs="Times New (W1)"/>
        </w:rPr>
        <w:t>.</w:t>
      </w:r>
    </w:p>
    <w:p w:rsidR="00AC113A" w:rsidRPr="00936D1F" w:rsidRDefault="00AC113A">
      <w:pPr>
        <w:jc w:val="both"/>
        <w:rPr>
          <w:rFonts w:ascii="Times New (W1)" w:hAnsi="Times New (W1)" w:cs="Times New (W1)"/>
        </w:rPr>
      </w:pPr>
    </w:p>
    <w:p w:rsidR="00AC113A" w:rsidRPr="00936D1F" w:rsidRDefault="00AC113A">
      <w:pPr>
        <w:jc w:val="both"/>
        <w:rPr>
          <w:rFonts w:ascii="Times New (W1)" w:hAnsi="Times New (W1)" w:cs="Times New (W1)"/>
        </w:rPr>
      </w:pPr>
      <w:r w:rsidRPr="00936D1F">
        <w:rPr>
          <w:rFonts w:ascii="Times New (W1)" w:hAnsi="Times New (W1)" w:cs="Times New (W1)"/>
        </w:rPr>
        <w:t>Les médecins libéraux travaillent le plus souvent en poste de 12 heures.</w:t>
      </w:r>
    </w:p>
    <w:p w:rsidR="00AC113A" w:rsidRPr="00936D1F" w:rsidRDefault="00AC113A">
      <w:pPr>
        <w:jc w:val="both"/>
        <w:rPr>
          <w:rFonts w:ascii="Times New (W1)" w:hAnsi="Times New (W1)" w:cs="Times New (W1)"/>
        </w:rPr>
      </w:pPr>
    </w:p>
    <w:p w:rsidR="00AC113A" w:rsidRPr="00936D1F" w:rsidRDefault="00AC113A">
      <w:pPr>
        <w:jc w:val="both"/>
        <w:rPr>
          <w:rFonts w:ascii="Times New (W1)" w:hAnsi="Times New (W1)" w:cs="Times New (W1)"/>
        </w:rPr>
      </w:pPr>
      <w:r w:rsidRPr="00936D1F">
        <w:rPr>
          <w:rFonts w:ascii="Times New (W1)" w:hAnsi="Times New (W1)" w:cs="Times New (W1)"/>
        </w:rPr>
        <w:t>Le fonctionnement du centre 15 de Metz est le suivant : les assistants de régulation ou ARM se répartissent en trois postes :</w:t>
      </w:r>
    </w:p>
    <w:p w:rsidR="00AC113A" w:rsidRPr="00936D1F" w:rsidRDefault="00AC113A">
      <w:pPr>
        <w:jc w:val="both"/>
        <w:rPr>
          <w:rFonts w:ascii="Times New (W1)" w:hAnsi="Times New (W1)" w:cs="Times New (W1)"/>
        </w:rPr>
      </w:pPr>
    </w:p>
    <w:p w:rsidR="00AC113A" w:rsidRPr="00936D1F" w:rsidRDefault="00AC113A">
      <w:pPr>
        <w:jc w:val="both"/>
        <w:rPr>
          <w:rFonts w:ascii="Times New (W1)" w:hAnsi="Times New (W1)" w:cs="Times New (W1)"/>
          <w:shd w:val="clear" w:color="auto" w:fill="FFFF00"/>
        </w:rPr>
      </w:pPr>
      <w:r w:rsidRPr="00936D1F">
        <w:rPr>
          <w:rFonts w:ascii="Times New (W1)" w:hAnsi="Times New (W1)" w:cs="Times New (W1)"/>
        </w:rPr>
        <w:t>- l'</w:t>
      </w:r>
      <w:r w:rsidRPr="00936D1F">
        <w:rPr>
          <w:rFonts w:ascii="Times New (W1)" w:hAnsi="Times New (W1)" w:cs="Times New (W1)"/>
          <w:b/>
          <w:bCs/>
        </w:rPr>
        <w:t>ARM appel</w:t>
      </w:r>
      <w:r w:rsidRPr="00936D1F">
        <w:rPr>
          <w:rFonts w:ascii="Times New (W1)" w:hAnsi="Times New (W1)" w:cs="Times New (W1)"/>
        </w:rPr>
        <w:t xml:space="preserve"> est en première ligne. C</w:t>
      </w:r>
      <w:r w:rsidRPr="00936D1F">
        <w:rPr>
          <w:rFonts w:ascii="Times New (W1)" w:eastAsia="Times New Roman" w:hAnsi="Times New (W1)" w:cs="Times New (W1)"/>
        </w:rPr>
        <w:t>’</w:t>
      </w:r>
      <w:r w:rsidRPr="00936D1F">
        <w:rPr>
          <w:rFonts w:ascii="Times New (W1)" w:hAnsi="Times New (W1)" w:cs="Times New (W1)"/>
        </w:rPr>
        <w:t xml:space="preserve">est </w:t>
      </w:r>
      <w:r w:rsidR="00AA539A" w:rsidRPr="00936D1F">
        <w:rPr>
          <w:rFonts w:ascii="Times New (W1)" w:hAnsi="Times New (W1)" w:cs="Times New (W1)"/>
        </w:rPr>
        <w:t xml:space="preserve">lui </w:t>
      </w:r>
      <w:r w:rsidRPr="00936D1F">
        <w:rPr>
          <w:rFonts w:ascii="Times New (W1)" w:hAnsi="Times New (W1)" w:cs="Times New (W1)"/>
        </w:rPr>
        <w:t>qui reçoit les appels provenant de l</w:t>
      </w:r>
      <w:r w:rsidRPr="00936D1F">
        <w:rPr>
          <w:rFonts w:ascii="Times New (W1)" w:eastAsia="Times New Roman" w:hAnsi="Times New (W1)" w:cs="Times New (W1)"/>
        </w:rPr>
        <w:t>’</w:t>
      </w:r>
      <w:r w:rsidRPr="00936D1F">
        <w:rPr>
          <w:rFonts w:ascii="Times New (W1)" w:hAnsi="Times New (W1)" w:cs="Times New (W1)"/>
        </w:rPr>
        <w:t xml:space="preserve">extérieur. </w:t>
      </w:r>
      <w:r w:rsidR="00AA539A" w:rsidRPr="00936D1F">
        <w:rPr>
          <w:rFonts w:ascii="Times New (W1)" w:hAnsi="Times New (W1)" w:cs="Times New (W1)"/>
        </w:rPr>
        <w:t xml:space="preserve">Il </w:t>
      </w:r>
      <w:r w:rsidRPr="00936D1F">
        <w:rPr>
          <w:rFonts w:ascii="Times New (W1)" w:hAnsi="Times New (W1)" w:cs="Times New (W1)"/>
        </w:rPr>
        <w:t>évalue la gravité de la situation et</w:t>
      </w:r>
      <w:r w:rsidR="00B53F96" w:rsidRPr="00936D1F">
        <w:rPr>
          <w:rFonts w:ascii="Times New (W1)" w:hAnsi="Times New (W1)" w:cs="Times New (W1)"/>
        </w:rPr>
        <w:t>,</w:t>
      </w:r>
      <w:r w:rsidRPr="00936D1F">
        <w:rPr>
          <w:rFonts w:ascii="Times New (W1)" w:hAnsi="Times New (W1)" w:cs="Times New (W1)"/>
        </w:rPr>
        <w:t xml:space="preserve"> selon la gravité du cas</w:t>
      </w:r>
      <w:r w:rsidR="00B53F96" w:rsidRPr="00936D1F">
        <w:rPr>
          <w:rFonts w:ascii="Times New (W1)" w:hAnsi="Times New (W1)" w:cs="Times New (W1)"/>
        </w:rPr>
        <w:t>,</w:t>
      </w:r>
      <w:r w:rsidRPr="00936D1F">
        <w:rPr>
          <w:rFonts w:ascii="Times New (W1)" w:hAnsi="Times New (W1)" w:cs="Times New (W1)"/>
        </w:rPr>
        <w:t xml:space="preserve"> transmet l</w:t>
      </w:r>
      <w:r w:rsidRPr="00936D1F">
        <w:rPr>
          <w:rFonts w:ascii="Times New (W1)" w:eastAsia="Times New Roman" w:hAnsi="Times New (W1)" w:cs="Times New (W1)"/>
        </w:rPr>
        <w:t>’</w:t>
      </w:r>
      <w:r w:rsidRPr="00936D1F">
        <w:rPr>
          <w:rFonts w:ascii="Times New (W1)" w:hAnsi="Times New (W1)" w:cs="Times New (W1)"/>
        </w:rPr>
        <w:t>appel au médecin urgentiste ou au médecin généraliste. C</w:t>
      </w:r>
      <w:r w:rsidRPr="00936D1F">
        <w:rPr>
          <w:rFonts w:ascii="Times New (W1)" w:eastAsia="Times New Roman" w:hAnsi="Times New (W1)" w:cs="Times New (W1)"/>
        </w:rPr>
        <w:t>’</w:t>
      </w:r>
      <w:r w:rsidRPr="00936D1F">
        <w:rPr>
          <w:rFonts w:ascii="Times New (W1)" w:hAnsi="Times New (W1)" w:cs="Times New (W1)"/>
        </w:rPr>
        <w:t>est le poste ressenti le plus stressant.</w:t>
      </w:r>
    </w:p>
    <w:p w:rsidR="00AC113A" w:rsidRPr="00936D1F" w:rsidRDefault="00AC113A">
      <w:pPr>
        <w:jc w:val="both"/>
        <w:rPr>
          <w:rFonts w:ascii="Times New (W1)" w:hAnsi="Times New (W1)" w:cs="Times New (W1)"/>
          <w:shd w:val="clear" w:color="auto" w:fill="FFFF00"/>
        </w:rPr>
      </w:pPr>
    </w:p>
    <w:p w:rsidR="00AC113A" w:rsidRPr="00936D1F" w:rsidRDefault="00AC113A">
      <w:pPr>
        <w:jc w:val="both"/>
        <w:rPr>
          <w:rFonts w:ascii="Times New (W1)" w:hAnsi="Times New (W1)" w:cs="Times New (W1)"/>
          <w:shd w:val="clear" w:color="auto" w:fill="FFFF00"/>
        </w:rPr>
      </w:pPr>
      <w:r w:rsidRPr="00936D1F">
        <w:rPr>
          <w:rFonts w:ascii="Times New (W1)" w:hAnsi="Times New (W1)" w:cs="Times New (W1)"/>
        </w:rPr>
        <w:t>- l'</w:t>
      </w:r>
      <w:r w:rsidRPr="00936D1F">
        <w:rPr>
          <w:rFonts w:ascii="Times New (W1)" w:hAnsi="Times New (W1)" w:cs="Times New (W1)"/>
          <w:b/>
          <w:bCs/>
        </w:rPr>
        <w:t>ARM effect</w:t>
      </w:r>
      <w:r w:rsidR="00AA539A" w:rsidRPr="00936D1F">
        <w:rPr>
          <w:rFonts w:ascii="Times New (W1)" w:hAnsi="Times New (W1)" w:cs="Times New (W1)"/>
          <w:b/>
          <w:bCs/>
        </w:rPr>
        <w:t xml:space="preserve">eur </w:t>
      </w:r>
      <w:r w:rsidRPr="00936D1F">
        <w:rPr>
          <w:rFonts w:ascii="Times New (W1)" w:hAnsi="Times New (W1)" w:cs="Times New (W1)"/>
        </w:rPr>
        <w:t>déploie les différents moyens d</w:t>
      </w:r>
      <w:r w:rsidRPr="00936D1F">
        <w:rPr>
          <w:rFonts w:ascii="Times New (W1)" w:eastAsia="Times New Roman" w:hAnsi="Times New (W1)" w:cs="Times New (W1)"/>
        </w:rPr>
        <w:t>’</w:t>
      </w:r>
      <w:r w:rsidRPr="00936D1F">
        <w:rPr>
          <w:rFonts w:ascii="Times New (W1)" w:hAnsi="Times New (W1)" w:cs="Times New (W1)"/>
        </w:rPr>
        <w:t>intervention. C</w:t>
      </w:r>
      <w:r w:rsidRPr="00936D1F">
        <w:rPr>
          <w:rFonts w:ascii="Times New (W1)" w:eastAsia="Times New Roman" w:hAnsi="Times New (W1)" w:cs="Times New (W1)"/>
        </w:rPr>
        <w:t>’</w:t>
      </w:r>
      <w:r w:rsidRPr="00936D1F">
        <w:rPr>
          <w:rFonts w:ascii="Times New (W1)" w:hAnsi="Times New (W1)" w:cs="Times New (W1)"/>
        </w:rPr>
        <w:t xml:space="preserve">est </w:t>
      </w:r>
      <w:r w:rsidR="00AA539A" w:rsidRPr="00936D1F">
        <w:rPr>
          <w:rFonts w:ascii="Times New (W1)" w:hAnsi="Times New (W1)" w:cs="Times New (W1)"/>
        </w:rPr>
        <w:t xml:space="preserve">lui </w:t>
      </w:r>
      <w:r w:rsidRPr="00936D1F">
        <w:rPr>
          <w:rFonts w:ascii="Times New (W1)" w:hAnsi="Times New (W1)" w:cs="Times New (W1)"/>
        </w:rPr>
        <w:t>qui organise les transports et qui est chargé d</w:t>
      </w:r>
      <w:r w:rsidRPr="00936D1F">
        <w:rPr>
          <w:rFonts w:ascii="Times New (W1)" w:eastAsia="Times New Roman" w:hAnsi="Times New (W1)" w:cs="Times New (W1)"/>
        </w:rPr>
        <w:t>’</w:t>
      </w:r>
      <w:r w:rsidRPr="00936D1F">
        <w:rPr>
          <w:rFonts w:ascii="Times New (W1)" w:hAnsi="Times New (W1)" w:cs="Times New (W1)"/>
        </w:rPr>
        <w:t>appeler les ambulances, les pompiers ou les équipes de SMUR selon la gravité de l</w:t>
      </w:r>
      <w:r w:rsidRPr="00936D1F">
        <w:rPr>
          <w:rFonts w:ascii="Times New (W1)" w:eastAsia="Times New Roman" w:hAnsi="Times New (W1)" w:cs="Times New (W1)"/>
        </w:rPr>
        <w:t>’</w:t>
      </w:r>
      <w:r w:rsidRPr="00936D1F">
        <w:rPr>
          <w:rFonts w:ascii="Times New (W1)" w:hAnsi="Times New (W1)" w:cs="Times New (W1)"/>
        </w:rPr>
        <w:t xml:space="preserve">intervention. </w:t>
      </w:r>
      <w:r w:rsidR="00AA539A" w:rsidRPr="00936D1F">
        <w:rPr>
          <w:rFonts w:ascii="Times New (W1)" w:hAnsi="Times New (W1)" w:cs="Times New (W1)"/>
        </w:rPr>
        <w:t xml:space="preserve">Il </w:t>
      </w:r>
      <w:r w:rsidRPr="00936D1F">
        <w:rPr>
          <w:rFonts w:ascii="Times New (W1)" w:hAnsi="Times New (W1)" w:cs="Times New (W1)"/>
        </w:rPr>
        <w:t>intervient après avoir reçu les consignes soit du médecin généraliste, soit du médecin urgentiste.</w:t>
      </w:r>
    </w:p>
    <w:p w:rsidR="00AC113A" w:rsidRPr="00936D1F" w:rsidRDefault="00AC113A">
      <w:pPr>
        <w:jc w:val="both"/>
        <w:rPr>
          <w:rFonts w:ascii="Times New (W1)" w:hAnsi="Times New (W1)" w:cs="Times New (W1)"/>
          <w:shd w:val="clear" w:color="auto" w:fill="FFFF00"/>
        </w:rPr>
      </w:pPr>
    </w:p>
    <w:p w:rsidR="00AC113A" w:rsidRPr="00936D1F" w:rsidRDefault="00AC113A">
      <w:pPr>
        <w:jc w:val="both"/>
        <w:rPr>
          <w:rFonts w:ascii="Times New (W1)" w:hAnsi="Times New (W1)" w:cs="Times New (W1)"/>
          <w:shd w:val="clear" w:color="auto" w:fill="FFFF00"/>
        </w:rPr>
      </w:pPr>
      <w:r w:rsidRPr="00936D1F">
        <w:rPr>
          <w:rFonts w:ascii="Times New (W1)" w:hAnsi="Times New (W1)" w:cs="Times New (W1)"/>
        </w:rPr>
        <w:t>- l'</w:t>
      </w:r>
      <w:r w:rsidRPr="00936D1F">
        <w:rPr>
          <w:rFonts w:ascii="Times New (W1)" w:hAnsi="Times New (W1)" w:cs="Times New (W1)"/>
          <w:b/>
          <w:bCs/>
        </w:rPr>
        <w:t>ARM bilan</w:t>
      </w:r>
      <w:r w:rsidRPr="00936D1F">
        <w:rPr>
          <w:rFonts w:ascii="Times New (W1)" w:hAnsi="Times New (W1)" w:cs="Times New (W1)"/>
        </w:rPr>
        <w:t>  est chargé de recueillir le bilan des différentes interventions.</w:t>
      </w:r>
    </w:p>
    <w:p w:rsidR="00AC113A" w:rsidRPr="00936D1F" w:rsidRDefault="00AC113A">
      <w:pPr>
        <w:jc w:val="both"/>
        <w:rPr>
          <w:rFonts w:ascii="Times New (W1)" w:hAnsi="Times New (W1)" w:cs="Times New (W1)"/>
          <w:shd w:val="clear" w:color="auto" w:fill="FFFF00"/>
        </w:rPr>
      </w:pPr>
    </w:p>
    <w:p w:rsidR="00AC113A" w:rsidRPr="00936D1F" w:rsidRDefault="00AC113A">
      <w:pPr>
        <w:jc w:val="both"/>
        <w:rPr>
          <w:rFonts w:ascii="Times New (W1)" w:hAnsi="Times New (W1)" w:cs="Times New (W1)"/>
          <w:shd w:val="clear" w:color="auto" w:fill="FFFF00"/>
        </w:rPr>
      </w:pPr>
      <w:r w:rsidRPr="00936D1F">
        <w:rPr>
          <w:rFonts w:ascii="Times New (W1)" w:hAnsi="Times New (W1)" w:cs="Times New (W1)"/>
        </w:rPr>
        <w:t>Le fonctionnement des médecins est différent. L'</w:t>
      </w:r>
      <w:r w:rsidRPr="00936D1F">
        <w:rPr>
          <w:rFonts w:ascii="Times New (W1)" w:hAnsi="Times New (W1)" w:cs="Times New (W1)"/>
          <w:bCs/>
        </w:rPr>
        <w:t>ARM appel</w:t>
      </w:r>
      <w:r w:rsidRPr="00936D1F">
        <w:rPr>
          <w:rFonts w:ascii="Times New (W1)" w:hAnsi="Times New (W1)" w:cs="Times New (W1)"/>
        </w:rPr>
        <w:t xml:space="preserve"> transmet au médecin libéral </w:t>
      </w:r>
      <w:r w:rsidR="00B53F96" w:rsidRPr="00936D1F">
        <w:rPr>
          <w:rFonts w:ascii="Times New (W1)" w:hAnsi="Times New (W1)" w:cs="Times New (W1)"/>
        </w:rPr>
        <w:t>(</w:t>
      </w:r>
      <w:r w:rsidRPr="00936D1F">
        <w:rPr>
          <w:rFonts w:ascii="Times New (W1)" w:hAnsi="Times New (W1)" w:cs="Times New (W1)"/>
        </w:rPr>
        <w:t>le plus souvent un médecin généraliste) les appels peu graves nécessitant soit un conseil médical, soit une simple ambulance. Le médecin urgentiste gère quant à lui les situations plus graves nécessitant une prise en charge plus lourde, c</w:t>
      </w:r>
      <w:r w:rsidRPr="00936D1F">
        <w:rPr>
          <w:rFonts w:ascii="Times New (W1)" w:eastAsia="Times New Roman" w:hAnsi="Times New (W1)" w:cs="Times New (W1)"/>
        </w:rPr>
        <w:t>’</w:t>
      </w:r>
      <w:r w:rsidRPr="00936D1F">
        <w:rPr>
          <w:rFonts w:ascii="Times New (W1)" w:hAnsi="Times New (W1)" w:cs="Times New (W1)"/>
        </w:rPr>
        <w:t>est le seul qui peut déclencher un départ du SMUR.</w:t>
      </w:r>
    </w:p>
    <w:p w:rsidR="00AC113A" w:rsidRPr="00936D1F" w:rsidRDefault="00AC113A">
      <w:pPr>
        <w:ind w:firstLine="708"/>
        <w:jc w:val="both"/>
        <w:rPr>
          <w:rFonts w:ascii="Times New (W1)" w:hAnsi="Times New (W1)" w:cs="Times New (W1)"/>
          <w:shd w:val="clear" w:color="auto" w:fill="FFFF00"/>
        </w:rPr>
      </w:pPr>
    </w:p>
    <w:p w:rsidR="00AC113A" w:rsidRPr="00936D1F" w:rsidRDefault="00AC113A">
      <w:pPr>
        <w:jc w:val="both"/>
        <w:rPr>
          <w:rFonts w:ascii="Times New (W1)" w:hAnsi="Times New (W1)" w:cs="Times New (W1)"/>
          <w:shd w:val="clear" w:color="auto" w:fill="FFFF00"/>
        </w:rPr>
      </w:pPr>
      <w:r w:rsidRPr="00936D1F">
        <w:rPr>
          <w:rFonts w:ascii="Times New (W1)" w:hAnsi="Times New (W1)" w:cs="Times New (W1)"/>
        </w:rPr>
        <w:t>Cette étude sera réalisée en incluant le même nombre d'ARM expérimentés (plus de cinq ans d</w:t>
      </w:r>
      <w:r w:rsidRPr="00936D1F">
        <w:rPr>
          <w:rFonts w:ascii="Times New (W1)" w:eastAsia="Times New Roman" w:hAnsi="Times New (W1)" w:cs="Times New (W1)"/>
        </w:rPr>
        <w:t>’</w:t>
      </w:r>
      <w:r w:rsidRPr="00936D1F">
        <w:rPr>
          <w:rFonts w:ascii="Times New (W1)" w:hAnsi="Times New (W1)" w:cs="Times New (W1)"/>
        </w:rPr>
        <w:t>expérience) que d'ARM jeunes (moins de cinq ans d</w:t>
      </w:r>
      <w:r w:rsidRPr="00936D1F">
        <w:rPr>
          <w:rFonts w:ascii="Times New (W1)" w:eastAsia="Times New Roman" w:hAnsi="Times New (W1)" w:cs="Times New (W1)"/>
        </w:rPr>
        <w:t>’</w:t>
      </w:r>
      <w:r w:rsidRPr="00936D1F">
        <w:rPr>
          <w:rFonts w:ascii="Times New (W1)" w:hAnsi="Times New (W1)" w:cs="Times New (W1)"/>
        </w:rPr>
        <w:t>expérience). On étudiera également l</w:t>
      </w:r>
      <w:r w:rsidR="00EE54B7" w:rsidRPr="00936D1F">
        <w:rPr>
          <w:rFonts w:ascii="Times New (W1)" w:hAnsi="Times New (W1)" w:cs="Times New (W1)"/>
        </w:rPr>
        <w:t>e</w:t>
      </w:r>
      <w:r w:rsidRPr="00936D1F">
        <w:rPr>
          <w:rFonts w:ascii="Times New (W1)" w:hAnsi="Times New (W1)" w:cs="Times New (W1)"/>
        </w:rPr>
        <w:t xml:space="preserve"> même assistant de régulation sur les trois postes.</w:t>
      </w:r>
    </w:p>
    <w:p w:rsidR="00AC113A" w:rsidRPr="00936D1F" w:rsidRDefault="00AC113A">
      <w:pPr>
        <w:ind w:firstLine="708"/>
        <w:jc w:val="both"/>
        <w:rPr>
          <w:rFonts w:ascii="Times New (W1)" w:hAnsi="Times New (W1)" w:cs="Times New (W1)"/>
          <w:shd w:val="clear" w:color="auto" w:fill="FFFF00"/>
        </w:rPr>
      </w:pPr>
    </w:p>
    <w:p w:rsidR="00AC113A" w:rsidRPr="00936D1F" w:rsidRDefault="00AC113A">
      <w:pPr>
        <w:jc w:val="both"/>
        <w:rPr>
          <w:rFonts w:ascii="Times New (W1)" w:hAnsi="Times New (W1)" w:cs="Times New (W1)"/>
        </w:rPr>
      </w:pPr>
      <w:r w:rsidRPr="00936D1F">
        <w:rPr>
          <w:rFonts w:ascii="Times New (W1)" w:hAnsi="Times New (W1)" w:cs="Times New (W1)"/>
        </w:rPr>
        <w:t>Lors de notre étude, un appel sera étudié. C</w:t>
      </w:r>
      <w:r w:rsidRPr="00936D1F">
        <w:rPr>
          <w:rFonts w:ascii="Times New (W1)" w:eastAsia="Times New Roman" w:hAnsi="Times New (W1)" w:cs="Times New (W1)"/>
        </w:rPr>
        <w:t>’</w:t>
      </w:r>
      <w:r w:rsidRPr="00936D1F">
        <w:rPr>
          <w:rFonts w:ascii="Times New (W1)" w:hAnsi="Times New (W1)" w:cs="Times New (W1)"/>
        </w:rPr>
        <w:t>est cet appel qui servira de référence. Un</w:t>
      </w:r>
      <w:r w:rsidR="00446D85" w:rsidRPr="00936D1F">
        <w:rPr>
          <w:rFonts w:ascii="Times New (W1)" w:hAnsi="Times New (W1)" w:cs="Times New (W1)"/>
        </w:rPr>
        <w:t>e</w:t>
      </w:r>
      <w:r w:rsidRPr="00936D1F">
        <w:rPr>
          <w:rFonts w:ascii="Times New (W1)" w:hAnsi="Times New (W1)" w:cs="Times New (W1)"/>
        </w:rPr>
        <w:t xml:space="preserve"> </w:t>
      </w:r>
      <w:r w:rsidR="00F81378" w:rsidRPr="00936D1F">
        <w:rPr>
          <w:rFonts w:ascii="Times New (W1)" w:hAnsi="Times New (W1)" w:cs="Times New (W1)"/>
        </w:rPr>
        <w:t>série de prélèvements</w:t>
      </w:r>
      <w:r w:rsidRPr="00936D1F">
        <w:rPr>
          <w:rFonts w:ascii="Times New (W1)" w:hAnsi="Times New (W1)" w:cs="Times New (W1)"/>
        </w:rPr>
        <w:t xml:space="preserve"> de cortisol salivaire sera débuté</w:t>
      </w:r>
      <w:r w:rsidR="00446D85" w:rsidRPr="00936D1F">
        <w:rPr>
          <w:rFonts w:ascii="Times New (W1)" w:hAnsi="Times New (W1)" w:cs="Times New (W1)"/>
        </w:rPr>
        <w:t>e</w:t>
      </w:r>
      <w:r w:rsidRPr="00936D1F">
        <w:rPr>
          <w:rFonts w:ascii="Times New (W1)" w:hAnsi="Times New (W1)" w:cs="Times New (W1)"/>
        </w:rPr>
        <w:t xml:space="preserve"> chez l'ARM appel en poste à ce moment. Un premier prélèvement de cortisol salivaire sera effectué lorsque l'ARM aura raccroché le téléphone. Ce premier prélèvement sera considéré comme le prélèvement T0. Les autres prélèvements seront ensuite réalisés toutes les 15 minutes pendant une heure et demi</w:t>
      </w:r>
      <w:r w:rsidR="00446D85" w:rsidRPr="00936D1F">
        <w:rPr>
          <w:rFonts w:ascii="Times New (W1)" w:hAnsi="Times New (W1)" w:cs="Times New (W1)"/>
        </w:rPr>
        <w:t>e</w:t>
      </w:r>
      <w:r w:rsidRPr="00936D1F">
        <w:rPr>
          <w:rFonts w:ascii="Times New (W1)" w:hAnsi="Times New (W1)" w:cs="Times New (W1)"/>
        </w:rPr>
        <w:t>, puis un dernier prélèvement sera effectué à deux heures de T0. Dès que l'appel est transmis au</w:t>
      </w:r>
      <w:r w:rsidRPr="00936D1F">
        <w:rPr>
          <w:rFonts w:ascii="Times New (W1)" w:eastAsia="Times New Roman" w:hAnsi="Times New (W1)" w:cs="Times New (W1)"/>
        </w:rPr>
        <w:t xml:space="preserve"> </w:t>
      </w:r>
      <w:r w:rsidRPr="00936D1F">
        <w:rPr>
          <w:rFonts w:ascii="Times New (W1)" w:hAnsi="Times New (W1)" w:cs="Times New (W1)"/>
        </w:rPr>
        <w:t xml:space="preserve">médecin, que ce soit le médecin urgentiste ou le médecin smuriste, les prélèvements débutent pour le médecin. T0 </w:t>
      </w:r>
      <w:r w:rsidRPr="00936D1F">
        <w:rPr>
          <w:rFonts w:ascii="Times New (W1)" w:eastAsia="Times New Roman" w:hAnsi="Times New (W1)" w:cs="Times New (W1)"/>
        </w:rPr>
        <w:t>e</w:t>
      </w:r>
      <w:r w:rsidRPr="00936D1F">
        <w:rPr>
          <w:rFonts w:ascii="Times New (W1)" w:hAnsi="Times New (W1)" w:cs="Times New (W1)"/>
        </w:rPr>
        <w:t>st le moment où le médecin raccroche et commence à mâcher le coton. Puis le même appel est étudié de la même manière par l'ARM effecte</w:t>
      </w:r>
      <w:r w:rsidR="00EE54B7" w:rsidRPr="00936D1F">
        <w:rPr>
          <w:rFonts w:ascii="Times New (W1)" w:hAnsi="Times New (W1)" w:cs="Times New (W1)"/>
        </w:rPr>
        <w:t>ur</w:t>
      </w:r>
      <w:r w:rsidRPr="00936D1F">
        <w:rPr>
          <w:rFonts w:ascii="Times New (W1)" w:hAnsi="Times New (W1)" w:cs="Times New (W1)"/>
        </w:rPr>
        <w:t xml:space="preserve"> puis par l'ARM bilan.</w:t>
      </w:r>
    </w:p>
    <w:p w:rsidR="00AC113A" w:rsidRPr="00936D1F" w:rsidRDefault="00AC113A">
      <w:pPr>
        <w:jc w:val="both"/>
        <w:rPr>
          <w:rFonts w:ascii="Times New (W1)" w:hAnsi="Times New (W1)" w:cs="Times New (W1)"/>
        </w:rPr>
      </w:pPr>
    </w:p>
    <w:p w:rsidR="00AC113A" w:rsidRDefault="00AC113A">
      <w:pPr>
        <w:jc w:val="both"/>
      </w:pPr>
      <w:r w:rsidRPr="00936D1F">
        <w:rPr>
          <w:rFonts w:ascii="Times New (W1)" w:hAnsi="Times New (W1)" w:cs="Times New (W1)"/>
        </w:rPr>
        <w:t>Tous les appels seront étudiés de cette manière.</w:t>
      </w:r>
    </w:p>
    <w:p w:rsidR="00AC113A" w:rsidRDefault="00AC113A">
      <w:pPr>
        <w:jc w:val="both"/>
      </w:pPr>
    </w:p>
    <w:p w:rsidR="00AC113A" w:rsidRDefault="00AC113A"/>
    <w:p w:rsidR="00936D1F" w:rsidRDefault="00936D1F" w:rsidP="00936D1F">
      <w:pPr>
        <w:ind w:left="1800"/>
        <w:jc w:val="both"/>
      </w:pPr>
      <w:r w:rsidRPr="00936D1F">
        <w:rPr>
          <w:b/>
          <w:bCs/>
          <w:u w:val="single"/>
        </w:rPr>
        <w:t xml:space="preserve">4.2.2 </w:t>
      </w:r>
      <w:r w:rsidR="00AC113A" w:rsidRPr="00936D1F">
        <w:rPr>
          <w:b/>
          <w:bCs/>
          <w:u w:val="single"/>
        </w:rPr>
        <w:t>O</w:t>
      </w:r>
      <w:r>
        <w:rPr>
          <w:b/>
          <w:bCs/>
          <w:u w:val="single"/>
        </w:rPr>
        <w:t>rganisation pratique pour l’étude</w:t>
      </w:r>
    </w:p>
    <w:p w:rsidR="00AC113A" w:rsidRDefault="00AC113A" w:rsidP="00936D1F">
      <w:pPr>
        <w:ind w:left="1800"/>
        <w:jc w:val="both"/>
        <w:rPr>
          <w:b/>
          <w:bCs/>
          <w:i/>
        </w:rPr>
      </w:pPr>
      <w:r>
        <w:t>.</w:t>
      </w:r>
    </w:p>
    <w:p w:rsidR="00AC113A" w:rsidRDefault="00AC113A">
      <w:pPr>
        <w:jc w:val="both"/>
        <w:rPr>
          <w:i/>
          <w:shd w:val="clear" w:color="auto" w:fill="00FF00"/>
        </w:rPr>
      </w:pPr>
      <w:r>
        <w:rPr>
          <w:b/>
          <w:bCs/>
          <w:i/>
        </w:rPr>
        <w:t>DOSAGES DU CORTISOL SALIVAIRE</w:t>
      </w:r>
    </w:p>
    <w:p w:rsidR="00AC113A" w:rsidRDefault="00AC113A">
      <w:pPr>
        <w:jc w:val="both"/>
        <w:rPr>
          <w:i/>
          <w:shd w:val="clear" w:color="auto" w:fill="00FF00"/>
        </w:rPr>
      </w:pPr>
    </w:p>
    <w:p w:rsidR="00AC113A" w:rsidRDefault="00AC113A">
      <w:pPr>
        <w:jc w:val="both"/>
        <w:rPr>
          <w:b/>
          <w:bCs/>
          <w:i/>
        </w:rPr>
      </w:pPr>
      <w:r>
        <w:rPr>
          <w:b/>
          <w:bCs/>
          <w:i/>
        </w:rPr>
        <w:t>Matériel</w:t>
      </w:r>
    </w:p>
    <w:p w:rsidR="00AC113A" w:rsidRDefault="00AC113A">
      <w:pPr>
        <w:jc w:val="both"/>
        <w:rPr>
          <w:b/>
          <w:bCs/>
          <w:i/>
        </w:rPr>
      </w:pPr>
    </w:p>
    <w:p w:rsidR="00AC113A" w:rsidRPr="00514992" w:rsidRDefault="00AC113A">
      <w:pPr>
        <w:jc w:val="both"/>
      </w:pPr>
      <w:r w:rsidRPr="00514992">
        <w:t xml:space="preserve">Ce dosage sera réalisé à l’aide de salivettes  Biomnis  </w:t>
      </w:r>
      <w:r w:rsidR="00264D00" w:rsidRPr="00264D00">
        <w:rPr>
          <w:highlight w:val="lightGray"/>
        </w:rPr>
        <w:t>ou Sars</w:t>
      </w:r>
      <w:r w:rsidR="00264D00">
        <w:rPr>
          <w:highlight w:val="lightGray"/>
        </w:rPr>
        <w:t>t</w:t>
      </w:r>
      <w:r w:rsidR="00264D00" w:rsidRPr="00264D00">
        <w:rPr>
          <w:highlight w:val="lightGray"/>
        </w:rPr>
        <w:t>edt</w:t>
      </w:r>
      <w:r w:rsidR="00264D00">
        <w:t xml:space="preserve"> </w:t>
      </w:r>
      <w:r w:rsidRPr="00514992">
        <w:t>et sera couplé aux mesures subjectives du stress par EVA.</w:t>
      </w:r>
    </w:p>
    <w:p w:rsidR="00AC113A" w:rsidRPr="00514992" w:rsidRDefault="00AC113A">
      <w:pPr>
        <w:jc w:val="both"/>
        <w:rPr>
          <w:shd w:val="clear" w:color="auto" w:fill="00FF00"/>
        </w:rPr>
      </w:pPr>
      <w:r w:rsidRPr="00514992">
        <w:t xml:space="preserve">Les salivettes seront fournies par le laboratoire </w:t>
      </w:r>
      <w:r w:rsidR="007B32D8" w:rsidRPr="00514992">
        <w:t>B</w:t>
      </w:r>
      <w:r w:rsidRPr="00514992">
        <w:t>iomnis</w:t>
      </w:r>
      <w:r w:rsidR="00264D00">
        <w:t xml:space="preserve"> </w:t>
      </w:r>
      <w:r w:rsidR="00264D00" w:rsidRPr="00264D00">
        <w:rPr>
          <w:highlight w:val="lightGray"/>
        </w:rPr>
        <w:t>ou le laboratoie Sarsetedt</w:t>
      </w:r>
      <w:r w:rsidRPr="00514992">
        <w:t>. Elles sont constituées d’un coton que l’on doit imbiber de salive, à maintenir</w:t>
      </w:r>
      <w:r w:rsidR="007B32D8" w:rsidRPr="00514992">
        <w:t xml:space="preserve"> dans la bouche</w:t>
      </w:r>
      <w:r w:rsidRPr="00514992">
        <w:t xml:space="preserve"> et mâcher deux à trois minutes (cf annexes). Les prélèvements seront ensuite </w:t>
      </w:r>
      <w:r w:rsidR="007B32D8" w:rsidRPr="00514992">
        <w:t xml:space="preserve">anonymisés </w:t>
      </w:r>
      <w:r w:rsidRPr="00514992">
        <w:t xml:space="preserve">à l’aide de numéros, dans un souci de confidentialité. Les salivettes seront ensuite conservées au congélateur à </w:t>
      </w:r>
      <w:r w:rsidR="007B32D8" w:rsidRPr="00514992">
        <w:t>-4</w:t>
      </w:r>
      <w:r w:rsidRPr="00514992">
        <w:t xml:space="preserve"> </w:t>
      </w:r>
      <w:r w:rsidR="007B32D8" w:rsidRPr="00514992">
        <w:t>degrés</w:t>
      </w:r>
      <w:r w:rsidRPr="00514992">
        <w:t xml:space="preserve"> dans les congélateurs du laboratoire de l’hôpital de Mercy pour ensuite être </w:t>
      </w:r>
      <w:r w:rsidR="00DA4A83" w:rsidRPr="00514992">
        <w:t>analysé</w:t>
      </w:r>
      <w:r w:rsidR="00EE54B7">
        <w:t>e</w:t>
      </w:r>
      <w:r w:rsidR="00DA4A83" w:rsidRPr="00514992">
        <w:t>s sur place.</w:t>
      </w:r>
      <w:r w:rsidRPr="00514992">
        <w:t xml:space="preserve"> Les échantillons peuvent </w:t>
      </w:r>
      <w:r w:rsidR="00B53F96" w:rsidRPr="00514992">
        <w:t xml:space="preserve">se </w:t>
      </w:r>
      <w:r w:rsidRPr="00514992">
        <w:t>conserv</w:t>
      </w:r>
      <w:r w:rsidR="00B53F96" w:rsidRPr="00514992">
        <w:t>er</w:t>
      </w:r>
      <w:r w:rsidRPr="00514992">
        <w:t xml:space="preserve"> un an à une température de </w:t>
      </w:r>
      <w:r w:rsidR="007B32D8" w:rsidRPr="00514992">
        <w:t xml:space="preserve">- </w:t>
      </w:r>
      <w:r w:rsidRPr="00514992">
        <w:t xml:space="preserve">4 </w:t>
      </w:r>
      <w:r w:rsidR="00B53F96" w:rsidRPr="00514992">
        <w:t>degrés</w:t>
      </w:r>
      <w:r w:rsidRPr="00514992">
        <w:t>.</w:t>
      </w:r>
    </w:p>
    <w:p w:rsidR="00AC113A" w:rsidRDefault="00AC113A">
      <w:pPr>
        <w:jc w:val="both"/>
        <w:rPr>
          <w:i/>
          <w:shd w:val="clear" w:color="auto" w:fill="00FF00"/>
        </w:rPr>
      </w:pPr>
    </w:p>
    <w:p w:rsidR="00AC113A" w:rsidRDefault="00AC113A">
      <w:pPr>
        <w:jc w:val="both"/>
        <w:rPr>
          <w:i/>
          <w:shd w:val="clear" w:color="auto" w:fill="00FF00"/>
        </w:rPr>
      </w:pPr>
      <w:r>
        <w:rPr>
          <w:b/>
          <w:bCs/>
          <w:i/>
        </w:rPr>
        <w:t>Conditions expérimentales</w:t>
      </w:r>
    </w:p>
    <w:p w:rsidR="00AC113A" w:rsidRDefault="00AC113A">
      <w:pPr>
        <w:jc w:val="both"/>
        <w:rPr>
          <w:i/>
          <w:shd w:val="clear" w:color="auto" w:fill="00FF00"/>
        </w:rPr>
      </w:pPr>
    </w:p>
    <w:p w:rsidR="00AC113A" w:rsidRPr="00514992" w:rsidRDefault="00AC113A">
      <w:pPr>
        <w:jc w:val="both"/>
      </w:pPr>
      <w:r w:rsidRPr="00514992">
        <w:t xml:space="preserve">Le cortisol salivaire sera recueilli chez </w:t>
      </w:r>
      <w:r w:rsidR="007B32D8" w:rsidRPr="00514992">
        <w:t xml:space="preserve">chaque </w:t>
      </w:r>
      <w:r w:rsidRPr="00514992">
        <w:t>ARM</w:t>
      </w:r>
      <w:r w:rsidR="007B32D8" w:rsidRPr="00514992">
        <w:t>,</w:t>
      </w:r>
      <w:r w:rsidRPr="00514992">
        <w:t xml:space="preserve"> pendant 3 jours de travail</w:t>
      </w:r>
      <w:r w:rsidR="007B32D8" w:rsidRPr="00514992">
        <w:t>,</w:t>
      </w:r>
      <w:r w:rsidRPr="00514992">
        <w:t xml:space="preserve"> sur trois postes </w:t>
      </w:r>
      <w:r w:rsidRPr="00514992">
        <w:lastRenderedPageBreak/>
        <w:t>différents : appel, déploiement de moyens ou effect</w:t>
      </w:r>
      <w:r w:rsidR="00EE54B7">
        <w:t>eur</w:t>
      </w:r>
      <w:r w:rsidRPr="00514992">
        <w:t>, et bilan.</w:t>
      </w:r>
    </w:p>
    <w:p w:rsidR="00AC113A" w:rsidRPr="00514992" w:rsidRDefault="00AC113A">
      <w:pPr>
        <w:jc w:val="both"/>
      </w:pPr>
    </w:p>
    <w:p w:rsidR="00AC113A" w:rsidRPr="00514992" w:rsidRDefault="00AC113A">
      <w:pPr>
        <w:jc w:val="both"/>
      </w:pPr>
      <w:r w:rsidRPr="00514992">
        <w:t xml:space="preserve">Les participants seront informés des bonnes conditions de prélèvements du cortisol salivaire. Ils s'engagent une fois intégrés dans l'étude à ne pas consommer de boisson ou d'aliments dans la demi-heure précédant le recueil de salive et également durant les deux heures de prélèvements. Les sujets auront aussi comme consigne de ne pas fumer trente minutes avant les prélèvements et pendant toute la durée des prélèvements. En ce qui concerne les autres facteurs de variation du cortisol salivaire, la luminosité ne varie pas au cours de la journée, les sujets travaillent en position assise, la station debout ne sera pas prise en compte. </w:t>
      </w:r>
    </w:p>
    <w:p w:rsidR="00AC113A" w:rsidRPr="00514992" w:rsidRDefault="00AC113A">
      <w:pPr>
        <w:jc w:val="both"/>
      </w:pPr>
    </w:p>
    <w:p w:rsidR="00AC113A" w:rsidRPr="00514992" w:rsidRDefault="00AC113A">
      <w:pPr>
        <w:jc w:val="both"/>
      </w:pPr>
      <w:r w:rsidRPr="00514992">
        <w:t>Les appels pendant lesquels les dosages auront lieu seront des appels intervenant tous sur la même plage horaire afin d’éviter les biais dus à la variation circadienne inter et intra individuelle de cortisol salivaire.</w:t>
      </w:r>
    </w:p>
    <w:p w:rsidR="00AC113A" w:rsidRPr="00514992" w:rsidRDefault="00AC113A">
      <w:pPr>
        <w:jc w:val="both"/>
      </w:pPr>
      <w:r w:rsidRPr="00514992">
        <w:t>Le premier appel survenant chez l</w:t>
      </w:r>
      <w:r w:rsidR="00B53F96" w:rsidRPr="00514992">
        <w:t>’</w:t>
      </w:r>
      <w:r w:rsidRPr="00514992">
        <w:t>ARM appel sera notre appel de référence. Cependant les appels par erreur seront exclus de l'étude. Lors de l’appel, un dosage de cortisol salivaire sera réalisé chez l</w:t>
      </w:r>
      <w:r w:rsidR="00B53F96" w:rsidRPr="00514992">
        <w:t>’</w:t>
      </w:r>
      <w:r w:rsidRPr="00514992">
        <w:t>ARM appel. Le premier dosage sera noté T0. Un autre dosage de cortisol salivaire sera réalisé chez l</w:t>
      </w:r>
      <w:r w:rsidR="00B53F96" w:rsidRPr="00514992">
        <w:t>’</w:t>
      </w:r>
      <w:r w:rsidRPr="00514992">
        <w:t>ARM appel toutes les 15 minutes à partir de T0 et ce pendant 1h30, puis un dernier dosage</w:t>
      </w:r>
      <w:r w:rsidRPr="00514992">
        <w:rPr>
          <w:sz w:val="22"/>
          <w:szCs w:val="22"/>
        </w:rPr>
        <w:t xml:space="preserve"> </w:t>
      </w:r>
      <w:r w:rsidRPr="00514992">
        <w:t>sera effectué 2h après l’appel, soit huit dosages en tout pour réaliser une courbe de stress aigu. Les dosages de cortisol seront tous réalisés à la même heure pour éviter les variations du nycthémère. Le début de chaque prélèvement débutera après que le sujet a raccroché le téléphone.</w:t>
      </w:r>
    </w:p>
    <w:p w:rsidR="00AC113A" w:rsidRPr="00514992" w:rsidRDefault="00AC113A">
      <w:pPr>
        <w:jc w:val="both"/>
      </w:pPr>
    </w:p>
    <w:p w:rsidR="00AC113A" w:rsidRPr="00514992" w:rsidRDefault="00AC113A">
      <w:pPr>
        <w:jc w:val="both"/>
      </w:pPr>
      <w:r w:rsidRPr="00514992">
        <w:t>Le même dosage de cortisol salivaire suivant le même principe sera ensuite réalisé chez le médecin à qui est transmis l’appel. Puis le même dosage sera réalisé chez l'</w:t>
      </w:r>
      <w:r w:rsidRPr="00514992">
        <w:rPr>
          <w:bCs/>
        </w:rPr>
        <w:t>ARM effect</w:t>
      </w:r>
      <w:r w:rsidR="00EE54B7">
        <w:rPr>
          <w:bCs/>
        </w:rPr>
        <w:t>eur</w:t>
      </w:r>
      <w:r w:rsidRPr="00514992">
        <w:t xml:space="preserve"> puis l'</w:t>
      </w:r>
      <w:r w:rsidRPr="00514992">
        <w:rPr>
          <w:bCs/>
        </w:rPr>
        <w:t>ARM bilan</w:t>
      </w:r>
      <w:r w:rsidRPr="00514992">
        <w:t>. Le jour suivant, le dosage de cortisol salivaire sera réalisé chez les mêmes ARM à des postes différents.</w:t>
      </w:r>
    </w:p>
    <w:p w:rsidR="00AC113A" w:rsidRPr="00514992" w:rsidRDefault="00AC113A">
      <w:pPr>
        <w:jc w:val="both"/>
      </w:pPr>
    </w:p>
    <w:p w:rsidR="00AC113A" w:rsidRPr="00514992" w:rsidRDefault="00AC113A">
      <w:pPr>
        <w:jc w:val="both"/>
      </w:pPr>
      <w:r w:rsidRPr="00514992">
        <w:t>Trois assistants de régulation médicale effectueront donc les dosages de cortisol salivaire chaque jour, ainsi qu'un médecin, soit urgentiste, soit libéral selon la gravité de l'appel.</w:t>
      </w:r>
    </w:p>
    <w:p w:rsidR="00AC113A" w:rsidRPr="00514992" w:rsidRDefault="00AC113A">
      <w:pPr>
        <w:jc w:val="both"/>
      </w:pPr>
    </w:p>
    <w:p w:rsidR="00AC113A" w:rsidRPr="00514992" w:rsidRDefault="00AC113A">
      <w:pPr>
        <w:jc w:val="both"/>
      </w:pPr>
      <w:r w:rsidRPr="00514992">
        <w:t>Chaque appel intercurrent sera noté durant les mesures de cortisol salivaire. Chaque événement</w:t>
      </w:r>
      <w:r w:rsidR="00846065" w:rsidRPr="00514992">
        <w:t>,</w:t>
      </w:r>
      <w:r w:rsidRPr="00514992">
        <w:t xml:space="preserve"> durant les deux heures de prélèvement</w:t>
      </w:r>
      <w:r w:rsidR="00846065" w:rsidRPr="00514992">
        <w:t>,</w:t>
      </w:r>
      <w:r w:rsidRPr="00514992">
        <w:t xml:space="preserve"> sera également répertorié afin d'éviter les biais et de permettre une meilleure analyse des courbes obtenues</w:t>
      </w:r>
      <w:r w:rsidR="00846065" w:rsidRPr="00514992">
        <w:t>.</w:t>
      </w:r>
    </w:p>
    <w:p w:rsidR="00AC113A" w:rsidRPr="00514992" w:rsidRDefault="00AC113A">
      <w:pPr>
        <w:jc w:val="both"/>
        <w:rPr>
          <w:shd w:val="clear" w:color="auto" w:fill="00FF00"/>
        </w:rPr>
      </w:pPr>
    </w:p>
    <w:p w:rsidR="00AC113A" w:rsidRPr="00514992" w:rsidRDefault="00AC113A">
      <w:pPr>
        <w:jc w:val="both"/>
      </w:pPr>
      <w:r w:rsidRPr="00514992">
        <w:t xml:space="preserve">Un dosage de cortisol salivaire sera également réalisé lors d’une journée de repos (le lendemain d’une nuit de travail n’est pas considéré comme un jour de repos) pour obtenir une valeur de référence et permettre de limiter les variations intra individuelles. Ce dosage suivra une méthodologie différente puisque le but n'est plus d'étudier un événement aigu mais d'avoir une courbe de référence. Huit </w:t>
      </w:r>
      <w:r w:rsidR="00446D85" w:rsidRPr="00514992">
        <w:t xml:space="preserve">prélèvements </w:t>
      </w:r>
      <w:r w:rsidRPr="00514992">
        <w:t xml:space="preserve">seront réalisés à intervalle régulier pendant la journée. Un premier </w:t>
      </w:r>
      <w:r w:rsidR="00446D85" w:rsidRPr="00514992">
        <w:t xml:space="preserve">prélèvement </w:t>
      </w:r>
      <w:r w:rsidRPr="00514992">
        <w:t xml:space="preserve">sera réalisé au réveil et sera considéré comme T0, puis il y aura un </w:t>
      </w:r>
      <w:r w:rsidR="00446D85" w:rsidRPr="00514992">
        <w:t xml:space="preserve">prélèvement </w:t>
      </w:r>
      <w:r w:rsidR="006E3C55" w:rsidRPr="00514992">
        <w:t xml:space="preserve">toutes les </w:t>
      </w:r>
      <w:r w:rsidR="00E976F1" w:rsidRPr="00514992">
        <w:t xml:space="preserve"> deux heures.</w:t>
      </w:r>
      <w:r w:rsidR="00446D85" w:rsidRPr="00514992">
        <w:t xml:space="preserve"> L</w:t>
      </w:r>
      <w:r w:rsidR="006E3C55" w:rsidRPr="00514992">
        <w:t xml:space="preserve">es </w:t>
      </w:r>
      <w:r w:rsidR="00514992" w:rsidRPr="00514992">
        <w:t>échantillons</w:t>
      </w:r>
      <w:r w:rsidR="006E3C55" w:rsidRPr="00514992">
        <w:t xml:space="preserve"> seront conservés à l’air ambiant par le sujet </w:t>
      </w:r>
      <w:r w:rsidR="00E976F1" w:rsidRPr="00514992">
        <w:t xml:space="preserve"> </w:t>
      </w:r>
      <w:r w:rsidR="006E3C55" w:rsidRPr="00514992">
        <w:t>puis</w:t>
      </w:r>
      <w:r w:rsidR="00E976F1" w:rsidRPr="00514992">
        <w:t xml:space="preserve"> ramenés  le lendemain </w:t>
      </w:r>
      <w:r w:rsidR="006E3C55" w:rsidRPr="00514992">
        <w:t>au CHR</w:t>
      </w:r>
      <w:r w:rsidR="00E976F1" w:rsidRPr="00514992">
        <w:t>. Une fiche explicative sera remise à chaque participant.</w:t>
      </w:r>
    </w:p>
    <w:p w:rsidR="00AC113A" w:rsidRPr="00514992" w:rsidRDefault="00AC113A">
      <w:pPr>
        <w:pStyle w:val="Sousnumrotation"/>
        <w:ind w:left="0" w:firstLine="0"/>
        <w:rPr>
          <w:sz w:val="24"/>
          <w:shd w:val="clear" w:color="auto" w:fill="00FFFF"/>
        </w:rPr>
      </w:pPr>
      <w:r w:rsidRPr="00514992">
        <w:rPr>
          <w:sz w:val="24"/>
        </w:rPr>
        <w:t>Les échantillons de salive seront anonymisés. Chaque sujet portera un numéro associé au temps de prélèvement pour chaque échantillon.</w:t>
      </w:r>
    </w:p>
    <w:p w:rsidR="00AC113A" w:rsidRPr="00514992" w:rsidRDefault="00AC113A">
      <w:pPr>
        <w:pStyle w:val="Sousnumrotation"/>
        <w:rPr>
          <w:sz w:val="24"/>
          <w:shd w:val="clear" w:color="auto" w:fill="00FFFF"/>
        </w:rPr>
      </w:pPr>
    </w:p>
    <w:p w:rsidR="00AC113A" w:rsidRDefault="00AC113A">
      <w:pPr>
        <w:pStyle w:val="Sousnumrotation"/>
        <w:ind w:left="0" w:firstLine="0"/>
        <w:rPr>
          <w:sz w:val="24"/>
        </w:rPr>
      </w:pPr>
      <w:r w:rsidRPr="00514992">
        <w:rPr>
          <w:sz w:val="24"/>
        </w:rPr>
        <w:t xml:space="preserve">Les échantillons seront conservés à </w:t>
      </w:r>
      <w:r w:rsidR="00514992" w:rsidRPr="00514992">
        <w:rPr>
          <w:sz w:val="24"/>
        </w:rPr>
        <w:t>-4</w:t>
      </w:r>
      <w:r w:rsidRPr="00514992">
        <w:rPr>
          <w:sz w:val="24"/>
        </w:rPr>
        <w:t xml:space="preserve"> </w:t>
      </w:r>
      <w:r w:rsidR="00514992" w:rsidRPr="00514992">
        <w:rPr>
          <w:sz w:val="24"/>
        </w:rPr>
        <w:t>degrés</w:t>
      </w:r>
      <w:r w:rsidRPr="00514992">
        <w:rPr>
          <w:sz w:val="24"/>
        </w:rPr>
        <w:t xml:space="preserve"> dans un congélateur dédié, prêté gracieusement par le laboratoire de l’hôpital de Mercy.</w:t>
      </w:r>
      <w:r w:rsidR="00E976F1" w:rsidRPr="00514992">
        <w:rPr>
          <w:sz w:val="24"/>
        </w:rPr>
        <w:t xml:space="preserve"> Ils seront ensuite analysés au laboratoire du CHR de Mercy.</w:t>
      </w:r>
    </w:p>
    <w:p w:rsidR="00936D1F" w:rsidRPr="00514992" w:rsidRDefault="00936D1F">
      <w:pPr>
        <w:pStyle w:val="Sousnumrotation"/>
        <w:ind w:left="0" w:firstLine="0"/>
        <w:rPr>
          <w:shd w:val="clear" w:color="auto" w:fill="00FF00"/>
        </w:rPr>
      </w:pPr>
    </w:p>
    <w:p w:rsidR="00AC113A" w:rsidRDefault="00AC113A">
      <w:pPr>
        <w:jc w:val="both"/>
        <w:rPr>
          <w:i/>
          <w:shd w:val="clear" w:color="auto" w:fill="00FF00"/>
        </w:rPr>
      </w:pPr>
    </w:p>
    <w:p w:rsidR="00AC113A" w:rsidRPr="00936D1F" w:rsidRDefault="00936D1F" w:rsidP="00936D1F">
      <w:pPr>
        <w:ind w:left="1800"/>
        <w:jc w:val="both"/>
        <w:rPr>
          <w:b/>
          <w:bCs/>
          <w:u w:val="single"/>
        </w:rPr>
      </w:pPr>
      <w:r w:rsidRPr="00936D1F">
        <w:rPr>
          <w:b/>
          <w:bCs/>
          <w:u w:val="single"/>
        </w:rPr>
        <w:t xml:space="preserve">4.2.3 </w:t>
      </w:r>
      <w:r w:rsidR="00AC113A" w:rsidRPr="00936D1F">
        <w:rPr>
          <w:b/>
          <w:bCs/>
          <w:u w:val="single"/>
        </w:rPr>
        <w:t>R</w:t>
      </w:r>
      <w:r>
        <w:rPr>
          <w:b/>
          <w:bCs/>
          <w:u w:val="single"/>
        </w:rPr>
        <w:t>emplissage des questionnaires d’évaluation du stress</w:t>
      </w:r>
      <w:r w:rsidR="00AC113A" w:rsidRPr="00936D1F">
        <w:rPr>
          <w:b/>
          <w:bCs/>
          <w:u w:val="single"/>
        </w:rPr>
        <w:t xml:space="preserve"> </w:t>
      </w:r>
    </w:p>
    <w:p w:rsidR="00AC113A" w:rsidRDefault="00AC113A">
      <w:pPr>
        <w:jc w:val="both"/>
        <w:rPr>
          <w:i/>
        </w:rPr>
      </w:pPr>
    </w:p>
    <w:p w:rsidR="00AC113A" w:rsidRPr="00514992" w:rsidRDefault="00AC113A">
      <w:pPr>
        <w:jc w:val="both"/>
      </w:pPr>
      <w:r w:rsidRPr="00514992">
        <w:t xml:space="preserve">* SPPN (stress chronique) : il sera complété une seule fois par chaque sujet, au centre 15, le  matin à 10 heures (au moment de la prise de fonction) et avant de commencer les prélèvements de cortisol </w:t>
      </w:r>
      <w:r w:rsidRPr="00514992">
        <w:lastRenderedPageBreak/>
        <w:t>salivaire</w:t>
      </w:r>
      <w:r w:rsidR="00846065" w:rsidRPr="00514992">
        <w:t>.</w:t>
      </w:r>
    </w:p>
    <w:p w:rsidR="00AC113A" w:rsidRPr="00514992" w:rsidRDefault="00AC113A">
      <w:pPr>
        <w:jc w:val="both"/>
      </w:pPr>
      <w:r w:rsidRPr="00514992">
        <w:t>* EVA (stress aigu) : cotation réalisée de façon concomitante à chaque dosage de cortisol. Chaque sujet devra coter son stress sur une échelle de 1 à 10.</w:t>
      </w:r>
    </w:p>
    <w:p w:rsidR="00E976F1" w:rsidRPr="00514992" w:rsidRDefault="00E976F1">
      <w:pPr>
        <w:jc w:val="both"/>
      </w:pPr>
      <w:r w:rsidRPr="00514992">
        <w:t>* NEO PI R (test de personnalité) : il sera complété une seule fois par chaque sujet, au centre 15, sous la surveillance du psychologue du travail du CHR de Mercy.</w:t>
      </w:r>
    </w:p>
    <w:p w:rsidR="00AC113A" w:rsidRDefault="00AC113A">
      <w:pPr>
        <w:jc w:val="both"/>
      </w:pPr>
    </w:p>
    <w:p w:rsidR="00AC113A" w:rsidRDefault="00936D1F" w:rsidP="00936D1F">
      <w:pPr>
        <w:ind w:left="1800"/>
        <w:jc w:val="both"/>
      </w:pPr>
      <w:r w:rsidRPr="00936D1F">
        <w:rPr>
          <w:b/>
          <w:bCs/>
          <w:u w:val="single"/>
        </w:rPr>
        <w:t xml:space="preserve">4.2.4 </w:t>
      </w:r>
      <w:r w:rsidR="00AC113A" w:rsidRPr="00936D1F">
        <w:rPr>
          <w:b/>
          <w:bCs/>
          <w:u w:val="single"/>
        </w:rPr>
        <w:t>A</w:t>
      </w:r>
      <w:r>
        <w:rPr>
          <w:b/>
          <w:bCs/>
          <w:u w:val="single"/>
        </w:rPr>
        <w:t>utres données recueillies</w:t>
      </w:r>
    </w:p>
    <w:p w:rsidR="00936D1F" w:rsidRDefault="00936D1F" w:rsidP="00936D1F">
      <w:pPr>
        <w:ind w:left="1800"/>
        <w:jc w:val="both"/>
      </w:pPr>
    </w:p>
    <w:p w:rsidR="00AC113A" w:rsidRDefault="00AC113A">
      <w:pPr>
        <w:jc w:val="both"/>
        <w:rPr>
          <w:i/>
          <w:shd w:val="clear" w:color="auto" w:fill="FFFF00"/>
        </w:rPr>
      </w:pPr>
      <w:r>
        <w:t>Lors des périodes de réalisation des dosages de cortisol salivaire (soit pendant 2h par sujet), les événements intercurrents seront répertoriés (autres appels, contextes particuliers, …)</w:t>
      </w:r>
    </w:p>
    <w:p w:rsidR="00AC113A" w:rsidRDefault="00AC113A">
      <w:pPr>
        <w:jc w:val="both"/>
        <w:rPr>
          <w:i/>
          <w:shd w:val="clear" w:color="auto" w:fill="FFFF00"/>
        </w:rPr>
      </w:pPr>
    </w:p>
    <w:p w:rsidR="00AC113A" w:rsidRPr="00514992" w:rsidRDefault="00AC113A">
      <w:pPr>
        <w:jc w:val="both"/>
      </w:pPr>
      <w:r w:rsidRPr="00514992">
        <w:t xml:space="preserve">Par ailleurs, lors de chaque appel, la gravité de celui-ci sera évaluée selon la classification suivante pour rechercher une corrélation entre niveau de stress physiologique et gravité de l’appel. </w:t>
      </w:r>
    </w:p>
    <w:p w:rsidR="00AC113A" w:rsidRPr="00514992" w:rsidRDefault="00AC113A">
      <w:pPr>
        <w:jc w:val="both"/>
      </w:pPr>
    </w:p>
    <w:p w:rsidR="00AC113A" w:rsidRPr="00514992" w:rsidRDefault="00AC113A">
      <w:pPr>
        <w:jc w:val="both"/>
      </w:pPr>
      <w:r w:rsidRPr="00514992">
        <w:t>Pour les ARM :</w:t>
      </w:r>
    </w:p>
    <w:p w:rsidR="00AC113A" w:rsidRPr="00514992" w:rsidRDefault="00EE54B7">
      <w:pPr>
        <w:jc w:val="both"/>
      </w:pPr>
      <w:r>
        <w:t>Ils</w:t>
      </w:r>
      <w:r w:rsidRPr="00514992">
        <w:t xml:space="preserve"> </w:t>
      </w:r>
      <w:r w:rsidR="00AC113A" w:rsidRPr="00514992">
        <w:t>appliquent trois niveaux de priorité dans la transmission au médecin régulateur</w:t>
      </w:r>
      <w:r w:rsidR="0044158F" w:rsidRPr="00514992">
        <w:t> :</w:t>
      </w:r>
    </w:p>
    <w:p w:rsidR="00AC113A" w:rsidRPr="00514992" w:rsidRDefault="00AC113A">
      <w:pPr>
        <w:jc w:val="both"/>
      </w:pPr>
    </w:p>
    <w:p w:rsidR="00AC113A" w:rsidRPr="00514992" w:rsidRDefault="00AC113A">
      <w:pPr>
        <w:jc w:val="both"/>
      </w:pPr>
      <w:r w:rsidRPr="00514992">
        <w:t>P0 : déclenchement réflexe d'une équipe SMUR, suivi d'une régulation prioritaire</w:t>
      </w:r>
    </w:p>
    <w:p w:rsidR="00AC113A" w:rsidRPr="00514992" w:rsidRDefault="00AC113A">
      <w:pPr>
        <w:jc w:val="both"/>
      </w:pPr>
      <w:r w:rsidRPr="00514992">
        <w:t>P1 : régulation prioritaire</w:t>
      </w:r>
    </w:p>
    <w:p w:rsidR="00AC113A" w:rsidRPr="00514992" w:rsidRDefault="00AC113A">
      <w:pPr>
        <w:jc w:val="both"/>
      </w:pPr>
      <w:r w:rsidRPr="00514992">
        <w:t>P2 : régulation qui peut être mise en attente, sans risque pour le patient, d'autres régulations étant en cours</w:t>
      </w:r>
    </w:p>
    <w:p w:rsidR="00AC113A" w:rsidRPr="00514992" w:rsidRDefault="00AC113A">
      <w:pPr>
        <w:jc w:val="both"/>
      </w:pPr>
    </w:p>
    <w:p w:rsidR="00AC113A" w:rsidRPr="00514992" w:rsidRDefault="00AC113A">
      <w:pPr>
        <w:jc w:val="both"/>
      </w:pPr>
      <w:r w:rsidRPr="00514992">
        <w:t>Pour les médecins régulateurs :</w:t>
      </w:r>
    </w:p>
    <w:p w:rsidR="00AC113A" w:rsidRPr="00514992" w:rsidRDefault="00AC113A">
      <w:pPr>
        <w:jc w:val="both"/>
      </w:pPr>
      <w:r w:rsidRPr="00514992">
        <w:t>Les médecins régulateurs assument des décisions réparties en quatre niveaux d'urgence</w:t>
      </w:r>
    </w:p>
    <w:p w:rsidR="00AC113A" w:rsidRPr="00514992" w:rsidRDefault="00AC113A">
      <w:pPr>
        <w:jc w:val="both"/>
      </w:pPr>
    </w:p>
    <w:p w:rsidR="00AC113A" w:rsidRPr="00514992" w:rsidRDefault="00AC113A">
      <w:pPr>
        <w:jc w:val="both"/>
      </w:pPr>
      <w:r w:rsidRPr="00514992">
        <w:t>R1 : urgence vitale patente ou latente imposant l'envoi d'un moyen de réanimation (SMUR)</w:t>
      </w:r>
    </w:p>
    <w:p w:rsidR="00AC113A" w:rsidRPr="00514992" w:rsidRDefault="00AC113A">
      <w:pPr>
        <w:jc w:val="both"/>
      </w:pPr>
      <w:r w:rsidRPr="00514992">
        <w:t>R2 : urgence vraie sans urgence vitale nécessitant l'envoi d'un médecin de proximité, d'une ambulance ou d'un VSAV dans un délai contractualisé entre le régulateur, l'effecteur et l'appelant.</w:t>
      </w:r>
    </w:p>
    <w:p w:rsidR="00AC113A" w:rsidRPr="00514992" w:rsidRDefault="00AC113A">
      <w:pPr>
        <w:jc w:val="both"/>
      </w:pPr>
      <w:r w:rsidRPr="00514992">
        <w:t>R3 : recours à la permanence des soins, le délai ne constituant pas un risque en soi ; une prescription médicamenteuse d'attente peut être proposé</w:t>
      </w:r>
      <w:r w:rsidR="0044158F" w:rsidRPr="00514992">
        <w:t>e</w:t>
      </w:r>
    </w:p>
    <w:p w:rsidR="00AC113A" w:rsidRPr="00514992" w:rsidRDefault="00AC113A">
      <w:pPr>
        <w:jc w:val="both"/>
      </w:pPr>
      <w:r w:rsidRPr="00514992">
        <w:t>R4 : conseil médical ou prescription médicamenteuse par téléphone</w:t>
      </w:r>
    </w:p>
    <w:p w:rsidR="00AC113A" w:rsidRPr="00514992" w:rsidRDefault="00AC113A">
      <w:pPr>
        <w:jc w:val="both"/>
      </w:pPr>
    </w:p>
    <w:p w:rsidR="00AC113A" w:rsidRPr="00514992" w:rsidRDefault="00AC113A">
      <w:pPr>
        <w:jc w:val="both"/>
      </w:pPr>
      <w:r w:rsidRPr="00514992">
        <w:t>Pour les ARM bilan :</w:t>
      </w:r>
    </w:p>
    <w:p w:rsidR="00AC113A" w:rsidRPr="00514992" w:rsidRDefault="00AC113A">
      <w:pPr>
        <w:jc w:val="both"/>
      </w:pPr>
      <w:r w:rsidRPr="00514992">
        <w:t>Les ARM appliquent trois niveaux de priorité dans la transmission d'un bilan au médecin régulateur :</w:t>
      </w:r>
    </w:p>
    <w:p w:rsidR="00AC113A" w:rsidRPr="00514992" w:rsidRDefault="00AC113A">
      <w:pPr>
        <w:jc w:val="both"/>
      </w:pPr>
    </w:p>
    <w:p w:rsidR="00AC113A" w:rsidRPr="00514992" w:rsidRDefault="00AC113A">
      <w:pPr>
        <w:jc w:val="both"/>
      </w:pPr>
      <w:r w:rsidRPr="00514992">
        <w:t>B0 : bilan avec des signes de détresse qui n'apparaissent pas lors de l'appel. Cet appel doit être pris en priorité par le médecin régulateur urgentiste</w:t>
      </w:r>
    </w:p>
    <w:p w:rsidR="00AC113A" w:rsidRPr="00514992" w:rsidRDefault="00AC113A">
      <w:pPr>
        <w:jc w:val="both"/>
      </w:pPr>
      <w:r w:rsidRPr="00514992">
        <w:t>B1 : bilan apportant des informations complémentaires non présentes lors de la régulation initiale mais sans signe de détresse ou de gravité</w:t>
      </w:r>
    </w:p>
    <w:p w:rsidR="00AC113A" w:rsidRPr="00514992" w:rsidRDefault="00AC113A">
      <w:pPr>
        <w:jc w:val="both"/>
      </w:pPr>
      <w:r w:rsidRPr="00514992">
        <w:t>B2 : bilan conforme aux données recueillies lors de la régulation</w:t>
      </w:r>
    </w:p>
    <w:p w:rsidR="00AC113A" w:rsidRDefault="00AC113A">
      <w:pPr>
        <w:jc w:val="both"/>
      </w:pPr>
    </w:p>
    <w:p w:rsidR="00AC113A" w:rsidRDefault="00AC113A">
      <w:pPr>
        <w:pStyle w:val="Titre2"/>
        <w:ind w:left="567" w:hanging="141"/>
        <w:jc w:val="both"/>
      </w:pPr>
      <w:r>
        <w:rPr>
          <w:rFonts w:ascii="Times New Roman" w:hAnsi="Times New Roman" w:cs="Times New Roman"/>
          <w:bCs w:val="0"/>
          <w:i w:val="0"/>
          <w:smallCaps/>
          <w:sz w:val="24"/>
          <w:szCs w:val="24"/>
        </w:rPr>
        <w:t>4.3. Description des mesures prises pour réduire et éviter les biais incluant notamment le tirage au sort et les méthodes de mise en insu</w:t>
      </w:r>
    </w:p>
    <w:p w:rsidR="00AC113A" w:rsidRPr="00514992" w:rsidRDefault="00AC113A">
      <w:pPr>
        <w:jc w:val="both"/>
      </w:pPr>
      <w:r w:rsidRPr="00514992">
        <w:t>Cette étude est réalisée en ouvert et ne nécessite pas de tirage au sort.</w:t>
      </w:r>
    </w:p>
    <w:p w:rsidR="00AC113A" w:rsidRPr="00514992" w:rsidRDefault="00AC113A">
      <w:pPr>
        <w:jc w:val="both"/>
      </w:pPr>
      <w:r w:rsidRPr="00514992">
        <w:t>Chaque sujet sera son propre témoin. Les sujets seront évalués dans des conditions expérimentales identiques et propres à chaque corps de métier (ARM ou personnel médical)</w:t>
      </w:r>
      <w:r w:rsidR="0044158F" w:rsidRPr="00514992">
        <w:t>.</w:t>
      </w:r>
    </w:p>
    <w:p w:rsidR="00AC113A" w:rsidRPr="00514992" w:rsidRDefault="00AC113A">
      <w:pPr>
        <w:jc w:val="both"/>
        <w:rPr>
          <w:rFonts w:ascii="Times New (W1)" w:hAnsi="Times New (W1)" w:cs="Times New (W1)"/>
          <w:i/>
          <w:shd w:val="clear" w:color="auto" w:fill="00FFFF"/>
        </w:rPr>
      </w:pPr>
      <w:r w:rsidRPr="00514992">
        <w:t>Cf point 4.2.</w:t>
      </w:r>
    </w:p>
    <w:p w:rsidR="00AC113A" w:rsidRDefault="00AC113A">
      <w:pPr>
        <w:jc w:val="both"/>
        <w:rPr>
          <w:rFonts w:ascii="Times New (W1)" w:hAnsi="Times New (W1)" w:cs="Times New (W1)"/>
          <w:i/>
          <w:shd w:val="clear" w:color="auto" w:fill="00FFFF"/>
        </w:rPr>
      </w:pPr>
    </w:p>
    <w:p w:rsidR="00AC113A" w:rsidRDefault="00AC113A">
      <w:pPr>
        <w:pStyle w:val="Titre2"/>
        <w:ind w:left="426"/>
        <w:jc w:val="both"/>
        <w:rPr>
          <w:color w:val="000080"/>
          <w:sz w:val="24"/>
          <w:szCs w:val="24"/>
        </w:rPr>
      </w:pPr>
      <w:r>
        <w:rPr>
          <w:rFonts w:ascii="Times New (W1)" w:hAnsi="Times New (W1)" w:cs="Times New Roman"/>
          <w:bCs w:val="0"/>
          <w:i w:val="0"/>
          <w:smallCaps/>
          <w:sz w:val="22"/>
          <w:szCs w:val="22"/>
        </w:rPr>
        <w:lastRenderedPageBreak/>
        <w:t xml:space="preserve">4.4. Durée prévue de participation des personnes </w:t>
      </w:r>
    </w:p>
    <w:p w:rsidR="00AC113A" w:rsidRDefault="00AC113A">
      <w:pPr>
        <w:pStyle w:val="prototypeticcorpsdutexte"/>
        <w:numPr>
          <w:ilvl w:val="0"/>
          <w:numId w:val="0"/>
        </w:numPr>
        <w:rPr>
          <w:color w:val="000080"/>
          <w:sz w:val="24"/>
          <w:szCs w:val="24"/>
        </w:rPr>
      </w:pPr>
    </w:p>
    <w:p w:rsidR="00AC113A" w:rsidRPr="00514992" w:rsidRDefault="00AC113A">
      <w:pPr>
        <w:jc w:val="both"/>
        <w:rPr>
          <w:rFonts w:ascii="Times New (W1)" w:hAnsi="Times New (W1)" w:cs="Times New (W1)"/>
        </w:rPr>
      </w:pPr>
      <w:r w:rsidRPr="00514992">
        <w:t xml:space="preserve">Durée de la période d’inclusion : 1 mois </w:t>
      </w:r>
    </w:p>
    <w:p w:rsidR="00AC113A" w:rsidRPr="00514992" w:rsidRDefault="00AC113A">
      <w:pPr>
        <w:jc w:val="both"/>
        <w:rPr>
          <w:rFonts w:ascii="Times New (W1)" w:hAnsi="Times New (W1)" w:cs="Times New (W1)"/>
        </w:rPr>
      </w:pPr>
      <w:r w:rsidRPr="00514992">
        <w:rPr>
          <w:rFonts w:ascii="Times New (W1)" w:hAnsi="Times New (W1)" w:cs="Times New (W1)"/>
        </w:rPr>
        <w:t>Durée de participation de chaque sujet : quatre fois deux heures pour les ARM et deux fois deux heures pour les médecins.</w:t>
      </w:r>
    </w:p>
    <w:p w:rsidR="00AC113A" w:rsidRPr="00514992" w:rsidRDefault="00AC113A">
      <w:pPr>
        <w:jc w:val="both"/>
      </w:pPr>
      <w:r w:rsidRPr="00514992">
        <w:rPr>
          <w:rFonts w:ascii="Times New (W1)" w:hAnsi="Times New (W1)" w:cs="Times New (W1)"/>
        </w:rPr>
        <w:t>ARM</w:t>
      </w:r>
      <w:r w:rsidR="00EE54B7">
        <w:rPr>
          <w:rFonts w:ascii="Times New (W1)" w:hAnsi="Times New (W1)" w:cs="Times New (W1)"/>
        </w:rPr>
        <w:t> :</w:t>
      </w:r>
      <w:r w:rsidRPr="00514992">
        <w:rPr>
          <w:rFonts w:ascii="Times New (W1)" w:hAnsi="Times New (W1)" w:cs="Times New (W1)"/>
        </w:rPr>
        <w:t xml:space="preserve"> 4 fois 8 prélèvements / Médecins : 2 fois 8 prélèvements</w:t>
      </w:r>
    </w:p>
    <w:p w:rsidR="00AC113A" w:rsidRPr="00514992" w:rsidRDefault="00AC113A">
      <w:pPr>
        <w:jc w:val="both"/>
        <w:rPr>
          <w:u w:val="single"/>
        </w:rPr>
      </w:pPr>
      <w:r w:rsidRPr="00514992">
        <w:t>Durée totale de l’étude:</w:t>
      </w:r>
      <w:r w:rsidR="00E976F1" w:rsidRPr="00514992">
        <w:t xml:space="preserve"> 6</w:t>
      </w:r>
      <w:r w:rsidRPr="00514992">
        <w:t xml:space="preserve"> mois</w:t>
      </w:r>
    </w:p>
    <w:p w:rsidR="00AC113A" w:rsidRDefault="00AC113A">
      <w:pPr>
        <w:pStyle w:val="Sousnumrotation"/>
        <w:rPr>
          <w:i/>
          <w:sz w:val="24"/>
          <w:u w:val="single"/>
        </w:rPr>
      </w:pPr>
    </w:p>
    <w:p w:rsidR="00AC113A" w:rsidRDefault="00AC113A">
      <w:pPr>
        <w:ind w:left="567"/>
        <w:rPr>
          <w:b/>
          <w:smallCaps/>
        </w:rPr>
      </w:pPr>
      <w:r>
        <w:rPr>
          <w:rFonts w:cs="Tahoma"/>
          <w:b/>
          <w:smallCaps/>
          <w:szCs w:val="22"/>
        </w:rPr>
        <w:t>4.5. Identification de toutes les données à recueillir directement dans les cahiers d'observation, qui seront considérées comme des données source.</w:t>
      </w:r>
    </w:p>
    <w:p w:rsidR="00AC113A" w:rsidRDefault="00AC113A">
      <w:pPr>
        <w:rPr>
          <w:b/>
          <w:smallCaps/>
        </w:rPr>
      </w:pPr>
    </w:p>
    <w:p w:rsidR="00AC113A" w:rsidRDefault="00AC113A">
      <w:pPr>
        <w:rPr>
          <w:b/>
          <w:smallCaps/>
        </w:rPr>
      </w:pPr>
      <w:r>
        <w:t>Non applicable</w:t>
      </w:r>
    </w:p>
    <w:p w:rsidR="00AC113A" w:rsidRDefault="00AC113A">
      <w:pPr>
        <w:tabs>
          <w:tab w:val="left" w:pos="206"/>
        </w:tabs>
        <w:ind w:left="-77"/>
        <w:jc w:val="both"/>
        <w:rPr>
          <w:b/>
          <w:i/>
          <w:caps/>
        </w:rPr>
      </w:pPr>
    </w:p>
    <w:p w:rsidR="00AC113A" w:rsidRDefault="00AC113A">
      <w:pPr>
        <w:rPr>
          <w:b/>
          <w:caps/>
        </w:rPr>
      </w:pPr>
    </w:p>
    <w:p w:rsidR="00AC113A" w:rsidRDefault="00AC113A">
      <w:pPr>
        <w:shd w:val="clear" w:color="auto" w:fill="CCFFFF"/>
      </w:pPr>
      <w:r>
        <w:rPr>
          <w:b/>
          <w:caps/>
        </w:rPr>
        <w:t>5. Sélection et exclusion des personnes de la recherche :</w:t>
      </w:r>
    </w:p>
    <w:p w:rsidR="00AC113A" w:rsidRDefault="00AC113A">
      <w:pPr>
        <w:jc w:val="both"/>
      </w:pPr>
    </w:p>
    <w:p w:rsidR="00AC113A" w:rsidRDefault="00AC113A">
      <w:pPr>
        <w:ind w:firstLine="708"/>
        <w:jc w:val="both"/>
        <w:rPr>
          <w:b/>
          <w:smallCaps/>
        </w:rPr>
      </w:pPr>
      <w:r>
        <w:rPr>
          <w:b/>
          <w:smallCaps/>
        </w:rPr>
        <w:t>5.1. Critères d'inclusion</w:t>
      </w:r>
    </w:p>
    <w:p w:rsidR="00AC113A" w:rsidRDefault="00AC113A">
      <w:pPr>
        <w:ind w:firstLine="708"/>
        <w:jc w:val="both"/>
      </w:pPr>
      <w:r>
        <w:rPr>
          <w:b/>
          <w:smallCaps/>
        </w:rPr>
        <w:t xml:space="preserve"> </w:t>
      </w:r>
    </w:p>
    <w:p w:rsidR="00AC113A" w:rsidRDefault="00AC113A">
      <w:pPr>
        <w:numPr>
          <w:ilvl w:val="0"/>
          <w:numId w:val="16"/>
        </w:numPr>
      </w:pPr>
      <w:r>
        <w:t>Personnel médical et paramédical du centre 15 (assistants de régulation médicale, médecins urgentistes, médecins libéraux)</w:t>
      </w:r>
    </w:p>
    <w:p w:rsidR="00AC113A" w:rsidRDefault="00AC113A">
      <w:pPr>
        <w:numPr>
          <w:ilvl w:val="0"/>
          <w:numId w:val="16"/>
        </w:numPr>
      </w:pPr>
      <w:r>
        <w:t>Ayant reçu une information sur l’étude</w:t>
      </w:r>
    </w:p>
    <w:p w:rsidR="00AC113A" w:rsidRDefault="00AC113A">
      <w:pPr>
        <w:numPr>
          <w:ilvl w:val="0"/>
          <w:numId w:val="16"/>
        </w:numPr>
      </w:pPr>
      <w:r>
        <w:t>Ayant signé un consentement de participation à l’étude</w:t>
      </w:r>
    </w:p>
    <w:p w:rsidR="00AC113A" w:rsidRDefault="00AC113A">
      <w:pPr>
        <w:numPr>
          <w:ilvl w:val="0"/>
          <w:numId w:val="16"/>
        </w:numPr>
        <w:rPr>
          <w:rFonts w:ascii="Times New (W1)" w:hAnsi="Times New (W1)" w:cs="Times New (W1)"/>
          <w:caps/>
        </w:rPr>
      </w:pPr>
      <w:r>
        <w:t>Affiliation obligatoire à un régime de sécurité sociale</w:t>
      </w:r>
    </w:p>
    <w:p w:rsidR="00AC113A" w:rsidRDefault="00AC113A">
      <w:pPr>
        <w:jc w:val="both"/>
        <w:rPr>
          <w:rFonts w:ascii="Times New (W1)" w:hAnsi="Times New (W1)" w:cs="Times New (W1)"/>
          <w:caps/>
        </w:rPr>
      </w:pPr>
    </w:p>
    <w:p w:rsidR="00AC113A" w:rsidRDefault="00AC113A">
      <w:pPr>
        <w:jc w:val="both"/>
        <w:rPr>
          <w:rFonts w:ascii="Times New (W1)" w:hAnsi="Times New (W1)" w:cs="Times New (W1)"/>
          <w:i/>
          <w:caps/>
        </w:rPr>
      </w:pPr>
    </w:p>
    <w:p w:rsidR="00AC113A" w:rsidRPr="00D207E2" w:rsidRDefault="00AC113A">
      <w:pPr>
        <w:ind w:firstLine="708"/>
        <w:jc w:val="both"/>
        <w:rPr>
          <w:rFonts w:ascii="Times New (W1)" w:hAnsi="Times New (W1)" w:cs="Times New (W1)"/>
          <w:b/>
          <w:smallCaps/>
        </w:rPr>
      </w:pPr>
      <w:r w:rsidRPr="00D207E2">
        <w:rPr>
          <w:rFonts w:ascii="Times New (W1)" w:hAnsi="Times New (W1)" w:cs="Times New (W1)"/>
          <w:b/>
          <w:smallCaps/>
        </w:rPr>
        <w:t xml:space="preserve">5.2. Critères de non-inclusion </w:t>
      </w:r>
    </w:p>
    <w:p w:rsidR="00AC113A" w:rsidRDefault="00AC113A">
      <w:pPr>
        <w:ind w:firstLine="708"/>
        <w:jc w:val="both"/>
        <w:rPr>
          <w:rFonts w:ascii="Times New (W1)" w:hAnsi="Times New (W1)" w:cs="Times New (W1)"/>
          <w:caps/>
        </w:rPr>
      </w:pPr>
    </w:p>
    <w:p w:rsidR="00AC113A" w:rsidRDefault="00AC113A">
      <w:pPr>
        <w:numPr>
          <w:ilvl w:val="0"/>
          <w:numId w:val="16"/>
        </w:numPr>
      </w:pPr>
      <w:r>
        <w:t>Ethylisme chronique</w:t>
      </w:r>
    </w:p>
    <w:p w:rsidR="00AC113A" w:rsidRDefault="00AC113A">
      <w:pPr>
        <w:numPr>
          <w:ilvl w:val="0"/>
          <w:numId w:val="16"/>
        </w:numPr>
      </w:pPr>
      <w:r>
        <w:t>Les femmes sous traitement oestroprogestatifs</w:t>
      </w:r>
    </w:p>
    <w:p w:rsidR="00514992" w:rsidRDefault="00514992">
      <w:pPr>
        <w:numPr>
          <w:ilvl w:val="0"/>
          <w:numId w:val="16"/>
        </w:numPr>
      </w:pPr>
      <w:r>
        <w:t>Femmes enceintes</w:t>
      </w:r>
    </w:p>
    <w:p w:rsidR="00AC113A" w:rsidRDefault="00AC113A">
      <w:pPr>
        <w:numPr>
          <w:ilvl w:val="0"/>
          <w:numId w:val="16"/>
        </w:numPr>
      </w:pPr>
      <w:r>
        <w:t>Les sportifs de haut niveau</w:t>
      </w:r>
    </w:p>
    <w:p w:rsidR="00AC113A" w:rsidRDefault="00AC113A">
      <w:pPr>
        <w:numPr>
          <w:ilvl w:val="0"/>
          <w:numId w:val="16"/>
        </w:numPr>
      </w:pPr>
      <w:r>
        <w:t>Les personnes sous traitement médicamenteux à base de stéroïdes</w:t>
      </w:r>
    </w:p>
    <w:p w:rsidR="00AC113A" w:rsidRDefault="00AC113A">
      <w:pPr>
        <w:numPr>
          <w:ilvl w:val="0"/>
          <w:numId w:val="16"/>
        </w:numPr>
      </w:pPr>
      <w:r>
        <w:t>Les personnes suivies pour désordres psychiatriques (en particulier la dépression)</w:t>
      </w:r>
    </w:p>
    <w:p w:rsidR="00AC113A" w:rsidRDefault="00AC113A">
      <w:pPr>
        <w:numPr>
          <w:ilvl w:val="0"/>
          <w:numId w:val="16"/>
        </w:numPr>
      </w:pPr>
      <w:r>
        <w:t>Fièvre le jour du prélèvement</w:t>
      </w:r>
    </w:p>
    <w:p w:rsidR="00AC113A" w:rsidRDefault="00D179C2">
      <w:pPr>
        <w:numPr>
          <w:ilvl w:val="0"/>
          <w:numId w:val="16"/>
        </w:numPr>
        <w:rPr>
          <w:rFonts w:ascii="Times New (W1)" w:hAnsi="Times New (W1)" w:cs="Times New (W1)"/>
          <w:caps/>
        </w:rPr>
      </w:pPr>
      <w:r w:rsidRPr="00264D00">
        <w:t>Participants volontaires</w:t>
      </w:r>
      <w:r w:rsidR="00AC113A">
        <w:t xml:space="preserve"> porteurs de pathologies endocriniennes</w:t>
      </w:r>
    </w:p>
    <w:p w:rsidR="00AC113A" w:rsidRDefault="00AC113A">
      <w:pPr>
        <w:jc w:val="both"/>
        <w:rPr>
          <w:rFonts w:ascii="Times New (W1)" w:hAnsi="Times New (W1)" w:cs="Times New (W1)"/>
          <w:caps/>
        </w:rPr>
      </w:pPr>
    </w:p>
    <w:p w:rsidR="00AC113A" w:rsidRDefault="00AC113A"/>
    <w:p w:rsidR="00AC113A" w:rsidRDefault="00AC113A">
      <w:pPr>
        <w:ind w:left="708"/>
        <w:jc w:val="both"/>
        <w:rPr>
          <w:rFonts w:ascii="Wingdings" w:hAnsi="Wingdings" w:cs="Wingdings"/>
          <w:i/>
        </w:rPr>
      </w:pPr>
    </w:p>
    <w:p w:rsidR="00AC113A" w:rsidRPr="00D207E2" w:rsidRDefault="00AC113A" w:rsidP="00D207E2">
      <w:pPr>
        <w:ind w:firstLine="708"/>
        <w:jc w:val="both"/>
        <w:rPr>
          <w:rFonts w:ascii="Times New (W1)" w:hAnsi="Times New (W1)" w:cs="Times New (W1)"/>
          <w:b/>
          <w:smallCaps/>
        </w:rPr>
      </w:pPr>
      <w:r w:rsidRPr="00D207E2">
        <w:rPr>
          <w:rFonts w:ascii="Times New (W1)" w:hAnsi="Times New (W1)" w:cs="Times New (W1)"/>
          <w:b/>
          <w:smallCaps/>
        </w:rPr>
        <w:t>5.3. Procédure d'arrêt prématuré de la recherche ou d'exclusion (ARRÊT DU SUIVI)</w:t>
      </w:r>
    </w:p>
    <w:p w:rsidR="00AC113A" w:rsidRDefault="00AC113A">
      <w:pPr>
        <w:ind w:firstLine="708"/>
        <w:jc w:val="both"/>
      </w:pPr>
    </w:p>
    <w:p w:rsidR="00AC113A" w:rsidRDefault="00AC113A">
      <w:pPr>
        <w:jc w:val="both"/>
      </w:pPr>
      <w:r>
        <w:rPr>
          <w:rFonts w:ascii="Times New (W1)" w:hAnsi="Times New (W1)" w:cs="Times New (W1)"/>
          <w:b/>
          <w:iCs/>
          <w:smallCaps/>
        </w:rPr>
        <w:t>Critères et modalités d’arrêt du suivi</w:t>
      </w:r>
    </w:p>
    <w:p w:rsidR="00AC113A" w:rsidRDefault="00AC113A"/>
    <w:p w:rsidR="00AC113A" w:rsidRDefault="00AC113A">
      <w:pPr>
        <w:pStyle w:val="NormalWeb"/>
        <w:numPr>
          <w:ilvl w:val="0"/>
          <w:numId w:val="14"/>
        </w:numPr>
        <w:spacing w:before="0" w:after="0"/>
        <w:jc w:val="both"/>
        <w:rPr>
          <w:rFonts w:ascii="Times New Roman" w:hAnsi="Times New Roman" w:cs="Times New Roman"/>
          <w:sz w:val="24"/>
          <w:szCs w:val="24"/>
        </w:rPr>
      </w:pPr>
      <w:r>
        <w:rPr>
          <w:rFonts w:ascii="Times New Roman" w:hAnsi="Times New Roman" w:cs="Times New Roman"/>
          <w:bCs/>
          <w:i/>
          <w:smallCaps/>
          <w:sz w:val="24"/>
          <w:szCs w:val="24"/>
        </w:rPr>
        <w:t>d'arrêt définitif</w:t>
      </w:r>
    </w:p>
    <w:p w:rsidR="00AC113A" w:rsidRDefault="00AC113A">
      <w:pPr>
        <w:pStyle w:val="NormalWeb"/>
        <w:spacing w:before="0" w:after="0"/>
        <w:ind w:left="709"/>
        <w:jc w:val="both"/>
      </w:pPr>
      <w:r>
        <w:rPr>
          <w:rFonts w:ascii="Times New Roman" w:hAnsi="Times New Roman" w:cs="Times New Roman"/>
          <w:sz w:val="24"/>
          <w:szCs w:val="24"/>
        </w:rPr>
        <w:t>A la demande du sujet</w:t>
      </w:r>
    </w:p>
    <w:p w:rsidR="00AC113A" w:rsidRDefault="00AC113A">
      <w:pPr>
        <w:jc w:val="both"/>
      </w:pPr>
    </w:p>
    <w:p w:rsidR="00AC113A" w:rsidRDefault="00AC113A">
      <w:pPr>
        <w:numPr>
          <w:ilvl w:val="0"/>
          <w:numId w:val="14"/>
        </w:numPr>
        <w:jc w:val="both"/>
        <w:rPr>
          <w:rFonts w:cs="Times New Roman"/>
        </w:rPr>
      </w:pPr>
      <w:r>
        <w:rPr>
          <w:bCs/>
          <w:i/>
          <w:smallCaps/>
        </w:rPr>
        <w:t>d'arrêt  temporaire</w:t>
      </w:r>
    </w:p>
    <w:p w:rsidR="00AC113A" w:rsidRDefault="00AC113A">
      <w:pPr>
        <w:pStyle w:val="NormalWeb"/>
        <w:spacing w:before="0" w:after="0"/>
        <w:ind w:left="567"/>
        <w:jc w:val="both"/>
      </w:pPr>
      <w:r>
        <w:rPr>
          <w:rFonts w:ascii="Times New Roman" w:hAnsi="Times New Roman" w:cs="Times New Roman"/>
          <w:sz w:val="24"/>
          <w:szCs w:val="24"/>
        </w:rPr>
        <w:t>Non applicable</w:t>
      </w:r>
    </w:p>
    <w:p w:rsidR="00AC113A" w:rsidRDefault="00AC113A">
      <w:pPr>
        <w:jc w:val="both"/>
      </w:pPr>
    </w:p>
    <w:p w:rsidR="00AC113A" w:rsidRDefault="00AC113A">
      <w:pPr>
        <w:jc w:val="both"/>
        <w:rPr>
          <w:b/>
          <w:i/>
        </w:rPr>
      </w:pPr>
    </w:p>
    <w:p w:rsidR="00AC113A" w:rsidRPr="00D207E2" w:rsidRDefault="00AC113A">
      <w:pPr>
        <w:ind w:firstLine="708"/>
        <w:jc w:val="both"/>
        <w:rPr>
          <w:rFonts w:ascii="Times New (W1)" w:hAnsi="Times New (W1)" w:cs="Times New (W1)"/>
          <w:b/>
          <w:smallCaps/>
        </w:rPr>
      </w:pPr>
      <w:r w:rsidRPr="00D207E2">
        <w:rPr>
          <w:rFonts w:ascii="Times New (W1)" w:hAnsi="Times New (W1)" w:cs="Times New (W1)"/>
          <w:b/>
          <w:smallCaps/>
        </w:rPr>
        <w:t>5.4. Modalités de recrutement</w:t>
      </w:r>
    </w:p>
    <w:p w:rsidR="00AC113A" w:rsidRDefault="00AC113A">
      <w:pPr>
        <w:jc w:val="both"/>
        <w:rPr>
          <w:rFonts w:ascii="Times New (W1)" w:hAnsi="Times New (W1)" w:cs="Times New (W1)"/>
        </w:rPr>
      </w:pPr>
    </w:p>
    <w:p w:rsidR="00AC113A" w:rsidRDefault="00AC113A">
      <w:pPr>
        <w:jc w:val="both"/>
      </w:pPr>
      <w:r>
        <w:lastRenderedPageBreak/>
        <w:t>Le personnel médical et paramédical du centre 15 du CHR METZ-THIONVILLE (permanenciers, médecins urgentistes, médecins libéraux) sera informé de la réalisation de cette étude. Chaque personnel sera sollicité pour participer à cette étude dans la mesure où il remplit les critères d’éligibilité.</w:t>
      </w:r>
    </w:p>
    <w:p w:rsidR="00AC113A" w:rsidRDefault="00AC113A">
      <w:pPr>
        <w:jc w:val="both"/>
      </w:pPr>
    </w:p>
    <w:p w:rsidR="00AC113A" w:rsidRPr="007E7407" w:rsidRDefault="007E7407">
      <w:pPr>
        <w:jc w:val="both"/>
        <w:rPr>
          <w:rFonts w:ascii="Times New (W1)" w:hAnsi="Times New (W1)" w:cs="Times New (W1)"/>
          <w:i/>
        </w:rPr>
      </w:pPr>
      <w:r w:rsidRPr="007E7407">
        <w:rPr>
          <w:rFonts w:ascii="Times New (W1)" w:hAnsi="Times New (W1)" w:cs="Times New (W1)"/>
          <w:i/>
        </w:rPr>
        <w:t>S’il</w:t>
      </w:r>
      <w:r w:rsidR="00AC113A" w:rsidRPr="007E7407">
        <w:rPr>
          <w:rFonts w:ascii="Times New (W1)" w:hAnsi="Times New (W1)" w:cs="Times New (W1)"/>
          <w:i/>
        </w:rPr>
        <w:t xml:space="preserve"> y a plus de </w:t>
      </w:r>
      <w:r w:rsidR="00514992">
        <w:rPr>
          <w:rFonts w:ascii="Times New (W1)" w:hAnsi="Times New (W1)" w:cs="Times New (W1)"/>
          <w:i/>
        </w:rPr>
        <w:t>20</w:t>
      </w:r>
      <w:r w:rsidR="00514992" w:rsidRPr="007E7407">
        <w:rPr>
          <w:rFonts w:ascii="Times New (W1)" w:hAnsi="Times New (W1)" w:cs="Times New (W1)"/>
          <w:i/>
        </w:rPr>
        <w:t xml:space="preserve"> </w:t>
      </w:r>
      <w:r w:rsidR="00AC113A" w:rsidRPr="007E7407">
        <w:rPr>
          <w:rFonts w:ascii="Times New (W1)" w:hAnsi="Times New (W1)" w:cs="Times New (W1)"/>
          <w:i/>
        </w:rPr>
        <w:t xml:space="preserve">volontaires pour participer à notre étude, un tirage au sort sera </w:t>
      </w:r>
      <w:r w:rsidRPr="007E7407">
        <w:rPr>
          <w:rFonts w:ascii="Times New (W1)" w:hAnsi="Times New (W1)" w:cs="Times New (W1)"/>
          <w:i/>
        </w:rPr>
        <w:t>réalisé</w:t>
      </w:r>
      <w:r w:rsidR="00AC113A" w:rsidRPr="007E7407">
        <w:rPr>
          <w:rFonts w:ascii="Times New (W1)" w:hAnsi="Times New (W1)" w:cs="Times New (W1)"/>
          <w:i/>
        </w:rPr>
        <w:t xml:space="preserve"> pour désigner les participants.</w:t>
      </w:r>
    </w:p>
    <w:p w:rsidR="00AC113A" w:rsidRDefault="00AC113A">
      <w:pPr>
        <w:jc w:val="both"/>
        <w:rPr>
          <w:rFonts w:ascii="Times New (W1)" w:hAnsi="Times New (W1)" w:cs="Times New (W1)"/>
          <w:i/>
        </w:rPr>
      </w:pPr>
    </w:p>
    <w:p w:rsidR="00AC113A" w:rsidRDefault="00AC113A">
      <w:pPr>
        <w:jc w:val="both"/>
      </w:pPr>
    </w:p>
    <w:p w:rsidR="00AC113A" w:rsidRDefault="00AC113A">
      <w:pPr>
        <w:shd w:val="clear" w:color="auto" w:fill="CCFFFF"/>
        <w:jc w:val="both"/>
        <w:rPr>
          <w:b/>
          <w:caps/>
        </w:rPr>
      </w:pPr>
      <w:r>
        <w:rPr>
          <w:b/>
          <w:caps/>
        </w:rPr>
        <w:t xml:space="preserve">6. DESCRIPTION DE L’EXPOSITION </w:t>
      </w:r>
    </w:p>
    <w:p w:rsidR="00AC113A" w:rsidRDefault="00AC113A">
      <w:pPr>
        <w:jc w:val="both"/>
        <w:rPr>
          <w:b/>
          <w:caps/>
        </w:rPr>
      </w:pPr>
    </w:p>
    <w:p w:rsidR="00AC113A" w:rsidRDefault="00AC113A">
      <w:pPr>
        <w:ind w:firstLine="708"/>
        <w:jc w:val="both"/>
        <w:rPr>
          <w:iCs/>
        </w:rPr>
      </w:pPr>
      <w:r>
        <w:rPr>
          <w:rFonts w:ascii="Times New (W1)" w:hAnsi="Times New (W1)" w:cs="Times New (W1)"/>
          <w:i/>
        </w:rPr>
        <w:t>Voir point 4.2</w:t>
      </w:r>
    </w:p>
    <w:p w:rsidR="00AC113A" w:rsidRDefault="00AC113A">
      <w:pPr>
        <w:pStyle w:val="Corpsdetexte"/>
        <w:spacing w:line="100" w:lineRule="atLeast"/>
      </w:pPr>
    </w:p>
    <w:p w:rsidR="00AC113A" w:rsidRDefault="00AC113A">
      <w:pPr>
        <w:shd w:val="clear" w:color="auto" w:fill="CCFFFF"/>
        <w:jc w:val="both"/>
        <w:rPr>
          <w:rFonts w:cs="Times New Roman"/>
        </w:rPr>
      </w:pPr>
      <w:r>
        <w:rPr>
          <w:b/>
          <w:caps/>
        </w:rPr>
        <w:t>7. Evaluation de la sécurité :</w:t>
      </w:r>
    </w:p>
    <w:p w:rsidR="00AC113A" w:rsidRDefault="00AC113A">
      <w:pPr>
        <w:pStyle w:val="a"/>
        <w:spacing w:before="0" w:line="100" w:lineRule="atLeast"/>
        <w:ind w:left="0" w:right="318"/>
        <w:rPr>
          <w:rFonts w:ascii="Times New Roman" w:hAnsi="Times New Roman" w:cs="Times New Roman"/>
          <w:sz w:val="24"/>
          <w:szCs w:val="24"/>
        </w:rPr>
      </w:pPr>
    </w:p>
    <w:p w:rsidR="00AC113A" w:rsidRDefault="00AC113A">
      <w:pPr>
        <w:pStyle w:val="a"/>
        <w:spacing w:before="0" w:line="100" w:lineRule="atLeast"/>
        <w:ind w:left="0" w:right="318"/>
        <w:rPr>
          <w:rFonts w:ascii="Times New Roman" w:hAnsi="Times New Roman" w:cs="Times New Roman"/>
          <w:sz w:val="24"/>
          <w:szCs w:val="24"/>
        </w:rPr>
      </w:pPr>
    </w:p>
    <w:p w:rsidR="00AC113A" w:rsidRDefault="00AC113A">
      <w:pPr>
        <w:pStyle w:val="a"/>
        <w:spacing w:before="0" w:line="100" w:lineRule="atLeast"/>
        <w:ind w:left="0" w:right="318" w:firstLine="708"/>
      </w:pPr>
      <w:r>
        <w:rPr>
          <w:rFonts w:ascii="Times New (W1)" w:hAnsi="Times New (W1)" w:cs="Times New (W1)"/>
          <w:b/>
          <w:caps/>
          <w:sz w:val="24"/>
          <w:szCs w:val="24"/>
        </w:rPr>
        <w:t xml:space="preserve">7.1. </w:t>
      </w:r>
      <w:r>
        <w:rPr>
          <w:rFonts w:ascii="Times New (W1)" w:hAnsi="Times New (W1)" w:cs="Times New (W1)"/>
          <w:b/>
          <w:smallCaps/>
          <w:sz w:val="24"/>
          <w:szCs w:val="24"/>
        </w:rPr>
        <w:t>Description des paramètres d’évaluation de la sécurité</w:t>
      </w:r>
    </w:p>
    <w:p w:rsidR="00AC113A" w:rsidRDefault="00AC113A">
      <w:pPr>
        <w:jc w:val="both"/>
      </w:pPr>
    </w:p>
    <w:p w:rsidR="00AC113A" w:rsidRDefault="00AC113A">
      <w:pPr>
        <w:jc w:val="both"/>
      </w:pPr>
      <w:r>
        <w:t>Les seules contraintes pour les sujets participants à cette étude sont les dosages de cortisol salivaire qui sont effectués via une salivette, à savoir un petit coton à mâcher par les sujets afin de l’imbiber de salive (cf. Annexe 1)</w:t>
      </w:r>
      <w:r w:rsidR="0044158F">
        <w:t xml:space="preserve">. </w:t>
      </w:r>
    </w:p>
    <w:p w:rsidR="00AC113A" w:rsidRDefault="00AC113A">
      <w:pPr>
        <w:jc w:val="both"/>
      </w:pPr>
    </w:p>
    <w:p w:rsidR="00AC113A" w:rsidRDefault="00AC113A">
      <w:pPr>
        <w:jc w:val="both"/>
      </w:pPr>
      <w:r>
        <w:t>Dans le cadre de cette étude, les seuls risques envisageables sont ceux liés à l’utilisation des salivettes, à savoir une éventuelle intolérance au coton utilisé ou un mésusage de la salivette</w:t>
      </w:r>
      <w:r w:rsidR="0044158F">
        <w:t>.</w:t>
      </w:r>
    </w:p>
    <w:p w:rsidR="00AC113A" w:rsidRDefault="00AC113A">
      <w:pPr>
        <w:jc w:val="both"/>
      </w:pPr>
    </w:p>
    <w:p w:rsidR="00AC113A" w:rsidRDefault="00AC113A">
      <w:pPr>
        <w:pStyle w:val="a"/>
        <w:spacing w:before="0" w:line="100" w:lineRule="atLeast"/>
        <w:ind w:left="0" w:right="318"/>
        <w:rPr>
          <w:rFonts w:ascii="Times New (W1)" w:hAnsi="Times New (W1)" w:cs="Times New (W1)"/>
          <w:b/>
          <w:caps/>
          <w:sz w:val="24"/>
          <w:szCs w:val="24"/>
        </w:rPr>
      </w:pPr>
    </w:p>
    <w:p w:rsidR="00AC113A" w:rsidRDefault="00AC113A">
      <w:pPr>
        <w:pStyle w:val="a"/>
        <w:spacing w:before="0" w:line="100" w:lineRule="atLeast"/>
        <w:ind w:left="708" w:right="318"/>
        <w:rPr>
          <w:i/>
        </w:rPr>
      </w:pPr>
      <w:r>
        <w:rPr>
          <w:rFonts w:ascii="Times New (W1)" w:hAnsi="Times New (W1)" w:cs="Times New (W1)"/>
          <w:b/>
          <w:caps/>
          <w:sz w:val="24"/>
          <w:szCs w:val="24"/>
        </w:rPr>
        <w:t xml:space="preserve">7.2. </w:t>
      </w:r>
      <w:r>
        <w:rPr>
          <w:rFonts w:ascii="Times New (W1)" w:hAnsi="Times New (W1)" w:cs="Times New (W1)"/>
          <w:b/>
          <w:smallCaps/>
          <w:sz w:val="24"/>
          <w:szCs w:val="24"/>
        </w:rPr>
        <w:t>Méthodes et calendrier prévus pour mesurer, recueillir et analyser les paramètres d’évaluation de la sécurité</w:t>
      </w:r>
    </w:p>
    <w:p w:rsidR="00AC113A" w:rsidRDefault="00AC113A">
      <w:pPr>
        <w:rPr>
          <w:i/>
        </w:rPr>
      </w:pPr>
    </w:p>
    <w:p w:rsidR="00AC113A" w:rsidRDefault="00AC113A">
      <w:pPr>
        <w:pStyle w:val="a"/>
        <w:spacing w:line="100" w:lineRule="atLeast"/>
        <w:ind w:left="0" w:right="318"/>
      </w:pPr>
      <w:r>
        <w:rPr>
          <w:rFonts w:ascii="Times New Roman" w:hAnsi="Times New Roman" w:cs="Times New Roman"/>
        </w:rPr>
        <w:t>Les sujets participants à l’étude seront interrogés sur les risques cités au point 7.1</w:t>
      </w:r>
    </w:p>
    <w:p w:rsidR="00AC113A" w:rsidRDefault="00AC113A">
      <w:pPr>
        <w:pStyle w:val="a"/>
        <w:spacing w:before="0" w:line="100" w:lineRule="atLeast"/>
        <w:ind w:left="0" w:right="318"/>
        <w:rPr>
          <w:rFonts w:ascii="Times New Roman" w:hAnsi="Times New Roman" w:cs="Times New Roman"/>
          <w:sz w:val="24"/>
          <w:szCs w:val="24"/>
        </w:rPr>
      </w:pPr>
    </w:p>
    <w:p w:rsidR="00AC113A" w:rsidRDefault="00AC113A">
      <w:pPr>
        <w:pStyle w:val="a"/>
        <w:spacing w:before="0" w:line="100" w:lineRule="atLeast"/>
        <w:ind w:left="0" w:right="318"/>
        <w:rPr>
          <w:rFonts w:ascii="Times New Roman" w:hAnsi="Times New Roman" w:cs="Times New Roman"/>
          <w:sz w:val="24"/>
          <w:szCs w:val="24"/>
        </w:rPr>
      </w:pPr>
    </w:p>
    <w:p w:rsidR="00AC113A" w:rsidRDefault="00AC113A">
      <w:pPr>
        <w:pStyle w:val="a"/>
        <w:spacing w:before="0" w:line="100" w:lineRule="atLeast"/>
        <w:ind w:left="708" w:right="318"/>
        <w:rPr>
          <w:rFonts w:ascii="Times New (W1)" w:hAnsi="Times New (W1)" w:cs="Times New (W1)"/>
          <w:b/>
          <w:smallCaps/>
          <w:sz w:val="24"/>
          <w:szCs w:val="24"/>
        </w:rPr>
      </w:pPr>
      <w:r>
        <w:rPr>
          <w:rFonts w:ascii="Times New (W1)" w:hAnsi="Times New (W1)" w:cs="Times New (W1)"/>
          <w:b/>
          <w:caps/>
          <w:sz w:val="24"/>
          <w:szCs w:val="24"/>
        </w:rPr>
        <w:t xml:space="preserve">7.3 </w:t>
      </w:r>
      <w:r>
        <w:rPr>
          <w:rFonts w:ascii="Times New (W1)" w:hAnsi="Times New (W1)" w:cs="Times New (W1)"/>
          <w:b/>
          <w:smallCaps/>
          <w:sz w:val="24"/>
          <w:szCs w:val="24"/>
        </w:rPr>
        <w:t xml:space="preserve">Procédures mises en place en vue de l’enregistrement et de la notification des évènements indésirables </w:t>
      </w:r>
    </w:p>
    <w:p w:rsidR="00936D1F" w:rsidRDefault="00936D1F">
      <w:pPr>
        <w:pStyle w:val="a"/>
        <w:spacing w:before="0" w:line="100" w:lineRule="atLeast"/>
        <w:ind w:left="708" w:right="318"/>
        <w:rPr>
          <w:rFonts w:ascii="Times New Roman" w:hAnsi="Times New Roman" w:cs="Times New Roman"/>
          <w:sz w:val="24"/>
          <w:szCs w:val="24"/>
        </w:rPr>
      </w:pPr>
    </w:p>
    <w:p w:rsidR="00AC113A" w:rsidRDefault="00AC113A" w:rsidP="00D207E2">
      <w:pPr>
        <w:pStyle w:val="ListParagraph"/>
        <w:suppressAutoHyphens w:val="0"/>
        <w:spacing w:after="0" w:line="100" w:lineRule="atLeast"/>
        <w:ind w:left="1788"/>
        <w:jc w:val="both"/>
      </w:pPr>
      <w:r w:rsidRPr="00D207E2">
        <w:rPr>
          <w:b/>
          <w:sz w:val="24"/>
          <w:szCs w:val="24"/>
          <w:u w:val="single"/>
        </w:rPr>
        <w:t>7</w:t>
      </w:r>
      <w:r w:rsidR="00D207E2" w:rsidRPr="00D207E2">
        <w:rPr>
          <w:b/>
          <w:sz w:val="24"/>
          <w:szCs w:val="24"/>
          <w:u w:val="single"/>
        </w:rPr>
        <w:t>.</w:t>
      </w:r>
      <w:r w:rsidRPr="00D207E2">
        <w:rPr>
          <w:b/>
          <w:sz w:val="24"/>
          <w:szCs w:val="24"/>
          <w:u w:val="single"/>
        </w:rPr>
        <w:t>3</w:t>
      </w:r>
      <w:r w:rsidR="00D207E2" w:rsidRPr="00D207E2">
        <w:rPr>
          <w:b/>
          <w:sz w:val="24"/>
          <w:szCs w:val="24"/>
          <w:u w:val="single"/>
        </w:rPr>
        <w:t>.</w:t>
      </w:r>
      <w:r w:rsidRPr="00D207E2">
        <w:rPr>
          <w:b/>
          <w:sz w:val="24"/>
          <w:szCs w:val="24"/>
          <w:u w:val="single"/>
        </w:rPr>
        <w:t>1</w:t>
      </w:r>
      <w:r w:rsidR="00D207E2">
        <w:rPr>
          <w:b/>
          <w:sz w:val="24"/>
          <w:szCs w:val="24"/>
          <w:u w:val="single"/>
        </w:rPr>
        <w:t xml:space="preserve"> </w:t>
      </w:r>
      <w:r w:rsidRPr="00D207E2">
        <w:rPr>
          <w:b/>
          <w:sz w:val="24"/>
          <w:szCs w:val="24"/>
          <w:u w:val="single"/>
        </w:rPr>
        <w:t>Définitions</w:t>
      </w:r>
    </w:p>
    <w:p w:rsidR="00AC113A" w:rsidRDefault="00AC113A">
      <w:pPr>
        <w:spacing w:before="240" w:line="240" w:lineRule="atLeast"/>
        <w:ind w:left="142" w:right="318"/>
        <w:jc w:val="both"/>
      </w:pPr>
      <w:r>
        <w:t xml:space="preserve">Un </w:t>
      </w:r>
      <w:r>
        <w:rPr>
          <w:rStyle w:val="lev"/>
        </w:rPr>
        <w:t xml:space="preserve">événement indésirable </w:t>
      </w:r>
      <w:r>
        <w:t>est une manifestation nocive survenant chez une personne qui se prête à une recherche biomédicale, que cette manifestation soit liée ou non à la recherche ou au produit sur lequel porte cette recherche.</w:t>
      </w:r>
    </w:p>
    <w:p w:rsidR="00AC113A" w:rsidRDefault="00AC113A">
      <w:pPr>
        <w:spacing w:before="240" w:line="240" w:lineRule="atLeast"/>
        <w:ind w:left="142" w:right="318"/>
        <w:jc w:val="both"/>
        <w:rPr>
          <w:b/>
        </w:rPr>
      </w:pPr>
      <w:r>
        <w:t xml:space="preserve">Un </w:t>
      </w:r>
      <w:r>
        <w:rPr>
          <w:b/>
          <w:bCs/>
        </w:rPr>
        <w:t>effet indésirable</w:t>
      </w:r>
      <w:r>
        <w:t xml:space="preserve"> est une réaction nocive et non voulue liée à un médicament expérimental, se produisant à la posologie normalement utilisée chez l’homme.</w:t>
      </w:r>
    </w:p>
    <w:p w:rsidR="00AC113A" w:rsidRDefault="00AC113A">
      <w:pPr>
        <w:spacing w:before="240" w:line="240" w:lineRule="atLeast"/>
        <w:ind w:left="142" w:right="318"/>
        <w:jc w:val="both"/>
        <w:rPr>
          <w:b/>
        </w:rPr>
      </w:pPr>
      <w:r>
        <w:rPr>
          <w:b/>
        </w:rPr>
        <w:t>Un évènement indésirable grave ou effet indésirable grave</w:t>
      </w:r>
      <w:r>
        <w:t xml:space="preserve"> </w:t>
      </w:r>
      <w:r>
        <w:rPr>
          <w:b/>
          <w:bCs/>
        </w:rPr>
        <w:t>(EIG)</w:t>
      </w:r>
      <w:r>
        <w:t xml:space="preserve"> est un évènement ou un effet ayant pu contribuer au décès du patient, à la mise en jeu de son pronostic vital, à son hospitalisation ou à la prolongation de son hospitalisation, à une incapacité ou à un handicap important ou durable, ou se traduire par une anomalie ou une malformation congénitale</w:t>
      </w:r>
    </w:p>
    <w:p w:rsidR="00AC113A" w:rsidRDefault="00AC113A">
      <w:pPr>
        <w:spacing w:before="240" w:line="240" w:lineRule="atLeast"/>
        <w:ind w:left="142" w:right="318"/>
        <w:jc w:val="both"/>
      </w:pPr>
      <w:r>
        <w:rPr>
          <w:b/>
        </w:rPr>
        <w:t>La liste des effets indésirables attendus</w:t>
      </w:r>
      <w:r>
        <w:t xml:space="preserve"> liés à l’étude est établie à partir du document de référence.</w:t>
      </w:r>
    </w:p>
    <w:p w:rsidR="00AC113A" w:rsidRDefault="00AC113A">
      <w:pPr>
        <w:spacing w:before="240" w:line="240" w:lineRule="atLeast"/>
        <w:ind w:left="142" w:right="318"/>
        <w:jc w:val="both"/>
        <w:rPr>
          <w:b/>
        </w:rPr>
      </w:pPr>
      <w:r>
        <w:lastRenderedPageBreak/>
        <w:t>Un EIG est inattendu (EIGI) lorsqu’il ne figure pas sur cette liste.</w:t>
      </w:r>
    </w:p>
    <w:p w:rsidR="00AC113A" w:rsidRDefault="00AC113A">
      <w:pPr>
        <w:spacing w:before="240" w:line="240" w:lineRule="atLeast"/>
        <w:ind w:left="142" w:right="318"/>
        <w:jc w:val="both"/>
      </w:pPr>
      <w:r>
        <w:rPr>
          <w:b/>
        </w:rPr>
        <w:t>Un fait nouveau</w:t>
      </w:r>
      <w:r>
        <w:t xml:space="preserve"> peut être : fréquence inattendue d’un EIG attendu, événement indésirable grave lié à la procédure de l’essai, efficacité insuffisante dans les maladies à pronostic vital, d</w:t>
      </w:r>
      <w:r>
        <w:rPr>
          <w:bCs/>
        </w:rPr>
        <w:t>onnées non cliniques.</w:t>
      </w:r>
    </w:p>
    <w:p w:rsidR="00AC113A" w:rsidRDefault="00AC113A">
      <w:pPr>
        <w:jc w:val="both"/>
      </w:pPr>
    </w:p>
    <w:p w:rsidR="00AC113A" w:rsidRDefault="00AC113A" w:rsidP="00D207E2">
      <w:pPr>
        <w:pStyle w:val="ListParagraph"/>
        <w:suppressAutoHyphens w:val="0"/>
        <w:spacing w:after="0" w:line="100" w:lineRule="atLeast"/>
        <w:ind w:left="1788"/>
        <w:jc w:val="both"/>
      </w:pPr>
      <w:r w:rsidRPr="00D207E2">
        <w:rPr>
          <w:b/>
          <w:sz w:val="24"/>
          <w:szCs w:val="24"/>
          <w:u w:val="single"/>
        </w:rPr>
        <w:t>7</w:t>
      </w:r>
      <w:r w:rsidR="00D207E2" w:rsidRPr="00D207E2">
        <w:rPr>
          <w:b/>
          <w:sz w:val="24"/>
          <w:szCs w:val="24"/>
          <w:u w:val="single"/>
        </w:rPr>
        <w:t>.</w:t>
      </w:r>
      <w:r w:rsidRPr="00D207E2">
        <w:rPr>
          <w:b/>
          <w:sz w:val="24"/>
          <w:szCs w:val="24"/>
          <w:u w:val="single"/>
        </w:rPr>
        <w:t>3</w:t>
      </w:r>
      <w:r w:rsidR="00D207E2" w:rsidRPr="00D207E2">
        <w:rPr>
          <w:b/>
          <w:sz w:val="24"/>
          <w:szCs w:val="24"/>
          <w:u w:val="single"/>
        </w:rPr>
        <w:t>.</w:t>
      </w:r>
      <w:r w:rsidRPr="00D207E2">
        <w:rPr>
          <w:b/>
          <w:sz w:val="24"/>
          <w:szCs w:val="24"/>
          <w:u w:val="single"/>
        </w:rPr>
        <w:t>2</w:t>
      </w:r>
      <w:r w:rsidR="00D207E2">
        <w:rPr>
          <w:b/>
          <w:sz w:val="24"/>
          <w:szCs w:val="24"/>
          <w:u w:val="single"/>
        </w:rPr>
        <w:t xml:space="preserve"> </w:t>
      </w:r>
      <w:r w:rsidRPr="00D207E2">
        <w:rPr>
          <w:b/>
          <w:sz w:val="24"/>
          <w:szCs w:val="24"/>
          <w:u w:val="single"/>
        </w:rPr>
        <w:t>Document de référence permettant de définir le caractère attendu d’un EIG</w:t>
      </w:r>
      <w:r>
        <w:t xml:space="preserve"> </w:t>
      </w:r>
    </w:p>
    <w:p w:rsidR="00AC113A" w:rsidRDefault="00AC113A">
      <w:pPr>
        <w:jc w:val="both"/>
      </w:pPr>
    </w:p>
    <w:p w:rsidR="00AC113A" w:rsidRDefault="00AC113A">
      <w:pPr>
        <w:jc w:val="both"/>
      </w:pPr>
      <w:r>
        <w:rPr>
          <w:i/>
        </w:rPr>
        <w:t>Non applicable dans le cadre de cette étude</w:t>
      </w:r>
    </w:p>
    <w:p w:rsidR="00AC113A" w:rsidRDefault="00AC113A">
      <w:pPr>
        <w:jc w:val="both"/>
      </w:pPr>
    </w:p>
    <w:p w:rsidR="00AC113A" w:rsidRDefault="00AC113A" w:rsidP="00D207E2">
      <w:pPr>
        <w:pStyle w:val="ListParagraph"/>
        <w:suppressAutoHyphens w:val="0"/>
        <w:spacing w:after="0" w:line="100" w:lineRule="atLeast"/>
        <w:ind w:left="1788"/>
        <w:jc w:val="both"/>
        <w:rPr>
          <w:i/>
        </w:rPr>
      </w:pPr>
      <w:r w:rsidRPr="00D207E2">
        <w:rPr>
          <w:b/>
          <w:sz w:val="24"/>
          <w:szCs w:val="24"/>
          <w:u w:val="single"/>
        </w:rPr>
        <w:t>7</w:t>
      </w:r>
      <w:r w:rsidR="00D207E2" w:rsidRPr="00D207E2">
        <w:rPr>
          <w:b/>
          <w:sz w:val="24"/>
          <w:szCs w:val="24"/>
          <w:u w:val="single"/>
        </w:rPr>
        <w:t>.</w:t>
      </w:r>
      <w:r w:rsidRPr="00D207E2">
        <w:rPr>
          <w:b/>
          <w:sz w:val="24"/>
          <w:szCs w:val="24"/>
          <w:u w:val="single"/>
        </w:rPr>
        <w:t>3</w:t>
      </w:r>
      <w:r w:rsidR="00D207E2" w:rsidRPr="00D207E2">
        <w:rPr>
          <w:b/>
          <w:sz w:val="24"/>
          <w:szCs w:val="24"/>
          <w:u w:val="single"/>
        </w:rPr>
        <w:t>.</w:t>
      </w:r>
      <w:r w:rsidRPr="00D207E2">
        <w:rPr>
          <w:b/>
          <w:sz w:val="24"/>
          <w:szCs w:val="24"/>
          <w:u w:val="single"/>
        </w:rPr>
        <w:t>3</w:t>
      </w:r>
      <w:r w:rsidR="00D207E2">
        <w:rPr>
          <w:b/>
          <w:sz w:val="24"/>
          <w:szCs w:val="24"/>
          <w:u w:val="single"/>
        </w:rPr>
        <w:t xml:space="preserve"> </w:t>
      </w:r>
      <w:r w:rsidRPr="00D207E2">
        <w:rPr>
          <w:b/>
          <w:sz w:val="24"/>
          <w:szCs w:val="24"/>
          <w:u w:val="single"/>
        </w:rPr>
        <w:t>Liste des effets indésirables attendus</w:t>
      </w:r>
    </w:p>
    <w:p w:rsidR="00AC113A" w:rsidRDefault="00AC113A">
      <w:pPr>
        <w:jc w:val="both"/>
        <w:rPr>
          <w:i/>
        </w:rPr>
      </w:pPr>
    </w:p>
    <w:p w:rsidR="00AC113A" w:rsidRDefault="00AC113A">
      <w:pPr>
        <w:jc w:val="both"/>
        <w:rPr>
          <w:i/>
        </w:rPr>
      </w:pPr>
      <w:r>
        <w:rPr>
          <w:i/>
        </w:rPr>
        <w:t>Non applicable dans le cadre de cette étude</w:t>
      </w:r>
    </w:p>
    <w:p w:rsidR="00AC113A" w:rsidRDefault="00AC113A">
      <w:pPr>
        <w:jc w:val="both"/>
      </w:pPr>
    </w:p>
    <w:p w:rsidR="00AC113A" w:rsidRDefault="00AC113A" w:rsidP="00D207E2">
      <w:pPr>
        <w:pStyle w:val="ListParagraph"/>
        <w:suppressAutoHyphens w:val="0"/>
        <w:spacing w:after="0" w:line="100" w:lineRule="atLeast"/>
        <w:ind w:left="1788"/>
        <w:jc w:val="both"/>
      </w:pPr>
      <w:r w:rsidRPr="00D207E2">
        <w:rPr>
          <w:b/>
          <w:sz w:val="24"/>
          <w:szCs w:val="24"/>
          <w:u w:val="single"/>
        </w:rPr>
        <w:t>7</w:t>
      </w:r>
      <w:r w:rsidR="00D207E2" w:rsidRPr="00D207E2">
        <w:rPr>
          <w:b/>
          <w:sz w:val="24"/>
          <w:szCs w:val="24"/>
          <w:u w:val="single"/>
        </w:rPr>
        <w:t>.3.</w:t>
      </w:r>
      <w:r w:rsidRPr="00D207E2">
        <w:rPr>
          <w:b/>
          <w:sz w:val="24"/>
          <w:szCs w:val="24"/>
          <w:u w:val="single"/>
        </w:rPr>
        <w:t>4</w:t>
      </w:r>
      <w:r w:rsidR="00D207E2">
        <w:rPr>
          <w:b/>
          <w:sz w:val="24"/>
          <w:szCs w:val="24"/>
          <w:u w:val="single"/>
        </w:rPr>
        <w:t xml:space="preserve"> </w:t>
      </w:r>
      <w:r w:rsidRPr="00D207E2">
        <w:rPr>
          <w:b/>
          <w:sz w:val="24"/>
          <w:szCs w:val="24"/>
          <w:u w:val="single"/>
        </w:rPr>
        <w:t>Transmission des EIG et faits nouveaux</w:t>
      </w:r>
    </w:p>
    <w:p w:rsidR="00AC113A" w:rsidRDefault="00AC113A">
      <w:pPr>
        <w:jc w:val="both"/>
      </w:pPr>
    </w:p>
    <w:p w:rsidR="00AC113A" w:rsidRDefault="00AC113A">
      <w:pPr>
        <w:jc w:val="both"/>
        <w:rPr>
          <w:rFonts w:cs="Times New Roman"/>
        </w:rPr>
      </w:pPr>
      <w:r>
        <w:t>Dès qu’un investigateur prend connaissance d’un EIG ou d’un fait nouveau, il le déclare sans délai au promoteur en faxant la fiche de déclaration d’EIG</w:t>
      </w:r>
      <w:r w:rsidR="00E5764F">
        <w:t>.</w:t>
      </w:r>
    </w:p>
    <w:p w:rsidR="00AC113A" w:rsidRDefault="00AC113A">
      <w:pPr>
        <w:pStyle w:val="ListParagraph"/>
        <w:numPr>
          <w:ilvl w:val="0"/>
          <w:numId w:val="17"/>
        </w:numPr>
        <w:spacing w:after="0" w:line="100" w:lineRule="atLeast"/>
        <w:ind w:left="0" w:firstLine="0"/>
        <w:jc w:val="both"/>
      </w:pPr>
      <w:r>
        <w:rPr>
          <w:rFonts w:ascii="Times New Roman" w:hAnsi="Times New Roman" w:cs="Times New Roman"/>
          <w:sz w:val="24"/>
          <w:szCs w:val="24"/>
        </w:rPr>
        <w:t xml:space="preserve">S’il s’agit d’un effet indésirable grave inattendu (EIGI) ou si c’est un fait nouveau, le promoteur entre en contact avec l’investigateur pour rédiger un rapport initial qui sera transmis à l’ANSM, au CPP, à l’investigateur principal dans les 7 jours en cas de décès ou de mise en jeu du pronostic vital, sinon dans les 15 jours. </w:t>
      </w:r>
    </w:p>
    <w:p w:rsidR="00AC113A" w:rsidRDefault="00AC113A">
      <w:pPr>
        <w:jc w:val="both"/>
        <w:rPr>
          <w:rFonts w:cs="Times New Roman"/>
        </w:rPr>
      </w:pPr>
      <w:r>
        <w:t xml:space="preserve">Lorsque l’évènement n’est pas résolu à la date d’envoi du fax, l’investigateur est tenu d’envoyer un rapport complémentaire afin de documenter l’évolution ou de réactualiser les données manquantes. </w:t>
      </w:r>
    </w:p>
    <w:p w:rsidR="00AC113A" w:rsidRDefault="00AC113A">
      <w:pPr>
        <w:pStyle w:val="ListParagraph"/>
        <w:numPr>
          <w:ilvl w:val="0"/>
          <w:numId w:val="18"/>
        </w:numPr>
        <w:spacing w:after="0" w:line="100" w:lineRule="atLeast"/>
        <w:ind w:left="0" w:firstLine="0"/>
        <w:jc w:val="both"/>
      </w:pPr>
      <w:r>
        <w:rPr>
          <w:rFonts w:ascii="Times New Roman" w:hAnsi="Times New Roman" w:cs="Times New Roman"/>
          <w:sz w:val="24"/>
          <w:szCs w:val="24"/>
        </w:rPr>
        <w:t>S’il s’agit d’un effet indésirable grave attendu, il sera colligé par le promoteur en vue de la rédaction des rapports annuels de sécurité.</w:t>
      </w:r>
    </w:p>
    <w:p w:rsidR="00AC113A" w:rsidRDefault="00AC113A">
      <w:pPr>
        <w:jc w:val="both"/>
      </w:pPr>
    </w:p>
    <w:p w:rsidR="00AC113A" w:rsidRPr="00D207E2" w:rsidRDefault="00AC113A" w:rsidP="00D207E2">
      <w:pPr>
        <w:pStyle w:val="ListParagraph"/>
        <w:suppressAutoHyphens w:val="0"/>
        <w:spacing w:after="0" w:line="100" w:lineRule="atLeast"/>
        <w:ind w:left="1788"/>
        <w:jc w:val="both"/>
        <w:rPr>
          <w:b/>
          <w:sz w:val="24"/>
          <w:szCs w:val="24"/>
          <w:u w:val="single"/>
        </w:rPr>
      </w:pPr>
      <w:r w:rsidRPr="00D207E2">
        <w:rPr>
          <w:b/>
          <w:sz w:val="24"/>
          <w:szCs w:val="24"/>
          <w:u w:val="single"/>
        </w:rPr>
        <w:t>7</w:t>
      </w:r>
      <w:r w:rsidR="00D207E2" w:rsidRPr="00D207E2">
        <w:rPr>
          <w:b/>
          <w:sz w:val="24"/>
          <w:szCs w:val="24"/>
          <w:u w:val="single"/>
        </w:rPr>
        <w:t>.</w:t>
      </w:r>
      <w:r w:rsidRPr="00D207E2">
        <w:rPr>
          <w:b/>
          <w:sz w:val="24"/>
          <w:szCs w:val="24"/>
          <w:u w:val="single"/>
        </w:rPr>
        <w:t>3</w:t>
      </w:r>
      <w:r w:rsidR="00D207E2" w:rsidRPr="00D207E2">
        <w:rPr>
          <w:b/>
          <w:sz w:val="24"/>
          <w:szCs w:val="24"/>
          <w:u w:val="single"/>
        </w:rPr>
        <w:t>.</w:t>
      </w:r>
      <w:r w:rsidRPr="00D207E2">
        <w:rPr>
          <w:b/>
          <w:sz w:val="24"/>
          <w:szCs w:val="24"/>
          <w:u w:val="single"/>
        </w:rPr>
        <w:t>5</w:t>
      </w:r>
      <w:r w:rsidR="00D207E2">
        <w:rPr>
          <w:b/>
          <w:sz w:val="24"/>
          <w:szCs w:val="24"/>
          <w:u w:val="single"/>
        </w:rPr>
        <w:t xml:space="preserve"> </w:t>
      </w:r>
      <w:r w:rsidRPr="00D207E2">
        <w:rPr>
          <w:b/>
          <w:sz w:val="24"/>
          <w:szCs w:val="24"/>
          <w:u w:val="single"/>
        </w:rPr>
        <w:t>Transmission des effets indésirables non graves</w:t>
      </w:r>
    </w:p>
    <w:p w:rsidR="00AC113A" w:rsidRPr="00D207E2" w:rsidRDefault="00AC113A" w:rsidP="00D207E2">
      <w:pPr>
        <w:pStyle w:val="ListParagraph"/>
        <w:suppressAutoHyphens w:val="0"/>
        <w:spacing w:after="0" w:line="100" w:lineRule="atLeast"/>
        <w:ind w:left="1788"/>
        <w:jc w:val="both"/>
        <w:rPr>
          <w:b/>
          <w:sz w:val="24"/>
          <w:szCs w:val="24"/>
          <w:u w:val="single"/>
        </w:rPr>
      </w:pPr>
    </w:p>
    <w:p w:rsidR="00AC113A" w:rsidRDefault="00AC113A">
      <w:pPr>
        <w:pStyle w:val="a"/>
        <w:spacing w:before="0" w:line="100" w:lineRule="atLeast"/>
        <w:ind w:left="0" w:right="0"/>
        <w:rPr>
          <w:rFonts w:ascii="Times New Roman" w:hAnsi="Times New Roman" w:cs="Times New Roman"/>
          <w:sz w:val="24"/>
          <w:szCs w:val="24"/>
        </w:rPr>
      </w:pPr>
      <w:r>
        <w:rPr>
          <w:rFonts w:ascii="Times New Roman" w:hAnsi="Times New Roman" w:cs="Times New Roman"/>
          <w:sz w:val="24"/>
          <w:szCs w:val="24"/>
        </w:rPr>
        <w:t>Ils seront décrits succinctement par l’investigateur sur la fiche récapitulative dédiée à cet effet dans le cahier d’observation</w:t>
      </w:r>
      <w:r w:rsidR="00E5764F">
        <w:rPr>
          <w:rFonts w:ascii="Times New Roman" w:hAnsi="Times New Roman" w:cs="Times New Roman"/>
          <w:sz w:val="24"/>
          <w:szCs w:val="24"/>
        </w:rPr>
        <w:t>.</w:t>
      </w:r>
    </w:p>
    <w:p w:rsidR="00936D1F" w:rsidRDefault="00936D1F">
      <w:pPr>
        <w:pStyle w:val="a"/>
        <w:spacing w:before="0" w:line="100" w:lineRule="atLeast"/>
        <w:ind w:left="0" w:right="0"/>
        <w:rPr>
          <w:rFonts w:ascii="Times New Roman" w:hAnsi="Times New Roman" w:cs="Times New Roman"/>
          <w:sz w:val="24"/>
          <w:szCs w:val="24"/>
        </w:rPr>
      </w:pPr>
    </w:p>
    <w:p w:rsidR="00AC113A" w:rsidRDefault="00AC113A">
      <w:pPr>
        <w:pStyle w:val="a"/>
        <w:spacing w:before="0" w:line="100" w:lineRule="atLeast"/>
        <w:ind w:left="0" w:right="318"/>
        <w:rPr>
          <w:rFonts w:ascii="Times New Roman" w:hAnsi="Times New Roman" w:cs="Times New Roman"/>
          <w:b/>
          <w:sz w:val="24"/>
          <w:szCs w:val="24"/>
        </w:rPr>
      </w:pPr>
    </w:p>
    <w:p w:rsidR="00AC113A" w:rsidRDefault="00AC113A">
      <w:pPr>
        <w:pStyle w:val="a"/>
        <w:spacing w:before="0" w:line="100" w:lineRule="atLeast"/>
        <w:ind w:left="708" w:right="318"/>
        <w:rPr>
          <w:rFonts w:ascii="Times New Roman" w:hAnsi="Times New Roman" w:cs="Times New Roman"/>
          <w:b/>
          <w:sz w:val="24"/>
          <w:szCs w:val="24"/>
        </w:rPr>
      </w:pPr>
      <w:r>
        <w:rPr>
          <w:rFonts w:ascii="Times New (W1)" w:hAnsi="Times New (W1)" w:cs="Times New (W1)"/>
          <w:b/>
          <w:smallCaps/>
          <w:sz w:val="24"/>
          <w:szCs w:val="24"/>
        </w:rPr>
        <w:t>7.4. Modalités et durée de suivi des personnes suite à la survenue d’évènements indésirables</w:t>
      </w:r>
    </w:p>
    <w:p w:rsidR="00AC113A" w:rsidRDefault="00AC113A">
      <w:pPr>
        <w:pStyle w:val="a"/>
        <w:spacing w:before="0" w:line="100" w:lineRule="atLeast"/>
        <w:ind w:left="0" w:right="318"/>
        <w:rPr>
          <w:rFonts w:ascii="Times New Roman" w:hAnsi="Times New Roman" w:cs="Times New Roman"/>
          <w:b/>
          <w:sz w:val="24"/>
          <w:szCs w:val="24"/>
        </w:rPr>
      </w:pPr>
    </w:p>
    <w:p w:rsidR="00AC113A" w:rsidRDefault="00AC113A">
      <w:pPr>
        <w:pStyle w:val="a"/>
        <w:spacing w:before="0" w:line="100" w:lineRule="atLeast"/>
        <w:ind w:left="0" w:right="0"/>
      </w:pPr>
      <w:r>
        <w:rPr>
          <w:rFonts w:ascii="Times New Roman" w:hAnsi="Times New Roman" w:cs="Times New Roman"/>
          <w:sz w:val="24"/>
          <w:szCs w:val="24"/>
        </w:rPr>
        <w:t>Lorsque un évènement indésirable grave persiste, y compris après la fin de l’étude, l’investigateur suivra le patient jusqu’à ce que l’évènement soit considéré comme résolu et transmettra les données de suivi au promoteur</w:t>
      </w:r>
      <w:r>
        <w:rPr>
          <w:rFonts w:ascii="Times New Roman" w:hAnsi="Times New Roman" w:cs="Times New Roman"/>
          <w:b/>
          <w:sz w:val="24"/>
          <w:szCs w:val="24"/>
        </w:rPr>
        <w:t>.</w:t>
      </w:r>
    </w:p>
    <w:p w:rsidR="00AC113A" w:rsidRDefault="00AC113A">
      <w:pPr>
        <w:jc w:val="both"/>
      </w:pPr>
    </w:p>
    <w:p w:rsidR="00AC113A" w:rsidRDefault="00AC113A">
      <w:pPr>
        <w:pStyle w:val="NormalWeb"/>
        <w:ind w:firstLine="708"/>
        <w:rPr>
          <w:rFonts w:cs="Tahoma"/>
          <w:b/>
          <w:smallCaps/>
        </w:rPr>
      </w:pPr>
      <w:r>
        <w:rPr>
          <w:rFonts w:ascii="Times New (W1)" w:hAnsi="Times New (W1)" w:cs="Times New (W1)"/>
          <w:b/>
          <w:smallCaps/>
          <w:sz w:val="24"/>
          <w:szCs w:val="24"/>
        </w:rPr>
        <w:t xml:space="preserve">7.5. </w:t>
      </w:r>
      <w:r>
        <w:rPr>
          <w:rFonts w:ascii="Times New (W1)" w:hAnsi="Times New (W1)" w:cs="Times New Roman"/>
          <w:b/>
          <w:smallCaps/>
          <w:sz w:val="24"/>
          <w:szCs w:val="24"/>
        </w:rPr>
        <w:t>Comités spécifiques de la recherche (variable selon les protocoles)</w:t>
      </w:r>
    </w:p>
    <w:p w:rsidR="00AC113A" w:rsidRDefault="00D207E2">
      <w:pPr>
        <w:pStyle w:val="Corpsdetexte"/>
      </w:pPr>
      <w:r>
        <w:rPr>
          <w:rFonts w:cs="Tahoma"/>
          <w:b/>
          <w:smallCaps/>
        </w:rPr>
        <w:tab/>
      </w:r>
      <w:r w:rsidR="00AC113A">
        <w:rPr>
          <w:rFonts w:cs="Tahoma"/>
          <w:b/>
          <w:smallCaps/>
        </w:rPr>
        <w:t>Comité de pilotage</w:t>
      </w:r>
    </w:p>
    <w:p w:rsidR="00AC113A" w:rsidRDefault="00AC113A">
      <w:pPr>
        <w:ind w:left="426"/>
        <w:jc w:val="both"/>
      </w:pPr>
      <w:r>
        <w:t>Il sera constitué des initiateurs cliniciens du projet, du biostatisticien en charge du projet, des représentants du promoteur.</w:t>
      </w:r>
    </w:p>
    <w:p w:rsidR="00AC113A" w:rsidRDefault="00AC113A">
      <w:pPr>
        <w:ind w:left="426"/>
        <w:jc w:val="both"/>
      </w:pPr>
    </w:p>
    <w:p w:rsidR="00AC113A" w:rsidRDefault="00AC113A">
      <w:pPr>
        <w:ind w:left="426"/>
        <w:jc w:val="both"/>
      </w:pPr>
      <w:r>
        <w:t xml:space="preserve">Il définira l'organisation générale et le déroulement de la recherche et coordonnera les informations. </w:t>
      </w:r>
    </w:p>
    <w:p w:rsidR="00AC113A" w:rsidRDefault="00AC113A">
      <w:pPr>
        <w:ind w:left="426"/>
        <w:jc w:val="both"/>
      </w:pPr>
      <w:r>
        <w:t xml:space="preserve">Il déterminera initialement la méthodologie et décidera en cours de recherche des conduites à tenir dans les cas imprévus, surveillera le déroulement de la recherche en particulier sur le plan </w:t>
      </w:r>
      <w:r>
        <w:lastRenderedPageBreak/>
        <w:t>de la tolérance et des évènements indésirables.</w:t>
      </w:r>
    </w:p>
    <w:p w:rsidR="00936D1F" w:rsidRDefault="00936D1F">
      <w:pPr>
        <w:ind w:left="426"/>
        <w:jc w:val="both"/>
        <w:rPr>
          <w:rFonts w:cs="Times New Roman"/>
        </w:rPr>
      </w:pPr>
    </w:p>
    <w:p w:rsidR="00AC113A" w:rsidRDefault="00AC113A">
      <w:pPr>
        <w:pStyle w:val="a"/>
        <w:spacing w:before="0" w:line="100" w:lineRule="atLeast"/>
        <w:ind w:left="0" w:right="318"/>
        <w:rPr>
          <w:rFonts w:ascii="Times New Roman" w:hAnsi="Times New Roman" w:cs="Times New Roman"/>
          <w:sz w:val="24"/>
          <w:szCs w:val="24"/>
        </w:rPr>
      </w:pPr>
    </w:p>
    <w:p w:rsidR="00AC113A" w:rsidRDefault="00AC113A">
      <w:pPr>
        <w:ind w:firstLine="708"/>
        <w:rPr>
          <w:b/>
        </w:rPr>
      </w:pPr>
      <w:r>
        <w:rPr>
          <w:b/>
        </w:rPr>
        <w:t xml:space="preserve">7.6 </w:t>
      </w:r>
      <w:r>
        <w:rPr>
          <w:rFonts w:ascii="Times New (W1)" w:hAnsi="Times New (W1)" w:cs="Times New (W1)"/>
          <w:b/>
          <w:smallCaps/>
        </w:rPr>
        <w:t>Rapports de sécurité</w:t>
      </w:r>
    </w:p>
    <w:p w:rsidR="00AC113A" w:rsidRDefault="00AC113A">
      <w:pPr>
        <w:rPr>
          <w:b/>
        </w:rPr>
      </w:pPr>
    </w:p>
    <w:p w:rsidR="00AC113A" w:rsidRDefault="00AC113A">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Rapports annuels de sécurité : le promoteur rédige les rapports annuels de sécurité et les transmet à l’ANSM, au CPP et à l’investigateur principal. L’investigateur principal transmettra au promoteur toutes les données nécessaires à la rédaction de ce rapport.</w:t>
      </w:r>
    </w:p>
    <w:p w:rsidR="00AC113A" w:rsidRDefault="00AC113A">
      <w:pPr>
        <w:pStyle w:val="ListParagraph"/>
        <w:numPr>
          <w:ilvl w:val="0"/>
          <w:numId w:val="19"/>
        </w:numPr>
        <w:jc w:val="both"/>
      </w:pPr>
      <w:r>
        <w:rPr>
          <w:rFonts w:ascii="Times New Roman" w:hAnsi="Times New Roman" w:cs="Times New Roman"/>
          <w:sz w:val="24"/>
          <w:szCs w:val="24"/>
        </w:rPr>
        <w:t>Rapport final : il est rédigé par le promoteur et l’investigateur principal dans un délai d’un an après la fin de l’étude. Tous les investigateurs sont informés des résultats de l’étude. Un résumé est adressé à l’ANSM par le promoteur.</w:t>
      </w:r>
    </w:p>
    <w:p w:rsidR="00AC113A" w:rsidRDefault="00AC113A">
      <w:pPr>
        <w:jc w:val="both"/>
      </w:pPr>
    </w:p>
    <w:p w:rsidR="00AC113A" w:rsidRDefault="00AC113A">
      <w:pPr>
        <w:shd w:val="clear" w:color="auto" w:fill="CCFFFF"/>
        <w:jc w:val="both"/>
        <w:rPr>
          <w:b/>
          <w:caps/>
        </w:rPr>
      </w:pPr>
      <w:r>
        <w:rPr>
          <w:b/>
          <w:caps/>
        </w:rPr>
        <w:t>8. Statistiques</w:t>
      </w:r>
    </w:p>
    <w:p w:rsidR="00AC113A" w:rsidRDefault="00AC113A">
      <w:pPr>
        <w:jc w:val="both"/>
        <w:rPr>
          <w:b/>
          <w:caps/>
        </w:rPr>
      </w:pPr>
    </w:p>
    <w:p w:rsidR="00AC113A" w:rsidRDefault="00AC113A">
      <w:pPr>
        <w:ind w:left="708"/>
        <w:jc w:val="both"/>
        <w:rPr>
          <w:rFonts w:ascii="Times New (W1)" w:hAnsi="Times New (W1)" w:cs="Times New (W1)"/>
          <w:b/>
          <w:smallCaps/>
        </w:rPr>
      </w:pPr>
      <w:r>
        <w:rPr>
          <w:rFonts w:ascii="Times New (W1)" w:hAnsi="Times New (W1)" w:cs="Times New (W1)"/>
          <w:b/>
          <w:caps/>
        </w:rPr>
        <w:t xml:space="preserve">8.1. </w:t>
      </w:r>
      <w:r>
        <w:rPr>
          <w:rFonts w:ascii="Times New (W1)" w:hAnsi="Times New (W1)" w:cs="Times New (W1)"/>
          <w:b/>
          <w:smallCaps/>
        </w:rPr>
        <w:t xml:space="preserve">description des méthodes statistiques prévues, y compris du calendrier </w:t>
      </w:r>
    </w:p>
    <w:p w:rsidR="00AC113A" w:rsidRDefault="00AC113A">
      <w:pPr>
        <w:ind w:left="708"/>
        <w:jc w:val="both"/>
        <w:rPr>
          <w:rFonts w:ascii="Times New (W1)" w:hAnsi="Times New (W1)" w:cs="Times New (W1)"/>
          <w:caps/>
        </w:rPr>
      </w:pPr>
      <w:r>
        <w:rPr>
          <w:rFonts w:ascii="Times New (W1)" w:hAnsi="Times New (W1)" w:cs="Times New (W1)"/>
          <w:b/>
          <w:smallCaps/>
        </w:rPr>
        <w:t>des analyses intermédiaires prévues</w:t>
      </w:r>
    </w:p>
    <w:p w:rsidR="00AC113A" w:rsidRDefault="00AC113A">
      <w:pPr>
        <w:ind w:left="708"/>
        <w:jc w:val="both"/>
        <w:rPr>
          <w:rFonts w:ascii="Times New (W1)" w:hAnsi="Times New (W1)" w:cs="Times New (W1)"/>
          <w:caps/>
        </w:rPr>
      </w:pPr>
    </w:p>
    <w:p w:rsidR="00AC113A" w:rsidRDefault="00AC113A">
      <w:pPr>
        <w:jc w:val="both"/>
        <w:rPr>
          <w:rFonts w:ascii="Times New (W1)" w:hAnsi="Times New (W1)" w:cs="Times New (W1)"/>
          <w:b/>
        </w:rPr>
      </w:pPr>
      <w:r>
        <w:rPr>
          <w:rFonts w:ascii="Times New (W1)" w:hAnsi="Times New (W1)" w:cs="Times New (W1)"/>
          <w:b/>
        </w:rPr>
        <w:t>Description de l’échantillon</w:t>
      </w:r>
      <w:r>
        <w:rPr>
          <w:rFonts w:ascii="Times New (W1)" w:hAnsi="Times New (W1)" w:cs="Times New (W1)"/>
        </w:rPr>
        <w:t xml:space="preserve"> : les variables qualitatives seront décrites en pourcentage, effectif et intervalle de confiance à 95%, les variables quantitatives seront décrites en moyennes et écarts-types ou médiane, étendue et intervalle interquartiles.</w:t>
      </w:r>
    </w:p>
    <w:p w:rsidR="00AC113A" w:rsidRDefault="00AC113A">
      <w:pPr>
        <w:jc w:val="both"/>
        <w:rPr>
          <w:rFonts w:ascii="Times New (W1)" w:hAnsi="Times New (W1)" w:cs="Times New (W1)"/>
          <w:b/>
        </w:rPr>
      </w:pPr>
      <w:r>
        <w:rPr>
          <w:rFonts w:ascii="Times New (W1)" w:hAnsi="Times New (W1)" w:cs="Times New (W1)"/>
          <w:b/>
        </w:rPr>
        <w:t>Description du stress biologique</w:t>
      </w:r>
      <w:r>
        <w:rPr>
          <w:rFonts w:ascii="Times New (W1)" w:hAnsi="Times New (W1)" w:cs="Times New (W1)"/>
        </w:rPr>
        <w:t xml:space="preserve"> : il sera décrit en calculant la différence entre le pic ou les pics de cortisol observés et le taux de cortisol mesuré au repos (moyennes et écarts-types ou médiane, étendue et intervalle interquartiles).</w:t>
      </w:r>
    </w:p>
    <w:p w:rsidR="00AC113A" w:rsidRDefault="00AC113A">
      <w:pPr>
        <w:jc w:val="both"/>
        <w:rPr>
          <w:rFonts w:ascii="Times New (W1)" w:hAnsi="Times New (W1)" w:cs="Times New (W1)"/>
          <w:b/>
        </w:rPr>
      </w:pPr>
      <w:r>
        <w:rPr>
          <w:rFonts w:ascii="Times New (W1)" w:hAnsi="Times New (W1)" w:cs="Times New (W1)"/>
          <w:b/>
        </w:rPr>
        <w:t>Description du stress perçu</w:t>
      </w:r>
      <w:r>
        <w:rPr>
          <w:rFonts w:ascii="Times New (W1)" w:hAnsi="Times New (W1)" w:cs="Times New (W1)"/>
        </w:rPr>
        <w:t xml:space="preserve"> : le score de l’EVA sera décrit en termes de moyenne et écart type.</w:t>
      </w:r>
    </w:p>
    <w:p w:rsidR="00AC113A" w:rsidRDefault="00AC113A">
      <w:pPr>
        <w:jc w:val="both"/>
        <w:rPr>
          <w:rFonts w:ascii="Times New (W1)" w:hAnsi="Times New (W1)" w:cs="Times New (W1)"/>
        </w:rPr>
      </w:pPr>
      <w:r>
        <w:rPr>
          <w:rFonts w:ascii="Times New (W1)" w:hAnsi="Times New (W1)" w:cs="Times New (W1)"/>
          <w:b/>
        </w:rPr>
        <w:t>A titre exploratoire</w:t>
      </w:r>
      <w:r>
        <w:rPr>
          <w:rFonts w:ascii="Times New (W1)" w:hAnsi="Times New (W1)" w:cs="Times New (W1)"/>
        </w:rPr>
        <w:t xml:space="preserve"> : comparaison du delta pic/taux de base de cortisol selon les 3 postes des ARM avec un test non paramétrique de Kruskal Wallis, de même selon l’ancienneté des ARM, la gravité de l’appel et le statut du médecin (urgentiste ou libéral)</w:t>
      </w:r>
      <w:r w:rsidR="006F5DF3">
        <w:rPr>
          <w:rFonts w:ascii="Times New (W1)" w:hAnsi="Times New (W1)" w:cs="Times New (W1)"/>
        </w:rPr>
        <w:t> ;</w:t>
      </w:r>
      <w:r w:rsidR="006F5DF3" w:rsidRPr="006F5DF3">
        <w:rPr>
          <w:rFonts w:ascii="Times New (W1)" w:hAnsi="Times New (W1)" w:cs="Times New (W1)"/>
        </w:rPr>
        <w:t xml:space="preserve"> </w:t>
      </w:r>
      <w:r w:rsidR="006F5DF3">
        <w:rPr>
          <w:rFonts w:ascii="Times New (W1)" w:hAnsi="Times New (W1)" w:cs="Times New (W1)"/>
        </w:rPr>
        <w:t>comparaison du delta pic/taux de base de cortisol selon le stress chronique (</w:t>
      </w:r>
      <w:r w:rsidR="00446D85">
        <w:rPr>
          <w:rFonts w:ascii="Times New (W1)" w:hAnsi="Times New (W1)" w:cs="Times New (W1)"/>
        </w:rPr>
        <w:t>questionnaire S</w:t>
      </w:r>
      <w:r w:rsidR="006F5DF3">
        <w:rPr>
          <w:rFonts w:ascii="Times New (W1)" w:hAnsi="Times New (W1)" w:cs="Times New (W1)"/>
        </w:rPr>
        <w:t>PP</w:t>
      </w:r>
      <w:r w:rsidR="00446D85">
        <w:rPr>
          <w:rFonts w:ascii="Times New (W1)" w:hAnsi="Times New (W1)" w:cs="Times New (W1)"/>
        </w:rPr>
        <w:t>N</w:t>
      </w:r>
      <w:r w:rsidR="006F5DF3">
        <w:rPr>
          <w:rFonts w:ascii="Times New (W1)" w:hAnsi="Times New (W1)" w:cs="Times New (W1)"/>
        </w:rPr>
        <w:t>) et la personnalité (questionnaire NEO PI-R).</w:t>
      </w:r>
    </w:p>
    <w:p w:rsidR="00AC113A" w:rsidRDefault="00AC113A">
      <w:pPr>
        <w:jc w:val="both"/>
        <w:rPr>
          <w:rFonts w:ascii="Times New (W1)" w:hAnsi="Times New (W1)" w:cs="Times New (W1)"/>
        </w:rPr>
      </w:pPr>
      <w:r>
        <w:rPr>
          <w:rFonts w:ascii="Times New (W1)" w:hAnsi="Times New (W1)" w:cs="Times New (W1)"/>
        </w:rPr>
        <w:t xml:space="preserve">Le score à l’EVA (stress </w:t>
      </w:r>
      <w:r w:rsidR="00446D85">
        <w:rPr>
          <w:rFonts w:ascii="Times New (W1)" w:hAnsi="Times New (W1)" w:cs="Times New (W1)"/>
        </w:rPr>
        <w:t>perçu</w:t>
      </w:r>
      <w:r>
        <w:rPr>
          <w:rFonts w:ascii="Times New (W1)" w:hAnsi="Times New (W1)" w:cs="Times New (W1)"/>
        </w:rPr>
        <w:t>) sera comparé au delta pic/taux de base de cortisol (stress biologique) à l’aide du coefficient de corrélation de Spearmann.</w:t>
      </w:r>
    </w:p>
    <w:p w:rsidR="00AC113A" w:rsidRDefault="00AC113A" w:rsidP="006F5DF3">
      <w:pPr>
        <w:jc w:val="both"/>
        <w:rPr>
          <w:rFonts w:ascii="Times New (W1)" w:hAnsi="Times New (W1)" w:cs="Times New (W1)"/>
          <w:caps/>
        </w:rPr>
      </w:pPr>
    </w:p>
    <w:p w:rsidR="006F5DF3" w:rsidRDefault="006F5DF3" w:rsidP="006F5DF3">
      <w:pPr>
        <w:jc w:val="both"/>
        <w:rPr>
          <w:rFonts w:ascii="Times New (W1)" w:hAnsi="Times New (W1)" w:cs="Times New (W1)"/>
          <w:caps/>
        </w:rPr>
      </w:pPr>
    </w:p>
    <w:p w:rsidR="00AC113A" w:rsidRDefault="00AC113A">
      <w:pPr>
        <w:ind w:left="708"/>
        <w:jc w:val="both"/>
        <w:rPr>
          <w:rFonts w:ascii="Times New (W1)" w:hAnsi="Times New (W1)" w:cs="Times New (W1)"/>
          <w:smallCaps/>
        </w:rPr>
      </w:pPr>
      <w:r>
        <w:rPr>
          <w:rFonts w:ascii="Times New (W1)" w:hAnsi="Times New (W1)" w:cs="Times New (W1)"/>
          <w:b/>
          <w:smallCaps/>
        </w:rPr>
        <w:t xml:space="preserve">8.2. nombre prévu de personnes à inclure dans la recherche, avec sa justification statistique </w:t>
      </w:r>
    </w:p>
    <w:p w:rsidR="00AC113A" w:rsidRDefault="00AC113A">
      <w:pPr>
        <w:ind w:left="708"/>
        <w:jc w:val="both"/>
        <w:rPr>
          <w:rFonts w:ascii="Times New (W1)" w:hAnsi="Times New (W1)" w:cs="Times New (W1)"/>
          <w:smallCaps/>
        </w:rPr>
      </w:pPr>
    </w:p>
    <w:p w:rsidR="00AC113A" w:rsidRDefault="00AC113A">
      <w:pPr>
        <w:jc w:val="both"/>
      </w:pPr>
      <w:r>
        <w:rPr>
          <w:rFonts w:ascii="Times New (W1)" w:hAnsi="Times New (W1)" w:cs="Times New (W1)"/>
        </w:rPr>
        <w:t xml:space="preserve">Il s’agit d’une étude dont l’objectif principal est descriptif, et qui peut servir d’étude de faisabilité concernant les objectifs comparatifs (secondaires). Il est prévu d’inclure </w:t>
      </w:r>
      <w:r w:rsidR="00E5764F">
        <w:rPr>
          <w:rFonts w:ascii="Times New (W1)" w:hAnsi="Times New (W1)" w:cs="Times New (W1)"/>
        </w:rPr>
        <w:t xml:space="preserve">20 </w:t>
      </w:r>
      <w:r>
        <w:rPr>
          <w:rFonts w:ascii="Times New (W1)" w:hAnsi="Times New (W1)" w:cs="Times New (W1)"/>
        </w:rPr>
        <w:t xml:space="preserve">ARM et </w:t>
      </w:r>
      <w:r w:rsidR="00E5764F">
        <w:rPr>
          <w:rFonts w:ascii="Times New (W1)" w:hAnsi="Times New (W1)" w:cs="Times New (W1)"/>
        </w:rPr>
        <w:t xml:space="preserve">20 </w:t>
      </w:r>
      <w:r>
        <w:rPr>
          <w:rFonts w:ascii="Times New (W1)" w:hAnsi="Times New (W1)" w:cs="Times New (W1)"/>
        </w:rPr>
        <w:t xml:space="preserve">médecins (urgentiste ou libéral). </w:t>
      </w:r>
    </w:p>
    <w:p w:rsidR="00AC113A" w:rsidRDefault="00AC113A">
      <w:pPr>
        <w:ind w:left="708"/>
        <w:jc w:val="both"/>
        <w:rPr>
          <w:rFonts w:ascii="Times New (W1)" w:hAnsi="Times New (W1)" w:cs="Times New (W1)"/>
          <w:caps/>
        </w:rPr>
      </w:pPr>
    </w:p>
    <w:p w:rsidR="00AC113A" w:rsidRDefault="00AC113A">
      <w:pPr>
        <w:ind w:firstLine="708"/>
        <w:jc w:val="both"/>
        <w:rPr>
          <w:rFonts w:ascii="Times New (W1)" w:hAnsi="Times New (W1)" w:cs="Times New (W1)"/>
          <w:smallCaps/>
        </w:rPr>
      </w:pPr>
      <w:r>
        <w:rPr>
          <w:rFonts w:ascii="Times New (W1)" w:hAnsi="Times New (W1)" w:cs="Times New (W1)"/>
          <w:b/>
          <w:smallCaps/>
        </w:rPr>
        <w:t xml:space="preserve">8.3. degré de signification statistique prévu </w:t>
      </w:r>
    </w:p>
    <w:p w:rsidR="00AC113A" w:rsidRDefault="00AC113A">
      <w:pPr>
        <w:ind w:firstLine="708"/>
        <w:jc w:val="both"/>
        <w:rPr>
          <w:rFonts w:ascii="Times New (W1)" w:hAnsi="Times New (W1)" w:cs="Times New (W1)"/>
          <w:smallCaps/>
        </w:rPr>
      </w:pPr>
    </w:p>
    <w:p w:rsidR="00AC113A" w:rsidRDefault="00AC113A">
      <w:pPr>
        <w:jc w:val="both"/>
        <w:rPr>
          <w:rFonts w:ascii="Times New (W1)" w:hAnsi="Times New (W1)" w:cs="Times New (W1)"/>
          <w:caps/>
        </w:rPr>
      </w:pPr>
      <w:r>
        <w:rPr>
          <w:rFonts w:ascii="Times New (W1)" w:hAnsi="Times New (W1)" w:cs="Times New (W1)"/>
        </w:rPr>
        <w:t>Etude descriptive. Les tests statistiques seront réalisés à visée exploratoire, avec un risque alpha fixé à 5%</w:t>
      </w:r>
    </w:p>
    <w:p w:rsidR="00AC113A" w:rsidRDefault="00AC113A">
      <w:pPr>
        <w:ind w:firstLine="708"/>
        <w:jc w:val="both"/>
        <w:rPr>
          <w:rFonts w:ascii="Times New (W1)" w:hAnsi="Times New (W1)" w:cs="Times New (W1)"/>
          <w:caps/>
        </w:rPr>
      </w:pPr>
    </w:p>
    <w:p w:rsidR="00AC113A" w:rsidRDefault="00AC113A">
      <w:pPr>
        <w:numPr>
          <w:ilvl w:val="1"/>
          <w:numId w:val="22"/>
        </w:numPr>
        <w:ind w:left="0" w:firstLine="708"/>
        <w:jc w:val="both"/>
        <w:rPr>
          <w:rFonts w:ascii="Times New (W1)" w:hAnsi="Times New (W1)" w:cs="Times New (W1)"/>
          <w:smallCaps/>
        </w:rPr>
      </w:pPr>
      <w:r>
        <w:rPr>
          <w:rFonts w:ascii="Times New (W1)" w:hAnsi="Times New (W1)" w:cs="Times New (W1)"/>
          <w:b/>
          <w:smallCaps/>
        </w:rPr>
        <w:t>critères statistiques d'arrêt de la recherche</w:t>
      </w:r>
    </w:p>
    <w:p w:rsidR="00AC113A" w:rsidRDefault="00AC113A">
      <w:pPr>
        <w:ind w:firstLine="708"/>
        <w:jc w:val="both"/>
        <w:rPr>
          <w:rFonts w:ascii="Times New (W1)" w:hAnsi="Times New (W1)" w:cs="Times New (W1)"/>
          <w:smallCaps/>
        </w:rPr>
      </w:pPr>
    </w:p>
    <w:p w:rsidR="00AC113A" w:rsidRDefault="00AC113A">
      <w:pPr>
        <w:jc w:val="both"/>
        <w:rPr>
          <w:rFonts w:ascii="Times New (W1)" w:hAnsi="Times New (W1)" w:cs="Times New (W1)"/>
          <w:smallCaps/>
        </w:rPr>
      </w:pPr>
      <w:r>
        <w:rPr>
          <w:rFonts w:ascii="Times New (W1)" w:hAnsi="Times New (W1)" w:cs="Times New (W1)"/>
          <w:smallCaps/>
        </w:rPr>
        <w:t>Non Applicable.</w:t>
      </w:r>
    </w:p>
    <w:p w:rsidR="00AC113A" w:rsidRDefault="00AC113A">
      <w:pPr>
        <w:ind w:firstLine="708"/>
        <w:jc w:val="both"/>
        <w:rPr>
          <w:rFonts w:ascii="Times New (W1)" w:hAnsi="Times New (W1)" w:cs="Times New (W1)"/>
          <w:smallCaps/>
        </w:rPr>
      </w:pPr>
    </w:p>
    <w:p w:rsidR="00AC113A" w:rsidRDefault="00AC113A">
      <w:pPr>
        <w:ind w:left="708"/>
        <w:jc w:val="both"/>
        <w:rPr>
          <w:rFonts w:ascii="Times New (W1)" w:hAnsi="Times New (W1)" w:cs="Times New (W1)"/>
          <w:smallCaps/>
        </w:rPr>
      </w:pPr>
      <w:r>
        <w:rPr>
          <w:rFonts w:ascii="Times New (W1)" w:hAnsi="Times New (W1)" w:cs="Times New (W1)"/>
          <w:b/>
          <w:smallCaps/>
        </w:rPr>
        <w:t xml:space="preserve">8.5. méthode de prise en compte des données manquantes, inutilisées ou non </w:t>
      </w:r>
      <w:r>
        <w:rPr>
          <w:rFonts w:ascii="Times New (W1)" w:hAnsi="Times New (W1)" w:cs="Times New (W1)"/>
          <w:b/>
          <w:smallCaps/>
        </w:rPr>
        <w:lastRenderedPageBreak/>
        <w:t>valides</w:t>
      </w:r>
    </w:p>
    <w:p w:rsidR="00AC113A" w:rsidRDefault="00AC113A">
      <w:pPr>
        <w:ind w:left="708"/>
        <w:jc w:val="both"/>
        <w:rPr>
          <w:rFonts w:ascii="Times New (W1)" w:hAnsi="Times New (W1)" w:cs="Times New (W1)"/>
          <w:smallCaps/>
        </w:rPr>
      </w:pPr>
    </w:p>
    <w:p w:rsidR="00AC113A" w:rsidRDefault="00AC113A">
      <w:pPr>
        <w:jc w:val="both"/>
        <w:rPr>
          <w:rFonts w:ascii="Times New (W1)" w:hAnsi="Times New (W1)" w:cs="Times New (W1)"/>
          <w:smallCaps/>
        </w:rPr>
      </w:pPr>
      <w:r>
        <w:rPr>
          <w:rFonts w:ascii="Times New (W1)" w:hAnsi="Times New (W1)" w:cs="Times New (W1)"/>
        </w:rPr>
        <w:t>Pas d</w:t>
      </w:r>
      <w:r>
        <w:rPr>
          <w:rFonts w:ascii="Times New (W1)" w:eastAsia="Times New Roman" w:hAnsi="Times New (W1)" w:cs="Times New (W1)"/>
        </w:rPr>
        <w:t>’</w:t>
      </w:r>
      <w:r>
        <w:rPr>
          <w:rFonts w:ascii="Times New (W1)" w:hAnsi="Times New (W1)" w:cs="Times New (W1)"/>
        </w:rPr>
        <w:t>extrapolation des données manquantes. Les sujets pour lesquels plus de la moitié des données sont manquantes seront exclus des analyses.</w:t>
      </w:r>
    </w:p>
    <w:p w:rsidR="00AC113A" w:rsidRDefault="00AC113A">
      <w:pPr>
        <w:jc w:val="both"/>
      </w:pPr>
    </w:p>
    <w:p w:rsidR="00AC113A" w:rsidRDefault="00AC113A">
      <w:pPr>
        <w:jc w:val="both"/>
      </w:pPr>
    </w:p>
    <w:p w:rsidR="00AC113A" w:rsidRDefault="00AC113A">
      <w:pPr>
        <w:shd w:val="clear" w:color="auto" w:fill="CCFFFF"/>
        <w:jc w:val="both"/>
        <w:rPr>
          <w:rFonts w:ascii="Tahoma" w:hAnsi="Tahoma" w:cs="Tahoma"/>
          <w:i/>
          <w:color w:val="000080"/>
          <w:sz w:val="20"/>
          <w:szCs w:val="20"/>
        </w:rPr>
      </w:pPr>
      <w:r>
        <w:rPr>
          <w:b/>
          <w:caps/>
        </w:rPr>
        <w:t>9. Droit d'accès aux données et documents source</w:t>
      </w:r>
    </w:p>
    <w:p w:rsidR="00AC113A" w:rsidRDefault="00AC113A">
      <w:pPr>
        <w:jc w:val="both"/>
        <w:rPr>
          <w:rFonts w:ascii="Tahoma" w:hAnsi="Tahoma" w:cs="Tahoma"/>
          <w:i/>
          <w:color w:val="000080"/>
          <w:sz w:val="20"/>
          <w:szCs w:val="20"/>
        </w:rPr>
      </w:pPr>
    </w:p>
    <w:p w:rsidR="00AC113A" w:rsidRDefault="00AC113A">
      <w:pPr>
        <w:jc w:val="both"/>
      </w:pPr>
      <w:r>
        <w:t xml:space="preserve">Toutes les données et informations concernant </w:t>
      </w:r>
      <w:r w:rsidRPr="00264D00">
        <w:t xml:space="preserve">le </w:t>
      </w:r>
      <w:r w:rsidR="00CE6DCA" w:rsidRPr="00264D00">
        <w:t>participant volontaire</w:t>
      </w:r>
      <w:r>
        <w:t xml:space="preserve"> resteront strictement confidentielles. Les personnes ayant un accès direct conformément aux dispositions législatives et réglementaires en vigueur, notamment les articles L.1121-3 et R.5121-13 du code de la santé publique (par exemple, les investigateurs, les personnes chargées du contrôle de qualité, les moniteurs, les assistants de recherche clinique, les auditeurs et toutes personnes appelées à collaborer aux essais) prennent toutes les précautions nécessaires en vue d'assurer la confidentialité des informations relatives à l’étude et aux personnes qui s'y prêtent et notamment en ce qui concerne leur identité ainsi qu’aux résultats obtenus. Les données collectées par ces personnes au cours des contrôles de qualité ou des audits sont alors rendues anonymes.</w:t>
      </w:r>
    </w:p>
    <w:p w:rsidR="00CE6DCA" w:rsidRDefault="00CE6DCA">
      <w:pPr>
        <w:jc w:val="both"/>
      </w:pPr>
    </w:p>
    <w:p w:rsidR="00CE6DCA" w:rsidRPr="003B0AF0" w:rsidRDefault="00CE6DCA" w:rsidP="00CE6DCA">
      <w:pPr>
        <w:widowControl/>
        <w:suppressAutoHyphens w:val="0"/>
        <w:autoSpaceDE w:val="0"/>
        <w:autoSpaceDN w:val="0"/>
        <w:adjustRightInd w:val="0"/>
      </w:pPr>
      <w:r w:rsidRPr="00264D00">
        <w:t>Les sujets seront identifiés par un numéro attribué chronologiquement selon l'ordre d'inclusion dans l'étude. Les données seront recueillies de sorte à empêcher l'identification indirecte des participants</w:t>
      </w:r>
      <w:r w:rsidR="003B0AF0" w:rsidRPr="00264D00">
        <w:t> :</w:t>
      </w:r>
      <w:r w:rsidRPr="00264D00">
        <w:t xml:space="preserve"> sexe, expérience dans le service (plus ou moins de 5 ans), âge en classes </w:t>
      </w:r>
      <w:r w:rsidR="004413B5" w:rsidRPr="00264D00">
        <w:t>de 10 ans</w:t>
      </w:r>
      <w:r w:rsidRPr="00264D00">
        <w:t>.</w:t>
      </w:r>
    </w:p>
    <w:p w:rsidR="00CE6DCA" w:rsidRDefault="00CE6DCA">
      <w:pPr>
        <w:jc w:val="both"/>
      </w:pPr>
    </w:p>
    <w:p w:rsidR="00AC113A" w:rsidRDefault="00AC113A">
      <w:pPr>
        <w:jc w:val="both"/>
      </w:pPr>
    </w:p>
    <w:p w:rsidR="00AC113A" w:rsidRDefault="00AC113A">
      <w:pPr>
        <w:shd w:val="clear" w:color="auto" w:fill="CCFFFF"/>
        <w:jc w:val="both"/>
      </w:pPr>
      <w:r>
        <w:rPr>
          <w:b/>
          <w:caps/>
        </w:rPr>
        <w:t>10. Contrôle et assurance de la qualité</w:t>
      </w:r>
    </w:p>
    <w:p w:rsidR="00AC113A" w:rsidRDefault="00AC113A">
      <w:pPr>
        <w:pStyle w:val="Retraitcorpsdetexte"/>
        <w:ind w:left="0" w:right="142"/>
        <w:jc w:val="both"/>
        <w:rPr>
          <w:rFonts w:ascii="Tahoma" w:hAnsi="Tahoma" w:cs="Tahoma"/>
          <w:bCs/>
          <w:i/>
          <w:sz w:val="20"/>
          <w:szCs w:val="20"/>
        </w:rPr>
      </w:pPr>
    </w:p>
    <w:p w:rsidR="00AC113A" w:rsidRPr="00D207E2" w:rsidRDefault="00AC113A" w:rsidP="00D207E2">
      <w:pPr>
        <w:ind w:left="708"/>
        <w:jc w:val="both"/>
        <w:rPr>
          <w:rFonts w:ascii="Times New (W1)" w:hAnsi="Times New (W1)" w:cs="Times New (W1)"/>
          <w:b/>
          <w:smallCaps/>
        </w:rPr>
      </w:pPr>
      <w:r w:rsidRPr="00D207E2">
        <w:rPr>
          <w:rFonts w:ascii="Times New (W1)" w:hAnsi="Times New (W1)" w:cs="Times New (W1)"/>
          <w:b/>
          <w:smallCaps/>
        </w:rPr>
        <w:t>10.1 Monitoring</w:t>
      </w:r>
    </w:p>
    <w:p w:rsidR="00AC113A" w:rsidRDefault="00AC113A">
      <w:pPr>
        <w:ind w:left="426" w:right="142"/>
        <w:jc w:val="both"/>
        <w:rPr>
          <w:b/>
        </w:rPr>
      </w:pPr>
    </w:p>
    <w:p w:rsidR="00AC113A" w:rsidRDefault="00AC113A">
      <w:pPr>
        <w:ind w:right="142"/>
        <w:jc w:val="both"/>
      </w:pPr>
      <w:r>
        <w:t>Les ARC représentants du promoteur</w:t>
      </w:r>
      <w:r>
        <w:rPr>
          <w:b/>
        </w:rPr>
        <w:t xml:space="preserve"> </w:t>
      </w:r>
      <w:r>
        <w:t>effectueront des visites du centre investigateur au rythme correspondant au schéma de suivi des sujets dans le protocole</w:t>
      </w:r>
      <w:r w:rsidR="00E5764F">
        <w:t> :</w:t>
      </w:r>
    </w:p>
    <w:p w:rsidR="00AC113A" w:rsidRDefault="00AC113A">
      <w:pPr>
        <w:ind w:right="142"/>
        <w:jc w:val="both"/>
      </w:pPr>
    </w:p>
    <w:p w:rsidR="00AC113A" w:rsidRDefault="00AC113A">
      <w:pPr>
        <w:ind w:left="426" w:right="142"/>
        <w:jc w:val="both"/>
      </w:pPr>
      <w:r>
        <w:t xml:space="preserve">- Visite d’ouverture du centre : avant inclusion, pour une mise en place du protocole et prise de connaissance avec les différents intervenants de la recherche biomédicale. </w:t>
      </w:r>
    </w:p>
    <w:p w:rsidR="00AC113A" w:rsidRDefault="00AC113A">
      <w:pPr>
        <w:ind w:left="426" w:right="142"/>
        <w:jc w:val="both"/>
      </w:pPr>
    </w:p>
    <w:p w:rsidR="00AC113A" w:rsidRDefault="00AC113A">
      <w:pPr>
        <w:ind w:left="567" w:right="142" w:hanging="141"/>
        <w:jc w:val="both"/>
      </w:pPr>
      <w:r>
        <w:t>- Lors des visites suivantes, les cahiers d'observation seront revus au fur et à mesure de l'état d'avancement de la recherche par les ARC. L’ensemble des investigateurs qui incluent les sujets dans l’étude ou qui assurent leur suivi s’engagent à recevoir les ARC à intervalles réguliers.</w:t>
      </w:r>
    </w:p>
    <w:p w:rsidR="00AC113A" w:rsidRDefault="00AC113A">
      <w:pPr>
        <w:ind w:left="567" w:right="142"/>
        <w:jc w:val="both"/>
      </w:pPr>
      <w:r>
        <w:t>Lors de ces visites sur site et en accord avec les Bonnes Pratiques Cliniques, les éléments suivants seront revus :</w:t>
      </w:r>
    </w:p>
    <w:p w:rsidR="00AC113A" w:rsidRDefault="00AC113A">
      <w:pPr>
        <w:numPr>
          <w:ilvl w:val="0"/>
          <w:numId w:val="20"/>
        </w:numPr>
        <w:tabs>
          <w:tab w:val="left" w:pos="1276"/>
          <w:tab w:val="left" w:pos="2979"/>
        </w:tabs>
        <w:ind w:left="993" w:right="142" w:firstLine="0"/>
        <w:jc w:val="both"/>
      </w:pPr>
      <w:r>
        <w:t>Respect du protocole et des procédures définies pour la recherche,</w:t>
      </w:r>
    </w:p>
    <w:p w:rsidR="00AC113A" w:rsidRDefault="00AC113A">
      <w:pPr>
        <w:numPr>
          <w:ilvl w:val="0"/>
          <w:numId w:val="20"/>
        </w:numPr>
        <w:tabs>
          <w:tab w:val="left" w:pos="1276"/>
          <w:tab w:val="left" w:pos="2979"/>
        </w:tabs>
        <w:ind w:left="993" w:right="142" w:firstLine="0"/>
        <w:jc w:val="both"/>
      </w:pPr>
      <w:r>
        <w:t>Vérification des consentements éclairés des sujets</w:t>
      </w:r>
    </w:p>
    <w:p w:rsidR="00AC113A" w:rsidRDefault="00AC113A">
      <w:pPr>
        <w:numPr>
          <w:ilvl w:val="0"/>
          <w:numId w:val="20"/>
        </w:numPr>
        <w:tabs>
          <w:tab w:val="left" w:pos="1276"/>
          <w:tab w:val="left" w:pos="2979"/>
        </w:tabs>
        <w:ind w:left="993" w:right="142" w:firstLine="0"/>
        <w:jc w:val="both"/>
      </w:pPr>
      <w:r>
        <w:t>Examen des documents source et confrontation avec les données reportées dans le cahier d’observation quant à l’exactitude, les données manquantes, et la cohérence des données.</w:t>
      </w:r>
    </w:p>
    <w:p w:rsidR="00AC113A" w:rsidRDefault="00AC113A">
      <w:pPr>
        <w:tabs>
          <w:tab w:val="left" w:pos="1561"/>
        </w:tabs>
        <w:ind w:left="426" w:right="142"/>
        <w:jc w:val="both"/>
      </w:pPr>
    </w:p>
    <w:p w:rsidR="00AC113A" w:rsidRDefault="00AC113A">
      <w:pPr>
        <w:tabs>
          <w:tab w:val="left" w:pos="1561"/>
        </w:tabs>
        <w:ind w:left="426" w:right="142"/>
        <w:jc w:val="both"/>
      </w:pPr>
      <w:r>
        <w:t>- Visite de fermeture : dernière mise en conformité réglementaire le cas échéant et préparation à l’archivage des documents de l’étude.</w:t>
      </w:r>
    </w:p>
    <w:p w:rsidR="00AC113A" w:rsidRDefault="00AC113A">
      <w:pPr>
        <w:jc w:val="both"/>
      </w:pPr>
    </w:p>
    <w:p w:rsidR="00AC113A" w:rsidRDefault="00AC113A">
      <w:pPr>
        <w:jc w:val="both"/>
        <w:rPr>
          <w:rFonts w:ascii="Wingdings" w:hAnsi="Wingdings" w:cs="Wingdings"/>
        </w:rPr>
      </w:pPr>
      <w:r>
        <w:t xml:space="preserve">A ce titre, l’investigateur s’engage à mettre à la disposition de l’ARC lors de ses visites de monitoring : </w:t>
      </w:r>
    </w:p>
    <w:p w:rsidR="00AC113A" w:rsidRDefault="00AC113A">
      <w:pPr>
        <w:ind w:left="709"/>
        <w:jc w:val="both"/>
        <w:rPr>
          <w:rFonts w:ascii="Wingdings" w:hAnsi="Wingdings" w:cs="Wingdings"/>
        </w:rPr>
      </w:pPr>
      <w:r>
        <w:rPr>
          <w:rFonts w:ascii="Wingdings" w:hAnsi="Wingdings" w:cs="Wingdings"/>
        </w:rPr>
        <w:t></w:t>
      </w:r>
      <w:r>
        <w:t xml:space="preserve"> Les dossiers source des sujets (questionnaires, dosages salivaires, …)</w:t>
      </w:r>
    </w:p>
    <w:p w:rsidR="00AC113A" w:rsidRDefault="00AC113A">
      <w:pPr>
        <w:ind w:left="709"/>
        <w:jc w:val="both"/>
        <w:rPr>
          <w:rFonts w:ascii="Wingdings" w:hAnsi="Wingdings" w:cs="Wingdings"/>
        </w:rPr>
      </w:pPr>
      <w:r>
        <w:rPr>
          <w:rFonts w:ascii="Wingdings" w:hAnsi="Wingdings" w:cs="Wingdings"/>
        </w:rPr>
        <w:t></w:t>
      </w:r>
      <w:r>
        <w:t xml:space="preserve"> Les cahiers de recueil de données (cahiers d’observation)</w:t>
      </w:r>
    </w:p>
    <w:p w:rsidR="00AC113A" w:rsidRDefault="00AC113A">
      <w:pPr>
        <w:ind w:left="709"/>
        <w:jc w:val="both"/>
      </w:pPr>
      <w:r>
        <w:rPr>
          <w:rFonts w:ascii="Wingdings" w:hAnsi="Wingdings" w:cs="Wingdings"/>
        </w:rPr>
        <w:lastRenderedPageBreak/>
        <w:t></w:t>
      </w:r>
      <w:r>
        <w:t xml:space="preserve"> Les formulaires de consentement des sujets inclus</w:t>
      </w:r>
    </w:p>
    <w:p w:rsidR="00AC113A" w:rsidRDefault="00AC113A">
      <w:pPr>
        <w:jc w:val="both"/>
      </w:pPr>
    </w:p>
    <w:p w:rsidR="00AC113A" w:rsidRPr="00D207E2" w:rsidRDefault="00AC113A" w:rsidP="00D207E2">
      <w:pPr>
        <w:ind w:left="708"/>
        <w:jc w:val="both"/>
        <w:rPr>
          <w:rFonts w:ascii="Times New (W1)" w:hAnsi="Times New (W1)" w:cs="Times New (W1)"/>
          <w:b/>
          <w:smallCaps/>
        </w:rPr>
      </w:pPr>
      <w:r w:rsidRPr="00D207E2">
        <w:rPr>
          <w:rFonts w:ascii="Times New (W1)" w:hAnsi="Times New (W1)" w:cs="Times New (W1)"/>
          <w:b/>
          <w:smallCaps/>
        </w:rPr>
        <w:t xml:space="preserve">10.2 Transcription des données dans le cahier d’observation </w:t>
      </w:r>
    </w:p>
    <w:p w:rsidR="00AC113A" w:rsidRDefault="00AC113A">
      <w:pPr>
        <w:ind w:left="426"/>
        <w:jc w:val="both"/>
      </w:pPr>
    </w:p>
    <w:p w:rsidR="00AC113A" w:rsidRDefault="00AC113A">
      <w:pPr>
        <w:jc w:val="both"/>
      </w:pPr>
      <w:r>
        <w:t xml:space="preserve">Toutes les informations requises par le protocole doivent être fournies dans le cahier d’observation et une explication donnée par l’investigateur pour chaque donnée manquante. </w:t>
      </w:r>
    </w:p>
    <w:p w:rsidR="00AC113A" w:rsidRDefault="00AC113A">
      <w:pPr>
        <w:jc w:val="both"/>
      </w:pPr>
      <w:r>
        <w:t>Les données devront être transférées dans les cahiers d'observation au fur et à mesure qu'elles sont obtenues qu'il s'agisse de données cliniques ou para-cliniques. Les données devront être copiées de façon nette et lisible à l'encre noire dans ces cahiers (ceci afin de faciliter la duplication et la saisie informatique).</w:t>
      </w:r>
    </w:p>
    <w:p w:rsidR="00AC113A" w:rsidRDefault="00AC113A">
      <w:pPr>
        <w:jc w:val="both"/>
      </w:pPr>
      <w:r>
        <w:t>Les données erronées dépistées sur les cahiers d'observation seront clairement barrées et les nouvelles données seront copiées sur le cahier avec les initiales et la date par le membre de l'équipe de l'investigateur qui aura fait la correction.</w:t>
      </w:r>
    </w:p>
    <w:p w:rsidR="00AC113A" w:rsidRDefault="00AC113A">
      <w:pPr>
        <w:jc w:val="both"/>
      </w:pPr>
      <w:r>
        <w:t>L'anonymat des sujets sera assuré par un numéro de code et les initiales de la personne qui se prête à la recherche sur tous les documents nécessaires à la recherche, ou par effacement par les moyens appropriés des données nominatives sur les copies des documents source, destinés à la documentation de la recherche.</w:t>
      </w:r>
    </w:p>
    <w:p w:rsidR="00AC113A" w:rsidRDefault="00AC113A">
      <w:pPr>
        <w:jc w:val="both"/>
      </w:pPr>
    </w:p>
    <w:p w:rsidR="00AC113A" w:rsidRDefault="00AC113A">
      <w:pPr>
        <w:jc w:val="both"/>
      </w:pPr>
      <w:r>
        <w:t>Les données informatisées sur un fichier seront déclarées à la CNIL selon la procédure adaptée au cas (voir point 11.4)</w:t>
      </w:r>
      <w:r w:rsidR="00E5764F">
        <w:t>.</w:t>
      </w:r>
    </w:p>
    <w:p w:rsidR="00AC113A" w:rsidRDefault="00AC113A">
      <w:pPr>
        <w:pStyle w:val="NormalWeb"/>
        <w:spacing w:before="0" w:after="0"/>
      </w:pPr>
    </w:p>
    <w:p w:rsidR="00AC113A" w:rsidRDefault="00AC113A">
      <w:pPr>
        <w:pStyle w:val="NormalWeb"/>
        <w:spacing w:before="0" w:after="0"/>
      </w:pPr>
    </w:p>
    <w:p w:rsidR="00AC113A" w:rsidRDefault="00AC113A">
      <w:pPr>
        <w:shd w:val="clear" w:color="auto" w:fill="CCFFFF"/>
        <w:jc w:val="both"/>
        <w:rPr>
          <w:b/>
          <w:caps/>
        </w:rPr>
      </w:pPr>
      <w:r>
        <w:rPr>
          <w:b/>
          <w:caps/>
        </w:rPr>
        <w:t>11. Considérations éthiques ET REGLEMENTAIRES</w:t>
      </w:r>
    </w:p>
    <w:p w:rsidR="00AC113A" w:rsidRDefault="00AC113A">
      <w:pPr>
        <w:jc w:val="both"/>
        <w:rPr>
          <w:b/>
          <w:caps/>
        </w:rPr>
      </w:pPr>
    </w:p>
    <w:p w:rsidR="00AC113A" w:rsidRDefault="00AC113A">
      <w:pPr>
        <w:pStyle w:val="prototypecorpsdetexte"/>
        <w:ind w:firstLine="0"/>
        <w:rPr>
          <w:rFonts w:ascii="Times New Roman" w:hAnsi="Times New Roman" w:cs="Times New Roman"/>
          <w:sz w:val="24"/>
          <w:szCs w:val="24"/>
        </w:rPr>
      </w:pPr>
      <w:r>
        <w:rPr>
          <w:rFonts w:ascii="Times New Roman" w:hAnsi="Times New Roman" w:cs="Times New Roman"/>
          <w:sz w:val="24"/>
          <w:szCs w:val="24"/>
        </w:rPr>
        <w:t>Le promoteur et les investigateurs s’engagent à ce que cette recherche soit réalisée en conformité avec la loi n°2004-806 du 9 août 2004, ainsi qu’en accord avec les Bonnes Pratiques Cliniques (I.C.H. version 4 du 1</w:t>
      </w:r>
      <w:r>
        <w:rPr>
          <w:rFonts w:ascii="Times New Roman" w:hAnsi="Times New Roman" w:cs="Times New Roman"/>
          <w:sz w:val="24"/>
          <w:szCs w:val="24"/>
          <w:vertAlign w:val="superscript"/>
        </w:rPr>
        <w:t>er</w:t>
      </w:r>
      <w:r>
        <w:rPr>
          <w:rFonts w:ascii="Times New Roman" w:hAnsi="Times New Roman" w:cs="Times New Roman"/>
          <w:sz w:val="24"/>
          <w:szCs w:val="24"/>
        </w:rPr>
        <w:t xml:space="preserve"> mai 1996 et décision du 24 novembre 2006) et la déclaration d’Helsinki (Principes éthiques applicables aux recherches médicales sur des sujets humains, Séoul 2008).</w:t>
      </w:r>
    </w:p>
    <w:p w:rsidR="00AC113A" w:rsidRDefault="00AC113A">
      <w:pPr>
        <w:pStyle w:val="prototypecorpsdetexte"/>
        <w:spacing w:before="0"/>
        <w:ind w:firstLine="0"/>
        <w:rPr>
          <w:rFonts w:ascii="Times New Roman" w:hAnsi="Times New Roman" w:cs="Times New Roman"/>
          <w:sz w:val="24"/>
          <w:szCs w:val="24"/>
        </w:rPr>
      </w:pPr>
    </w:p>
    <w:p w:rsidR="00AC113A" w:rsidRDefault="00AC113A">
      <w:pPr>
        <w:pStyle w:val="prototypecorpsdetexte"/>
        <w:spacing w:before="0"/>
        <w:ind w:firstLine="0"/>
        <w:rPr>
          <w:sz w:val="24"/>
          <w:szCs w:val="24"/>
        </w:rPr>
      </w:pPr>
      <w:r>
        <w:rPr>
          <w:rFonts w:ascii="Times New Roman" w:hAnsi="Times New Roman" w:cs="Times New Roman"/>
          <w:sz w:val="24"/>
          <w:szCs w:val="24"/>
        </w:rPr>
        <w:t>La recherche est conduite conformément au présent protocole. Les investigateurs s’engagent à respecter le protocole en tous points en particulier en ce qui concerne le recueil du consentement et la notification et le suivi des événements indésirables graves.</w:t>
      </w:r>
    </w:p>
    <w:p w:rsidR="00AC113A" w:rsidRDefault="00AC113A">
      <w:pPr>
        <w:pStyle w:val="prototypecorpsdetexte"/>
        <w:spacing w:before="0"/>
        <w:ind w:firstLine="0"/>
        <w:rPr>
          <w:sz w:val="24"/>
          <w:szCs w:val="24"/>
        </w:rPr>
      </w:pPr>
    </w:p>
    <w:p w:rsidR="00AC113A" w:rsidRPr="00D207E2" w:rsidRDefault="000D1B1C" w:rsidP="00D207E2">
      <w:pPr>
        <w:ind w:left="708"/>
        <w:jc w:val="both"/>
        <w:rPr>
          <w:rFonts w:ascii="Times New (W1)" w:hAnsi="Times New (W1)" w:cs="Times New (W1)"/>
          <w:b/>
          <w:smallCaps/>
        </w:rPr>
      </w:pPr>
      <w:r w:rsidRPr="00D207E2">
        <w:rPr>
          <w:rFonts w:ascii="Times New (W1)" w:hAnsi="Times New (W1)" w:cs="Times New (W1)"/>
          <w:b/>
          <w:smallCaps/>
        </w:rPr>
        <w:t>1</w:t>
      </w:r>
      <w:r w:rsidR="00AC113A" w:rsidRPr="00D207E2">
        <w:rPr>
          <w:rFonts w:ascii="Times New (W1)" w:hAnsi="Times New (W1)" w:cs="Times New (W1)"/>
          <w:b/>
          <w:smallCaps/>
        </w:rPr>
        <w:t>1.1 Demande d’autorisation auprès de l’ANSM</w:t>
      </w:r>
    </w:p>
    <w:p w:rsidR="00AC113A" w:rsidRDefault="00AC113A">
      <w:pPr>
        <w:pStyle w:val="NormalWeb"/>
        <w:ind w:left="426"/>
        <w:jc w:val="both"/>
        <w:rPr>
          <w:rStyle w:val="CarCar1"/>
          <w:rFonts w:ascii="Times New (W1)" w:hAnsi="Times New (W1)" w:cs="Times New Roman"/>
          <w:bCs w:val="0"/>
          <w:i w:val="0"/>
          <w:smallCaps/>
          <w:sz w:val="24"/>
          <w:szCs w:val="24"/>
        </w:rPr>
      </w:pPr>
      <w:r>
        <w:rPr>
          <w:rFonts w:ascii="Times New Roman" w:hAnsi="Times New Roman" w:cs="Times New Roman"/>
          <w:sz w:val="24"/>
          <w:szCs w:val="24"/>
        </w:rPr>
        <w:t>Pour pouvoir démarrer la recherche, le promoteur doit soumettre un dossier de demande d’autorisation auprès de l'autorité compétente l’ANSM. L'autorité compétente, définie à l'article L. 1123-12, se prononce au regard de la sécurité des personnes qui se prêtent à une recherche biomédicale, en considérant notamment la sécurité et la qualité des produits utilisés au cours de la recherche conformément, le cas échéant, aux référentiels en vigueur, leur condition d'utilisation et la sécurité des personnes au regard des actes pratiqués et des méthodes utilisées ainsi que les modalités prévues pour le suivi des personnes.</w:t>
      </w:r>
    </w:p>
    <w:p w:rsidR="00AC113A" w:rsidRPr="00D207E2" w:rsidRDefault="00AC113A" w:rsidP="00D207E2">
      <w:pPr>
        <w:ind w:left="708"/>
        <w:jc w:val="both"/>
        <w:rPr>
          <w:rFonts w:ascii="Times New (W1)" w:hAnsi="Times New (W1)" w:cs="Times New (W1)"/>
          <w:b/>
          <w:smallCaps/>
        </w:rPr>
      </w:pPr>
      <w:r w:rsidRPr="00D207E2">
        <w:rPr>
          <w:rFonts w:ascii="Times New (W1)" w:hAnsi="Times New (W1)" w:cs="Times New (W1)"/>
          <w:b/>
          <w:smallCaps/>
        </w:rPr>
        <w:t>11.2 Demande d’avis au Comité de Protection des Personnes</w:t>
      </w:r>
    </w:p>
    <w:p w:rsidR="00AC113A" w:rsidRDefault="00AC113A">
      <w:pPr>
        <w:ind w:left="426"/>
        <w:jc w:val="both"/>
      </w:pPr>
      <w:r>
        <w:t>En accord avec l'article L.1123-6 du Code de Santé Publique, le protocole de recherche doit être soumis par le promoteur à un Comité de Protection des Personnes. L'avis de ce comité est notifié à l’autorité compétente par le promoteur avant le démarrage de la recherche.</w:t>
      </w:r>
    </w:p>
    <w:p w:rsidR="00AC113A" w:rsidRDefault="00AC113A"/>
    <w:p w:rsidR="00AC113A" w:rsidRDefault="00AC113A"/>
    <w:p w:rsidR="00AC113A" w:rsidRPr="00D207E2" w:rsidRDefault="00AC113A" w:rsidP="00D207E2">
      <w:pPr>
        <w:ind w:left="708"/>
        <w:jc w:val="both"/>
        <w:rPr>
          <w:rFonts w:ascii="Times New (W1)" w:hAnsi="Times New (W1)" w:cs="Times New (W1)"/>
          <w:b/>
          <w:smallCaps/>
        </w:rPr>
      </w:pPr>
      <w:r w:rsidRPr="00D207E2">
        <w:rPr>
          <w:rFonts w:ascii="Times New (W1)" w:hAnsi="Times New (W1)" w:cs="Times New (W1)"/>
          <w:b/>
          <w:smallCaps/>
        </w:rPr>
        <w:t>11.3 Modifications</w:t>
      </w:r>
    </w:p>
    <w:p w:rsidR="00AC113A" w:rsidRDefault="00AC113A">
      <w:pPr>
        <w:pStyle w:val="CorpsdetexteCorpsdetexte1"/>
        <w:ind w:left="426"/>
      </w:pPr>
    </w:p>
    <w:p w:rsidR="00AC113A" w:rsidRDefault="00AC113A">
      <w:pPr>
        <w:pStyle w:val="CorpsdetexteCorpsdetexte1"/>
        <w:ind w:left="426"/>
      </w:pPr>
      <w:r>
        <w:t>Les modifications apportées au protocole de l’étude devront être qualifiées en substantielles ou non.</w:t>
      </w:r>
    </w:p>
    <w:p w:rsidR="00AC113A" w:rsidRDefault="00AC113A">
      <w:pPr>
        <w:pStyle w:val="CorpsdetexteCorpsdetexte1"/>
        <w:ind w:left="426"/>
      </w:pPr>
    </w:p>
    <w:p w:rsidR="00AC113A" w:rsidRDefault="00AC113A">
      <w:pPr>
        <w:pStyle w:val="CorpsdetexteCorpsdetexte1"/>
        <w:ind w:left="426"/>
      </w:pPr>
      <w:r>
        <w:t>Une modification substantielle est une modification susceptible, d'une manière ou d'une autre, de modifier les garanties apportées aux personnes qui se prêtent à la recherche biomédicale (modification d’un critère d’inclusion, prolongation d’une durée d’inclusion, participation de nouveaux centres,…).</w:t>
      </w:r>
    </w:p>
    <w:p w:rsidR="00AC113A" w:rsidRDefault="00AC113A">
      <w:pPr>
        <w:pStyle w:val="CorpsdetexteCorpsdetexte1"/>
        <w:ind w:left="426"/>
      </w:pPr>
    </w:p>
    <w:p w:rsidR="00AC113A" w:rsidRDefault="00AC113A">
      <w:pPr>
        <w:pStyle w:val="CorpsdetexteCorpsdetexte1"/>
        <w:ind w:left="426"/>
      </w:pPr>
      <w:r>
        <w:t>Après le commencement de la recherche, toute modification substantielle de celle-ci à l’initiative du promoteur doit obtenir, préalablement à sa mise en œuvre, un avis favorable du comité de protection des personnes et une autorisation de l’autorité compétente. Dans ce cas, si cela est nécessaire, le comité s’assure qu’un nouveau consentement des personnes participant à la recherche est bien recueilli.</w:t>
      </w:r>
    </w:p>
    <w:p w:rsidR="00AC113A" w:rsidRDefault="00AC113A">
      <w:pPr>
        <w:pStyle w:val="CorpsdetexteCorpsdetexte1"/>
        <w:ind w:left="426"/>
      </w:pPr>
    </w:p>
    <w:p w:rsidR="00AC113A" w:rsidRDefault="00AC113A">
      <w:pPr>
        <w:pStyle w:val="CorpsdetexteCorpsdetexte1"/>
        <w:ind w:left="426"/>
      </w:pPr>
      <w:r>
        <w:t xml:space="preserve">Toute modification substantielle devra faire l’objet </w:t>
      </w:r>
      <w:r>
        <w:rPr>
          <w:bCs/>
        </w:rPr>
        <w:t>par le promoteur</w:t>
      </w:r>
      <w:r>
        <w:t xml:space="preserve"> d’une demande d’autorisation auprès de l’ANSM et/ou d’une demande d’avis du CPP.</w:t>
      </w:r>
    </w:p>
    <w:p w:rsidR="00AC113A" w:rsidRDefault="00AC113A">
      <w:pPr>
        <w:pStyle w:val="prototypecorpsdetexte"/>
        <w:spacing w:before="0"/>
        <w:ind w:firstLine="0"/>
      </w:pPr>
    </w:p>
    <w:p w:rsidR="00AC113A" w:rsidRDefault="00AC113A">
      <w:pPr>
        <w:ind w:firstLine="426"/>
        <w:rPr>
          <w:rFonts w:cs="Times New (W1)"/>
        </w:rPr>
      </w:pPr>
    </w:p>
    <w:p w:rsidR="00AC113A" w:rsidRPr="00D207E2" w:rsidRDefault="00AC113A" w:rsidP="00D207E2">
      <w:pPr>
        <w:ind w:left="708"/>
        <w:jc w:val="both"/>
        <w:rPr>
          <w:rFonts w:ascii="Times New (W1)" w:hAnsi="Times New (W1)" w:cs="Times New (W1)"/>
          <w:b/>
          <w:smallCaps/>
        </w:rPr>
      </w:pPr>
      <w:r w:rsidRPr="00D207E2">
        <w:rPr>
          <w:rFonts w:ascii="Times New (W1)" w:hAnsi="Times New (W1)" w:cs="Times New (W1)"/>
          <w:b/>
          <w:smallCaps/>
        </w:rPr>
        <w:t>11.4 Déclaration CNIL </w:t>
      </w:r>
    </w:p>
    <w:p w:rsidR="00AC113A" w:rsidRDefault="00AC113A">
      <w:pPr>
        <w:ind w:firstLine="426"/>
        <w:rPr>
          <w:rFonts w:ascii="Times New (W1)" w:hAnsi="Times New (W1)" w:cs="Times New (W1)"/>
          <w:bCs/>
          <w:i/>
          <w:smallCaps/>
        </w:rPr>
      </w:pPr>
    </w:p>
    <w:p w:rsidR="00AC113A" w:rsidRDefault="00AC113A">
      <w:pPr>
        <w:pStyle w:val="prototypecorpsdetexte"/>
        <w:spacing w:before="0"/>
        <w:ind w:left="426" w:firstLine="0"/>
        <w:rPr>
          <w:rFonts w:ascii="Times New Roman" w:hAnsi="Times New Roman" w:cs="Times New Roman"/>
          <w:sz w:val="24"/>
          <w:szCs w:val="24"/>
        </w:rPr>
      </w:pPr>
    </w:p>
    <w:p w:rsidR="00AC113A" w:rsidRDefault="00AC113A">
      <w:pPr>
        <w:pStyle w:val="prototypecorpsdetexte"/>
        <w:spacing w:before="0"/>
        <w:ind w:left="426" w:firstLine="0"/>
      </w:pPr>
      <w:r>
        <w:rPr>
          <w:rFonts w:ascii="Times New Roman" w:hAnsi="Times New Roman" w:cs="Times New Roman"/>
          <w:sz w:val="24"/>
          <w:szCs w:val="24"/>
        </w:rPr>
        <w:t>Cette recherche entre dans le cadre de la « Méthodologie de référence » (MR-001) en application des dispositions de l’article 54 alinéa 5 de la loi du 6 janvier 1978 modifiée relative à l’informatique, aux fichiers et aux libertés. Ce changement a été homologué par décision du 5 janvier 2006. Le CHR de Metz-Thionville a signé un engagement de conformité à cette « Méthodologie de référence ».</w:t>
      </w:r>
    </w:p>
    <w:p w:rsidR="00AC113A" w:rsidRDefault="00AC113A">
      <w:pPr>
        <w:jc w:val="both"/>
      </w:pPr>
    </w:p>
    <w:p w:rsidR="00AC113A" w:rsidRDefault="00AC113A">
      <w:pPr>
        <w:ind w:left="425"/>
        <w:jc w:val="both"/>
      </w:pPr>
      <w:r>
        <w:t>Seules les données nécessaires à la recherche seront recueillies. Le sujet a néanmoins le droit de s’opposer à ce que les données le concernant fassent l’objet d’un traitement automatisé. Le sujet aura à tout moment le droit d’accéder aux données le concernant. Il aura également le droit de demander à ce que les données inexactes ou devenues inexactes soient rectifiées. Il pourra à tout moment exercer ses droits auprès du Dr Michel AUSSEDAT investigateur principal.</w:t>
      </w:r>
    </w:p>
    <w:p w:rsidR="00AC113A" w:rsidRDefault="00AC113A">
      <w:pPr>
        <w:ind w:left="425"/>
        <w:jc w:val="both"/>
      </w:pPr>
      <w:r>
        <w:t>Pour toutes les informations de nature médicale, ses droits pourront être exercés directement ou par l’intermédiaire du médecin de son choix.</w:t>
      </w:r>
    </w:p>
    <w:p w:rsidR="00AC113A" w:rsidRDefault="00AC113A">
      <w:pPr>
        <w:ind w:left="426"/>
        <w:jc w:val="both"/>
      </w:pPr>
    </w:p>
    <w:p w:rsidR="00AC113A" w:rsidRPr="00D207E2" w:rsidRDefault="00AC113A" w:rsidP="00D207E2">
      <w:pPr>
        <w:ind w:left="708"/>
        <w:jc w:val="both"/>
        <w:rPr>
          <w:rFonts w:ascii="Times New (W1)" w:hAnsi="Times New (W1)" w:cs="Times New (W1)"/>
          <w:b/>
          <w:smallCaps/>
        </w:rPr>
      </w:pPr>
      <w:r w:rsidRPr="000D1B1C">
        <w:rPr>
          <w:rFonts w:cs="Arial"/>
        </w:rPr>
        <w:t xml:space="preserve">       </w:t>
      </w:r>
      <w:r w:rsidRPr="00D207E2">
        <w:rPr>
          <w:rFonts w:ascii="Times New (W1)" w:hAnsi="Times New (W1)" w:cs="Times New (W1)"/>
          <w:b/>
          <w:smallCaps/>
        </w:rPr>
        <w:t>11.5 Note d’information et Consentement éclairé</w:t>
      </w:r>
    </w:p>
    <w:p w:rsidR="00AC113A" w:rsidRDefault="00AC113A">
      <w:pPr>
        <w:ind w:left="425"/>
        <w:jc w:val="both"/>
      </w:pPr>
    </w:p>
    <w:p w:rsidR="00AC113A" w:rsidRDefault="00AC113A">
      <w:pPr>
        <w:ind w:left="425"/>
        <w:jc w:val="both"/>
        <w:rPr>
          <w:bCs/>
        </w:rPr>
      </w:pPr>
      <w:r>
        <w:rPr>
          <w:bCs/>
        </w:rPr>
        <w:t>Avant de recueillir le consentement du sujet, l</w:t>
      </w:r>
      <w:r>
        <w:t xml:space="preserve">’investigateur s’engage lui à délivrer </w:t>
      </w:r>
      <w:r>
        <w:rPr>
          <w:bCs/>
        </w:rPr>
        <w:t>une information claire et la plus complète possible sur l'étude envisagée ; il lui remet également la notice d’information.</w:t>
      </w:r>
    </w:p>
    <w:p w:rsidR="00AC113A" w:rsidRDefault="00AC113A">
      <w:pPr>
        <w:ind w:left="425"/>
        <w:jc w:val="both"/>
        <w:rPr>
          <w:bCs/>
        </w:rPr>
      </w:pPr>
    </w:p>
    <w:p w:rsidR="00AC113A" w:rsidRDefault="00AC113A">
      <w:pPr>
        <w:ind w:left="425"/>
        <w:jc w:val="both"/>
        <w:rPr>
          <w:bCs/>
        </w:rPr>
      </w:pPr>
    </w:p>
    <w:p w:rsidR="00AC113A" w:rsidRDefault="00AC113A">
      <w:pPr>
        <w:ind w:left="425"/>
        <w:jc w:val="both"/>
      </w:pPr>
    </w:p>
    <w:p w:rsidR="00AC113A" w:rsidRDefault="00AC113A">
      <w:pPr>
        <w:ind w:left="425"/>
        <w:jc w:val="both"/>
        <w:rPr>
          <w:rFonts w:ascii="Wingdings" w:hAnsi="Wingdings" w:cs="Wingdings"/>
        </w:rPr>
      </w:pPr>
      <w:r>
        <w:t xml:space="preserve">Le formulaire de consentement sera signé en deux exemplaires par le sujet et le médecin investigateur : </w:t>
      </w:r>
    </w:p>
    <w:p w:rsidR="00AC113A" w:rsidRDefault="00AC113A">
      <w:pPr>
        <w:ind w:left="425"/>
        <w:jc w:val="both"/>
        <w:rPr>
          <w:rFonts w:ascii="Wingdings" w:hAnsi="Wingdings" w:cs="Wingdings"/>
        </w:rPr>
      </w:pPr>
      <w:r>
        <w:rPr>
          <w:rFonts w:ascii="Wingdings" w:hAnsi="Wingdings" w:cs="Wingdings"/>
        </w:rPr>
        <w:t></w:t>
      </w:r>
      <w:r>
        <w:t xml:space="preserve"> Un exemplaire sera remis à la personne participant à la recherche</w:t>
      </w:r>
    </w:p>
    <w:p w:rsidR="00AC113A" w:rsidRDefault="00AC113A">
      <w:pPr>
        <w:ind w:left="425"/>
        <w:jc w:val="both"/>
      </w:pPr>
      <w:r>
        <w:rPr>
          <w:rFonts w:ascii="Wingdings" w:hAnsi="Wingdings" w:cs="Wingdings"/>
        </w:rPr>
        <w:t></w:t>
      </w:r>
      <w:r>
        <w:t xml:space="preserve"> Un exemplaire sera conservé et archivé par l'investigateur </w:t>
      </w:r>
    </w:p>
    <w:p w:rsidR="00AC113A" w:rsidRDefault="00AC113A">
      <w:pPr>
        <w:ind w:left="425"/>
        <w:jc w:val="both"/>
      </w:pPr>
    </w:p>
    <w:p w:rsidR="00AC113A" w:rsidRDefault="00AC113A">
      <w:pPr>
        <w:ind w:left="425"/>
        <w:jc w:val="both"/>
      </w:pPr>
      <w:r>
        <w:t>Les modalités d’information et de recueil du consentement dans le cadre de cette étude sont décrites au point 4.2</w:t>
      </w:r>
    </w:p>
    <w:p w:rsidR="00AC113A" w:rsidRDefault="00AC113A">
      <w:pPr>
        <w:ind w:left="425"/>
        <w:jc w:val="both"/>
      </w:pPr>
    </w:p>
    <w:p w:rsidR="00AC113A" w:rsidRDefault="00AC113A">
      <w:pPr>
        <w:tabs>
          <w:tab w:val="left" w:pos="1703"/>
        </w:tabs>
        <w:ind w:left="426"/>
        <w:jc w:val="both"/>
      </w:pPr>
    </w:p>
    <w:p w:rsidR="00AC113A" w:rsidRPr="00D207E2" w:rsidRDefault="00AC113A" w:rsidP="00D207E2">
      <w:pPr>
        <w:ind w:left="708"/>
        <w:jc w:val="both"/>
        <w:rPr>
          <w:rFonts w:ascii="Times New (W1)" w:hAnsi="Times New (W1)" w:cs="Times New (W1)"/>
          <w:b/>
          <w:smallCaps/>
        </w:rPr>
      </w:pPr>
      <w:r w:rsidRPr="00D207E2">
        <w:rPr>
          <w:rFonts w:ascii="Times New (W1)" w:hAnsi="Times New (W1)" w:cs="Times New (W1)"/>
          <w:b/>
          <w:smallCaps/>
        </w:rPr>
        <w:t>11.6  Rapport final de la recherche</w:t>
      </w:r>
    </w:p>
    <w:p w:rsidR="00AC113A" w:rsidRDefault="00AC113A">
      <w:pPr>
        <w:ind w:left="426"/>
        <w:jc w:val="both"/>
      </w:pPr>
    </w:p>
    <w:p w:rsidR="00AC113A" w:rsidRDefault="00AC113A">
      <w:pPr>
        <w:ind w:left="426"/>
        <w:jc w:val="both"/>
      </w:pPr>
      <w:r>
        <w:t>Le rapport final de la recherche sera écrit en collaboration par l’investigateur principal et le biostatisticien pour cette recherche. Ce rapport sera soumis à chacun des investigateurs pour avis. Une fois qu'un consensus aura été obtenu, la version finale devra être avalisée par la signature de chacun des investigateurs et adressée au promoteur dans les meilleurs délais après la fin effective de la recherche. Un rapport rédigé selon le plan de référence de l’autorité compétente doit être transmis à l’autorité compétente ainsi qu’au CPP dans un délai de un an, après la fin de la recherche, s’entendant comme la dernière visite de suivi du dernier sujet inclus. Ce délai est rapporté à 90 jours en cas d’arrêt prématuré de la recherche.</w:t>
      </w:r>
    </w:p>
    <w:p w:rsidR="00D207E2" w:rsidRDefault="00D207E2">
      <w:pPr>
        <w:ind w:left="426"/>
        <w:jc w:val="both"/>
      </w:pPr>
    </w:p>
    <w:p w:rsidR="00D207E2" w:rsidRDefault="00D207E2">
      <w:pPr>
        <w:ind w:left="426"/>
        <w:jc w:val="both"/>
      </w:pPr>
    </w:p>
    <w:p w:rsidR="00AC113A" w:rsidRPr="000D1B1C" w:rsidRDefault="00AC113A" w:rsidP="000D1B1C">
      <w:pPr>
        <w:shd w:val="clear" w:color="auto" w:fill="CCFFFF"/>
        <w:jc w:val="both"/>
        <w:rPr>
          <w:b/>
          <w:caps/>
        </w:rPr>
      </w:pPr>
      <w:r w:rsidRPr="000D1B1C">
        <w:rPr>
          <w:b/>
        </w:rPr>
        <w:t xml:space="preserve">12. </w:t>
      </w:r>
      <w:r w:rsidR="000D1B1C" w:rsidRPr="000D1B1C">
        <w:rPr>
          <w:b/>
        </w:rPr>
        <w:t xml:space="preserve">TRAITEMENT DES DONNEES ET CONSERVATION DES DOCUMENTS ET DES DONNEES RELATIVES A LA RECHERCHE </w:t>
      </w:r>
    </w:p>
    <w:p w:rsidR="00AC113A" w:rsidRDefault="00AC113A">
      <w:pPr>
        <w:pStyle w:val="Corpsdetexte"/>
        <w:spacing w:line="100" w:lineRule="atLeast"/>
        <w:ind w:left="426"/>
        <w:rPr>
          <w:rFonts w:cs="Times New Roman"/>
        </w:rPr>
      </w:pPr>
    </w:p>
    <w:p w:rsidR="00AC113A" w:rsidRDefault="00AC113A">
      <w:pPr>
        <w:pStyle w:val="Corpsdetexte"/>
        <w:spacing w:line="100" w:lineRule="atLeast"/>
        <w:ind w:left="426"/>
        <w:rPr>
          <w:rFonts w:cs="Times New Roman"/>
          <w:i/>
        </w:rPr>
      </w:pPr>
      <w:r>
        <w:rPr>
          <w:rFonts w:cs="Times New Roman"/>
        </w:rPr>
        <w:t>Les documents d’une recherche entrant dans le cadre de la loi sur les recherches biomédicales doivent être archivés par toutes les parties pendant une durée de 15 ans après la fin de la recherche</w:t>
      </w:r>
      <w:r>
        <w:rPr>
          <w:rFonts w:cs="Times New Roman"/>
          <w:i/>
        </w:rPr>
        <w:t>.</w:t>
      </w:r>
    </w:p>
    <w:p w:rsidR="00AC113A" w:rsidRDefault="00AC113A">
      <w:pPr>
        <w:pStyle w:val="Corpsdetexte"/>
        <w:spacing w:line="100" w:lineRule="atLeast"/>
        <w:ind w:left="426"/>
        <w:rPr>
          <w:caps/>
        </w:rPr>
      </w:pPr>
      <w:r>
        <w:rPr>
          <w:rFonts w:cs="Times New Roman"/>
          <w:i/>
        </w:rPr>
        <w:t>(voir BPC, chapitre 8 : documents essentiels)</w:t>
      </w:r>
    </w:p>
    <w:p w:rsidR="00AC113A" w:rsidRDefault="00AC113A">
      <w:pPr>
        <w:ind w:left="426" w:right="181"/>
        <w:rPr>
          <w:caps/>
        </w:rPr>
      </w:pPr>
    </w:p>
    <w:p w:rsidR="00AC113A" w:rsidRDefault="00AC113A">
      <w:pPr>
        <w:ind w:left="426" w:right="181"/>
        <w:jc w:val="both"/>
      </w:pPr>
      <w:r>
        <w:rPr>
          <w:caps/>
        </w:rPr>
        <w:t>c</w:t>
      </w:r>
      <w:r>
        <w:t>et archivage indexé comporte :</w:t>
      </w:r>
    </w:p>
    <w:p w:rsidR="00AC113A" w:rsidRDefault="00AC113A">
      <w:pPr>
        <w:numPr>
          <w:ilvl w:val="0"/>
          <w:numId w:val="21"/>
        </w:numPr>
        <w:tabs>
          <w:tab w:val="left" w:pos="993"/>
          <w:tab w:val="left" w:pos="1134"/>
        </w:tabs>
        <w:ind w:left="993" w:right="181" w:hanging="284"/>
        <w:jc w:val="both"/>
      </w:pPr>
      <w:r>
        <w:t>Les copies de courrier d’autorisation de l’ANSM et de l’avis obligatoire du CPP</w:t>
      </w:r>
    </w:p>
    <w:p w:rsidR="00AC113A" w:rsidRDefault="00AC113A">
      <w:pPr>
        <w:numPr>
          <w:ilvl w:val="0"/>
          <w:numId w:val="21"/>
        </w:numPr>
        <w:tabs>
          <w:tab w:val="left" w:pos="993"/>
          <w:tab w:val="left" w:pos="1134"/>
        </w:tabs>
        <w:ind w:left="993" w:right="181" w:hanging="284"/>
        <w:jc w:val="both"/>
      </w:pPr>
      <w:r>
        <w:t>Les versions successives du protocole (identifiées par le n° de version et la date de version),</w:t>
      </w:r>
    </w:p>
    <w:p w:rsidR="00AC113A" w:rsidRDefault="00AC113A">
      <w:pPr>
        <w:numPr>
          <w:ilvl w:val="0"/>
          <w:numId w:val="21"/>
        </w:numPr>
        <w:tabs>
          <w:tab w:val="left" w:pos="993"/>
          <w:tab w:val="left" w:pos="1134"/>
        </w:tabs>
        <w:ind w:left="993" w:right="181" w:hanging="284"/>
        <w:jc w:val="both"/>
      </w:pPr>
      <w:r>
        <w:t>Les courriers de correspondance avec le promoteur,</w:t>
      </w:r>
    </w:p>
    <w:p w:rsidR="00AC113A" w:rsidRDefault="00AC113A">
      <w:pPr>
        <w:numPr>
          <w:ilvl w:val="0"/>
          <w:numId w:val="21"/>
        </w:numPr>
        <w:tabs>
          <w:tab w:val="left" w:pos="993"/>
          <w:tab w:val="left" w:pos="1134"/>
        </w:tabs>
        <w:ind w:left="993" w:right="181" w:hanging="284"/>
        <w:jc w:val="both"/>
      </w:pPr>
      <w:r>
        <w:t>Les consentements signés des sujets sous pli cacheté avec la liste ou registre d’inclusion en correspondance,</w:t>
      </w:r>
    </w:p>
    <w:p w:rsidR="00AC113A" w:rsidRDefault="00AC113A">
      <w:pPr>
        <w:numPr>
          <w:ilvl w:val="0"/>
          <w:numId w:val="21"/>
        </w:numPr>
        <w:tabs>
          <w:tab w:val="left" w:pos="993"/>
          <w:tab w:val="left" w:pos="1134"/>
        </w:tabs>
        <w:ind w:left="993" w:right="181" w:hanging="284"/>
        <w:jc w:val="both"/>
      </w:pPr>
      <w:r>
        <w:t xml:space="preserve">Le cahier d’observation complété et validé de chaque sujet inclus, </w:t>
      </w:r>
    </w:p>
    <w:p w:rsidR="00AC113A" w:rsidRDefault="00AC113A">
      <w:pPr>
        <w:numPr>
          <w:ilvl w:val="0"/>
          <w:numId w:val="21"/>
        </w:numPr>
        <w:tabs>
          <w:tab w:val="left" w:pos="993"/>
          <w:tab w:val="left" w:pos="1134"/>
        </w:tabs>
        <w:ind w:left="993" w:right="181" w:hanging="284"/>
        <w:jc w:val="both"/>
      </w:pPr>
      <w:r>
        <w:t>Toutes les annexes spécifiques à l’étude,</w:t>
      </w:r>
    </w:p>
    <w:p w:rsidR="00AC113A" w:rsidRDefault="00AC113A">
      <w:pPr>
        <w:numPr>
          <w:ilvl w:val="0"/>
          <w:numId w:val="21"/>
        </w:numPr>
        <w:tabs>
          <w:tab w:val="left" w:pos="993"/>
          <w:tab w:val="left" w:pos="1134"/>
          <w:tab w:val="left" w:pos="5883"/>
        </w:tabs>
        <w:ind w:left="993" w:right="181" w:hanging="284"/>
        <w:jc w:val="both"/>
      </w:pPr>
      <w:r>
        <w:t>Le rapport final de l’étude provenant de l’analyse statistique et du contrôle qualité de l’étude (double transmis au promoteur).</w:t>
      </w:r>
    </w:p>
    <w:p w:rsidR="00AC113A" w:rsidRDefault="00AC113A">
      <w:pPr>
        <w:numPr>
          <w:ilvl w:val="0"/>
          <w:numId w:val="21"/>
        </w:numPr>
        <w:tabs>
          <w:tab w:val="left" w:pos="993"/>
          <w:tab w:val="left" w:pos="1134"/>
          <w:tab w:val="left" w:pos="5883"/>
        </w:tabs>
        <w:ind w:left="993" w:right="181" w:hanging="284"/>
        <w:jc w:val="both"/>
      </w:pPr>
      <w:r>
        <w:t>Les certificats d’audit éventuels réalisés au cours de la recherche</w:t>
      </w:r>
    </w:p>
    <w:p w:rsidR="00AC113A" w:rsidRDefault="00AC113A">
      <w:pPr>
        <w:tabs>
          <w:tab w:val="left" w:pos="993"/>
          <w:tab w:val="left" w:pos="1134"/>
          <w:tab w:val="left" w:pos="3897"/>
        </w:tabs>
        <w:spacing w:before="60"/>
        <w:ind w:right="181"/>
        <w:jc w:val="both"/>
      </w:pPr>
    </w:p>
    <w:p w:rsidR="00AC113A" w:rsidRDefault="00AC113A">
      <w:pPr>
        <w:ind w:left="426" w:right="181"/>
        <w:jc w:val="both"/>
      </w:pPr>
      <w:r>
        <w:t>La base de données ayant donné lieu à l’analyse statistique doit aussi faire l’objet d’archivage par le responsable de l’analyse (support papier ou informatique).</w:t>
      </w:r>
    </w:p>
    <w:p w:rsidR="00AC113A" w:rsidRDefault="00AC113A">
      <w:pPr>
        <w:jc w:val="both"/>
      </w:pPr>
    </w:p>
    <w:p w:rsidR="00AC113A" w:rsidRDefault="00AC113A">
      <w:pPr>
        <w:pStyle w:val="Texte"/>
        <w:spacing w:after="0" w:line="100" w:lineRule="atLeast"/>
        <w:ind w:left="1416"/>
        <w:rPr>
          <w:sz w:val="24"/>
          <w:szCs w:val="24"/>
        </w:rPr>
      </w:pPr>
    </w:p>
    <w:p w:rsidR="00AC113A" w:rsidRDefault="00AC113A">
      <w:pPr>
        <w:shd w:val="clear" w:color="auto" w:fill="CCFFFF"/>
        <w:jc w:val="both"/>
      </w:pPr>
      <w:r>
        <w:rPr>
          <w:b/>
          <w:caps/>
        </w:rPr>
        <w:t>13. Financement et assurance</w:t>
      </w:r>
    </w:p>
    <w:p w:rsidR="00AC113A" w:rsidRDefault="00AC113A">
      <w:pPr>
        <w:jc w:val="both"/>
      </w:pPr>
    </w:p>
    <w:p w:rsidR="00AC113A" w:rsidRDefault="00AC113A">
      <w:pPr>
        <w:ind w:firstLine="708"/>
        <w:jc w:val="both"/>
        <w:rPr>
          <w:b/>
          <w:caps/>
        </w:rPr>
      </w:pPr>
    </w:p>
    <w:p w:rsidR="00AC113A" w:rsidRDefault="00AC113A">
      <w:pPr>
        <w:ind w:firstLine="708"/>
        <w:jc w:val="both"/>
      </w:pPr>
      <w:r>
        <w:rPr>
          <w:rFonts w:ascii="Times New (W1)" w:hAnsi="Times New (W1)" w:cs="Times New (W1)"/>
          <w:b/>
          <w:smallCaps/>
        </w:rPr>
        <w:t>13.1 Assurance</w:t>
      </w:r>
    </w:p>
    <w:p w:rsidR="00AC113A" w:rsidRDefault="00AC113A">
      <w:pPr>
        <w:jc w:val="both"/>
      </w:pPr>
    </w:p>
    <w:p w:rsidR="00AC113A" w:rsidRDefault="00AC113A">
      <w:pPr>
        <w:ind w:left="426"/>
        <w:jc w:val="both"/>
        <w:rPr>
          <w:b/>
          <w:caps/>
        </w:rPr>
      </w:pPr>
      <w:r>
        <w:t>Le promoteur a souscrit auprès de la SHAM pour toute la durée de l'étude une assurance garantissant sa propre responsabilité civile ainsi que celle de tout intervenant impliqué dans la réalisation de l'étude, indépendamment de la nature des liens existant entre les intervenants et le promoteur.</w:t>
      </w:r>
    </w:p>
    <w:p w:rsidR="00AC113A" w:rsidRDefault="00AC113A">
      <w:pPr>
        <w:jc w:val="both"/>
        <w:rPr>
          <w:b/>
          <w:caps/>
        </w:rPr>
      </w:pPr>
    </w:p>
    <w:p w:rsidR="00AC113A" w:rsidRDefault="00AC113A">
      <w:pPr>
        <w:pStyle w:val="Titre3"/>
      </w:pPr>
      <w:r>
        <w:rPr>
          <w:rFonts w:ascii="Times New (W1)" w:hAnsi="Times New (W1)" w:cs="Times New Roman"/>
          <w:smallCaps/>
          <w:sz w:val="24"/>
          <w:szCs w:val="24"/>
        </w:rPr>
        <w:t xml:space="preserve">            13. 2 financement</w:t>
      </w:r>
    </w:p>
    <w:p w:rsidR="00AC113A" w:rsidRDefault="00AC113A">
      <w:pPr>
        <w:ind w:left="426"/>
        <w:jc w:val="both"/>
      </w:pPr>
    </w:p>
    <w:p w:rsidR="00AC113A" w:rsidRDefault="00AC113A">
      <w:pPr>
        <w:ind w:left="426"/>
        <w:jc w:val="both"/>
      </w:pPr>
      <w:r>
        <w:t xml:space="preserve">Cette étude est soumise à différents appels à projets afin de couvrir les surcoûts spécifiques </w:t>
      </w:r>
      <w:r>
        <w:lastRenderedPageBreak/>
        <w:t>engendrés par sa mise en œuvre.</w:t>
      </w:r>
    </w:p>
    <w:p w:rsidR="00AC113A" w:rsidRDefault="00AC113A">
      <w:pPr>
        <w:ind w:left="426"/>
        <w:jc w:val="both"/>
      </w:pPr>
    </w:p>
    <w:p w:rsidR="00936D1F" w:rsidRDefault="00936D1F">
      <w:pPr>
        <w:ind w:left="426"/>
        <w:jc w:val="both"/>
      </w:pPr>
    </w:p>
    <w:p w:rsidR="00936D1F" w:rsidRDefault="00936D1F">
      <w:pPr>
        <w:ind w:left="426"/>
        <w:jc w:val="both"/>
      </w:pPr>
    </w:p>
    <w:p w:rsidR="00AC113A" w:rsidRDefault="00AC113A">
      <w:pPr>
        <w:jc w:val="both"/>
      </w:pPr>
    </w:p>
    <w:p w:rsidR="00AC113A" w:rsidRDefault="00AC113A">
      <w:pPr>
        <w:shd w:val="clear" w:color="auto" w:fill="CCFFFF"/>
        <w:jc w:val="both"/>
      </w:pPr>
      <w:r>
        <w:rPr>
          <w:b/>
          <w:caps/>
        </w:rPr>
        <w:t>14. Règles relatives à la publication.</w:t>
      </w:r>
    </w:p>
    <w:p w:rsidR="00AC113A" w:rsidRDefault="00AC113A">
      <w:pPr>
        <w:jc w:val="both"/>
      </w:pPr>
    </w:p>
    <w:p w:rsidR="00AC113A" w:rsidRDefault="00AC113A">
      <w:pPr>
        <w:ind w:left="426"/>
        <w:jc w:val="both"/>
      </w:pPr>
      <w:r>
        <w:t>Le CHR de Metz-Thionville est propriétaire des données et aucune utilisation ou transmission à un tiers ne peut être effectuée sans son accord préalable.</w:t>
      </w:r>
    </w:p>
    <w:p w:rsidR="00AC113A" w:rsidRDefault="00AC113A">
      <w:pPr>
        <w:jc w:val="both"/>
      </w:pPr>
    </w:p>
    <w:p w:rsidR="00AC113A" w:rsidRDefault="00AC113A">
      <w:pPr>
        <w:ind w:left="426"/>
        <w:jc w:val="both"/>
      </w:pPr>
      <w:r>
        <w:t>Le CHR de Metz-Thionville doit être mentionné comme étant le promoteur de la recherche biomédicale et comme soutien financier le cas échéant.</w:t>
      </w:r>
    </w:p>
    <w:p w:rsidR="00AC113A" w:rsidRDefault="00AC113A">
      <w:pPr>
        <w:ind w:left="426"/>
        <w:jc w:val="both"/>
      </w:pPr>
    </w:p>
    <w:p w:rsidR="00AC113A" w:rsidRDefault="00AC113A">
      <w:pPr>
        <w:ind w:left="426"/>
        <w:jc w:val="both"/>
      </w:pPr>
      <w:r>
        <w:t xml:space="preserve">Les publications incluront dans la liste des auteurs </w:t>
      </w:r>
      <w:r>
        <w:rPr>
          <w:rStyle w:val="Marquedecommentaire1"/>
          <w:i/>
          <w:sz w:val="24"/>
          <w:szCs w:val="24"/>
        </w:rPr>
        <w:t>Sarah Bedini, Laurence Weibel, Michel Aussedat selon leur implication dans la rédaction des articles.</w:t>
      </w:r>
    </w:p>
    <w:p w:rsidR="00AC113A" w:rsidRDefault="00AC113A">
      <w:pPr>
        <w:autoSpaceDE w:val="0"/>
        <w:jc w:val="both"/>
      </w:pPr>
    </w:p>
    <w:p w:rsidR="00AC113A" w:rsidRDefault="00AC113A">
      <w:pPr>
        <w:autoSpaceDE w:val="0"/>
        <w:jc w:val="both"/>
      </w:pPr>
    </w:p>
    <w:p w:rsidR="00AC113A" w:rsidRDefault="00AC113A">
      <w:pPr>
        <w:shd w:val="clear" w:color="auto" w:fill="CCFFFF"/>
        <w:jc w:val="both"/>
        <w:rPr>
          <w:rFonts w:cs="Times New Roman"/>
        </w:rPr>
      </w:pPr>
      <w:r>
        <w:rPr>
          <w:b/>
          <w:caps/>
        </w:rPr>
        <w:t>15. Liste des annexes.</w:t>
      </w:r>
    </w:p>
    <w:p w:rsidR="00AC113A" w:rsidRDefault="00AC113A">
      <w:pPr>
        <w:pStyle w:val="Corpsdetexte"/>
        <w:spacing w:line="100" w:lineRule="atLeast"/>
        <w:ind w:left="426"/>
        <w:rPr>
          <w:rFonts w:cs="Times New Roman"/>
        </w:rPr>
      </w:pPr>
    </w:p>
    <w:p w:rsidR="00AC113A" w:rsidRDefault="00AC113A">
      <w:pPr>
        <w:pStyle w:val="Corpsdetexte"/>
        <w:spacing w:line="100" w:lineRule="atLeast"/>
        <w:ind w:left="426"/>
        <w:rPr>
          <w:rFonts w:cs="Times New Roman"/>
          <w:i/>
        </w:rPr>
      </w:pPr>
      <w:r>
        <w:rPr>
          <w:rFonts w:cs="Times New Roman"/>
          <w:i/>
        </w:rPr>
        <w:t>Annexe 1 : notice</w:t>
      </w:r>
      <w:r w:rsidR="00264D00">
        <w:rPr>
          <w:rFonts w:cs="Times New Roman"/>
          <w:i/>
        </w:rPr>
        <w:t>s</w:t>
      </w:r>
      <w:r>
        <w:rPr>
          <w:rFonts w:cs="Times New Roman"/>
          <w:i/>
        </w:rPr>
        <w:t xml:space="preserve"> d'utilisation de la salivette</w:t>
      </w:r>
    </w:p>
    <w:p w:rsidR="00264D00" w:rsidRDefault="00264D00">
      <w:pPr>
        <w:pStyle w:val="Corpsdetexte"/>
        <w:spacing w:line="100" w:lineRule="atLeast"/>
        <w:ind w:left="426"/>
        <w:rPr>
          <w:rFonts w:cs="Times New Roman"/>
          <w:i/>
        </w:rPr>
      </w:pPr>
    </w:p>
    <w:p w:rsidR="00264D00" w:rsidRPr="00264D00" w:rsidRDefault="00A17D42">
      <w:pPr>
        <w:pStyle w:val="Corpsdetexte"/>
        <w:spacing w:line="100" w:lineRule="atLeast"/>
        <w:ind w:left="426"/>
      </w:pPr>
      <w:r w:rsidRPr="00264D00">
        <w:rPr>
          <w:noProof/>
          <w:lang w:eastAsia="fr-FR" w:bidi="ar-SA"/>
        </w:rPr>
        <w:drawing>
          <wp:inline distT="0" distB="0" distL="0" distR="0">
            <wp:extent cx="5200650" cy="41433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4143375"/>
                    </a:xfrm>
                    <a:prstGeom prst="rect">
                      <a:avLst/>
                    </a:prstGeom>
                    <a:noFill/>
                    <a:ln>
                      <a:noFill/>
                    </a:ln>
                  </pic:spPr>
                </pic:pic>
              </a:graphicData>
            </a:graphic>
          </wp:inline>
        </w:drawing>
      </w:r>
    </w:p>
    <w:p w:rsidR="00AC113A" w:rsidRDefault="00A17D42">
      <w:pPr>
        <w:pStyle w:val="Corpsdetexte"/>
        <w:spacing w:line="100" w:lineRule="atLeast"/>
        <w:ind w:left="426"/>
        <w:rPr>
          <w:rFonts w:cs="Times New Roman"/>
          <w:i/>
        </w:rPr>
      </w:pPr>
      <w:r>
        <w:rPr>
          <w:noProof/>
          <w:lang w:eastAsia="fr-FR" w:bidi="ar-SA"/>
        </w:rPr>
        <w:lastRenderedPageBreak/>
        <w:drawing>
          <wp:anchor distT="0" distB="0" distL="0" distR="0" simplePos="0" relativeHeight="251656704" behindDoc="0" locked="0" layoutInCell="1" allowOverlap="1">
            <wp:simplePos x="0" y="0"/>
            <wp:positionH relativeFrom="column">
              <wp:align>center</wp:align>
            </wp:positionH>
            <wp:positionV relativeFrom="paragraph">
              <wp:posOffset>76200</wp:posOffset>
            </wp:positionV>
            <wp:extent cx="4704080" cy="5542280"/>
            <wp:effectExtent l="0" t="0" r="1270" b="1270"/>
            <wp:wrapTopAndBottom/>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4080" cy="5542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C113A" w:rsidRDefault="00AC113A">
      <w:pPr>
        <w:pStyle w:val="Corpsdetexte"/>
        <w:spacing w:line="100" w:lineRule="atLeast"/>
        <w:ind w:left="426"/>
        <w:rPr>
          <w:rFonts w:cs="Times New Roman"/>
          <w:i/>
        </w:rPr>
      </w:pPr>
    </w:p>
    <w:p w:rsidR="00AC113A" w:rsidRDefault="00AC113A">
      <w:pPr>
        <w:jc w:val="both"/>
      </w:pPr>
    </w:p>
    <w:p w:rsidR="00264D00" w:rsidRDefault="00264D00">
      <w:pPr>
        <w:jc w:val="both"/>
      </w:pPr>
    </w:p>
    <w:p w:rsidR="00AC113A" w:rsidRDefault="00AC113A">
      <w:pPr>
        <w:jc w:val="both"/>
      </w:pPr>
    </w:p>
    <w:p w:rsidR="00AC113A" w:rsidRDefault="00AC113A">
      <w:pPr>
        <w:jc w:val="both"/>
      </w:pPr>
      <w:r>
        <w:t>Annexe 2 : Echelle EVA</w:t>
      </w:r>
    </w:p>
    <w:p w:rsidR="00AC113A" w:rsidRDefault="00A17D42">
      <w:pPr>
        <w:jc w:val="both"/>
      </w:pPr>
      <w:r>
        <w:rPr>
          <w:noProof/>
          <w:lang w:eastAsia="fr-FR" w:bidi="ar-SA"/>
        </w:rPr>
        <w:drawing>
          <wp:anchor distT="0" distB="0" distL="0" distR="0" simplePos="0" relativeHeight="251657728" behindDoc="0" locked="0" layoutInCell="1" allowOverlap="1">
            <wp:simplePos x="0" y="0"/>
            <wp:positionH relativeFrom="column">
              <wp:align>center</wp:align>
            </wp:positionH>
            <wp:positionV relativeFrom="paragraph">
              <wp:posOffset>0</wp:posOffset>
            </wp:positionV>
            <wp:extent cx="5703570" cy="1884045"/>
            <wp:effectExtent l="0" t="0" r="0" b="1905"/>
            <wp:wrapTopAndBottom/>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3570" cy="1884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C113A" w:rsidRDefault="00AC113A">
      <w:pPr>
        <w:jc w:val="both"/>
      </w:pPr>
    </w:p>
    <w:p w:rsidR="00AC113A" w:rsidRDefault="00AC113A">
      <w:pPr>
        <w:jc w:val="both"/>
      </w:pPr>
    </w:p>
    <w:p w:rsidR="00AC113A" w:rsidRDefault="00AC113A">
      <w:pPr>
        <w:jc w:val="both"/>
      </w:pPr>
      <w:r>
        <w:lastRenderedPageBreak/>
        <w:t>Annexe 3 : questionnaire SPPN</w:t>
      </w:r>
    </w:p>
    <w:p w:rsidR="00264D00" w:rsidRDefault="00264D00">
      <w:pPr>
        <w:jc w:val="both"/>
      </w:pPr>
    </w:p>
    <w:p w:rsidR="00264D00" w:rsidRDefault="00264D00">
      <w:pPr>
        <w:jc w:val="both"/>
      </w:pPr>
    </w:p>
    <w:p w:rsidR="00AC113A" w:rsidRDefault="00A17D42">
      <w:pPr>
        <w:jc w:val="both"/>
      </w:pPr>
      <w:r>
        <w:rPr>
          <w:noProof/>
          <w:lang w:eastAsia="fr-FR" w:bidi="ar-SA"/>
        </w:rPr>
        <w:drawing>
          <wp:anchor distT="0" distB="0" distL="0" distR="0" simplePos="0" relativeHeight="251658752" behindDoc="0" locked="0" layoutInCell="1" allowOverlap="1">
            <wp:simplePos x="0" y="0"/>
            <wp:positionH relativeFrom="column">
              <wp:align>center</wp:align>
            </wp:positionH>
            <wp:positionV relativeFrom="paragraph">
              <wp:posOffset>0</wp:posOffset>
            </wp:positionV>
            <wp:extent cx="5199380" cy="6409055"/>
            <wp:effectExtent l="0" t="0" r="1270" b="0"/>
            <wp:wrapTopAndBottom/>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9380" cy="6409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C113A" w:rsidRDefault="00AC113A">
      <w:pPr>
        <w:jc w:val="both"/>
      </w:pPr>
    </w:p>
    <w:p w:rsidR="00AC113A" w:rsidRDefault="00AC113A">
      <w:pPr>
        <w:jc w:val="both"/>
      </w:pPr>
    </w:p>
    <w:p w:rsidR="00AC113A" w:rsidRDefault="00AC113A">
      <w:pPr>
        <w:jc w:val="both"/>
      </w:pPr>
    </w:p>
    <w:p w:rsidR="00AC113A" w:rsidRDefault="00AC113A">
      <w:pPr>
        <w:jc w:val="both"/>
      </w:pPr>
    </w:p>
    <w:p w:rsidR="00AC113A" w:rsidRDefault="00AC113A">
      <w:pPr>
        <w:jc w:val="both"/>
      </w:pPr>
    </w:p>
    <w:p w:rsidR="00AC113A" w:rsidRDefault="00AC113A">
      <w:pPr>
        <w:jc w:val="both"/>
      </w:pPr>
    </w:p>
    <w:p w:rsidR="00AC113A" w:rsidRDefault="00AC113A">
      <w:pPr>
        <w:jc w:val="both"/>
      </w:pPr>
    </w:p>
    <w:p w:rsidR="00AC113A" w:rsidRDefault="00AC113A">
      <w:pPr>
        <w:jc w:val="both"/>
      </w:pPr>
    </w:p>
    <w:p w:rsidR="00AC113A" w:rsidRDefault="00AC113A">
      <w:pPr>
        <w:jc w:val="both"/>
      </w:pPr>
    </w:p>
    <w:p w:rsidR="00AC113A" w:rsidRDefault="00AC113A">
      <w:pPr>
        <w:jc w:val="both"/>
      </w:pPr>
    </w:p>
    <w:p w:rsidR="00AC113A" w:rsidRDefault="00AC113A">
      <w:pPr>
        <w:jc w:val="both"/>
      </w:pPr>
    </w:p>
    <w:p w:rsidR="00AC113A" w:rsidRDefault="00AC113A">
      <w:pPr>
        <w:jc w:val="both"/>
      </w:pPr>
    </w:p>
    <w:p w:rsidR="00AC113A" w:rsidRDefault="00AC113A">
      <w:pPr>
        <w:shd w:val="clear" w:color="auto" w:fill="CCFFFF"/>
        <w:jc w:val="both"/>
      </w:pPr>
      <w:r>
        <w:rPr>
          <w:b/>
        </w:rPr>
        <w:lastRenderedPageBreak/>
        <w:t>16. REFERENCES BIBLIOGRAPHIQUES</w:t>
      </w:r>
    </w:p>
    <w:p w:rsidR="00AC113A" w:rsidRDefault="00AC113A">
      <w:pPr>
        <w:jc w:val="both"/>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GB"/>
        </w:rPr>
        <w:t xml:space="preserve"> Weibel L, Gabrion I, Aussedat M, Kreutz G. </w:t>
      </w:r>
      <w:hyperlink r:id="rId15" w:history="1">
        <w:r w:rsidRPr="008B1937">
          <w:rPr>
            <w:rStyle w:val="Lienhypertexte"/>
            <w:rFonts w:ascii="Times New Roman" w:hAnsi="Times New Roman"/>
            <w:b w:val="0"/>
            <w:bCs w:val="0"/>
            <w:color w:val="auto"/>
            <w:sz w:val="22"/>
            <w:szCs w:val="22"/>
            <w:u w:val="none"/>
            <w:lang w:val="en-GB"/>
          </w:rPr>
          <w:t>Work-related stress in an emergency medical dispatch center.</w:t>
        </w:r>
      </w:hyperlink>
      <w:r w:rsidRPr="007E7407">
        <w:rPr>
          <w:rFonts w:ascii="Times New Roman" w:hAnsi="Times New Roman" w:cs="Times New Roman"/>
          <w:b w:val="0"/>
          <w:bCs w:val="0"/>
          <w:sz w:val="22"/>
          <w:szCs w:val="22"/>
          <w:lang w:val="en-GB"/>
        </w:rPr>
        <w:t xml:space="preserve"> </w:t>
      </w:r>
      <w:r w:rsidRPr="007E7407">
        <w:rPr>
          <w:rStyle w:val="jrnl"/>
          <w:rFonts w:ascii="Times New Roman" w:hAnsi="Times New Roman"/>
          <w:b w:val="0"/>
          <w:bCs w:val="0"/>
          <w:sz w:val="22"/>
          <w:szCs w:val="22"/>
          <w:lang w:val="en-US"/>
        </w:rPr>
        <w:t>Ann Emerg Med</w:t>
      </w:r>
      <w:r w:rsidRPr="007E7407">
        <w:rPr>
          <w:rFonts w:ascii="Times New Roman" w:hAnsi="Times New Roman" w:cs="Times New Roman"/>
          <w:b w:val="0"/>
          <w:bCs w:val="0"/>
          <w:sz w:val="22"/>
          <w:szCs w:val="22"/>
          <w:lang w:val="en-US"/>
        </w:rPr>
        <w:t>. 2003 Apr;41(4):500-6.</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16" w:history="1">
        <w:r w:rsidRPr="008B1937">
          <w:rPr>
            <w:rStyle w:val="Lienhypertexte"/>
            <w:rFonts w:ascii="Times New Roman" w:hAnsi="Times New Roman"/>
            <w:b w:val="0"/>
            <w:bCs w:val="0"/>
            <w:color w:val="auto"/>
            <w:sz w:val="22"/>
            <w:szCs w:val="22"/>
            <w:u w:val="none"/>
            <w:lang w:val="en-GB"/>
          </w:rPr>
          <w:t>Bhui KS</w:t>
        </w:r>
      </w:hyperlink>
      <w:r w:rsidRPr="007E7407">
        <w:rPr>
          <w:rFonts w:ascii="Times New Roman" w:hAnsi="Times New Roman" w:cs="Times New Roman"/>
          <w:b w:val="0"/>
          <w:bCs w:val="0"/>
          <w:sz w:val="22"/>
          <w:szCs w:val="22"/>
          <w:lang w:val="en-US"/>
        </w:rPr>
        <w:t xml:space="preserve">, </w:t>
      </w:r>
      <w:hyperlink r:id="rId17" w:history="1">
        <w:r w:rsidRPr="008B1937">
          <w:rPr>
            <w:rStyle w:val="Lienhypertexte"/>
            <w:rFonts w:ascii="Times New Roman" w:hAnsi="Times New Roman"/>
            <w:b w:val="0"/>
            <w:bCs w:val="0"/>
            <w:color w:val="auto"/>
            <w:sz w:val="22"/>
            <w:szCs w:val="22"/>
            <w:u w:val="none"/>
            <w:lang w:val="en-GB"/>
          </w:rPr>
          <w:t>Dinos S</w:t>
        </w:r>
      </w:hyperlink>
      <w:r w:rsidRPr="007E7407">
        <w:rPr>
          <w:rFonts w:ascii="Times New Roman" w:hAnsi="Times New Roman" w:cs="Times New Roman"/>
          <w:b w:val="0"/>
          <w:bCs w:val="0"/>
          <w:sz w:val="22"/>
          <w:szCs w:val="22"/>
          <w:lang w:val="en-US"/>
        </w:rPr>
        <w:t xml:space="preserve">, </w:t>
      </w:r>
      <w:hyperlink r:id="rId18" w:history="1">
        <w:r w:rsidRPr="008B1937">
          <w:rPr>
            <w:rStyle w:val="Lienhypertexte"/>
            <w:rFonts w:ascii="Times New Roman" w:hAnsi="Times New Roman"/>
            <w:b w:val="0"/>
            <w:bCs w:val="0"/>
            <w:color w:val="auto"/>
            <w:sz w:val="22"/>
            <w:szCs w:val="22"/>
            <w:u w:val="none"/>
            <w:lang w:val="en-GB"/>
          </w:rPr>
          <w:t>Stansfeld SA</w:t>
        </w:r>
      </w:hyperlink>
      <w:r w:rsidRPr="007E7407">
        <w:rPr>
          <w:rFonts w:ascii="Times New Roman" w:hAnsi="Times New Roman" w:cs="Times New Roman"/>
          <w:b w:val="0"/>
          <w:bCs w:val="0"/>
          <w:sz w:val="22"/>
          <w:szCs w:val="22"/>
          <w:lang w:val="en-US"/>
        </w:rPr>
        <w:t xml:space="preserve">, </w:t>
      </w:r>
      <w:hyperlink r:id="rId19" w:history="1">
        <w:r w:rsidRPr="008B1937">
          <w:rPr>
            <w:rStyle w:val="Lienhypertexte"/>
            <w:rFonts w:ascii="Times New Roman" w:hAnsi="Times New Roman"/>
            <w:b w:val="0"/>
            <w:bCs w:val="0"/>
            <w:color w:val="auto"/>
            <w:sz w:val="22"/>
            <w:szCs w:val="22"/>
            <w:u w:val="none"/>
            <w:lang w:val="en-GB"/>
          </w:rPr>
          <w:t>White PD</w:t>
        </w:r>
      </w:hyperlink>
      <w:r w:rsidRPr="007E7407">
        <w:rPr>
          <w:rFonts w:ascii="Times New Roman" w:hAnsi="Times New Roman" w:cs="Times New Roman"/>
          <w:b w:val="0"/>
          <w:bCs w:val="0"/>
          <w:sz w:val="22"/>
          <w:szCs w:val="22"/>
          <w:lang w:val="en-US"/>
        </w:rPr>
        <w:t xml:space="preserve">. A synthesis of the evidence for managing stress at work: a review of the reviews reporting on anxiety, depression, and absenteeism.  </w:t>
      </w:r>
      <w:hyperlink r:id="rId20" w:history="1">
        <w:r w:rsidRPr="007E7407">
          <w:rPr>
            <w:rStyle w:val="Lienhypertexte"/>
            <w:rFonts w:ascii="Times New Roman" w:hAnsi="Times New Roman"/>
            <w:b w:val="0"/>
            <w:bCs w:val="0"/>
            <w:color w:val="auto"/>
            <w:sz w:val="22"/>
            <w:szCs w:val="22"/>
            <w:u w:val="none"/>
          </w:rPr>
          <w:t>J Environ Public Health.</w:t>
        </w:r>
      </w:hyperlink>
      <w:r w:rsidRPr="007E7407">
        <w:rPr>
          <w:rFonts w:ascii="Times New Roman" w:hAnsi="Times New Roman" w:cs="Times New Roman"/>
          <w:b w:val="0"/>
          <w:bCs w:val="0"/>
          <w:sz w:val="22"/>
          <w:szCs w:val="22"/>
          <w:lang w:val="en-US"/>
        </w:rPr>
        <w:t xml:space="preserve"> 2012</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21" w:history="1">
        <w:r w:rsidRPr="008B1937">
          <w:rPr>
            <w:rStyle w:val="Lienhypertexte"/>
            <w:rFonts w:ascii="Times New Roman" w:hAnsi="Times New Roman"/>
            <w:b w:val="0"/>
            <w:bCs w:val="0"/>
            <w:color w:val="auto"/>
            <w:sz w:val="22"/>
            <w:szCs w:val="22"/>
            <w:u w:val="none"/>
            <w:lang w:val="en-GB"/>
          </w:rPr>
          <w:t>Grayham DA</w:t>
        </w:r>
      </w:hyperlink>
      <w:r w:rsidRPr="007E7407">
        <w:rPr>
          <w:rFonts w:ascii="Times New Roman" w:hAnsi="Times New Roman" w:cs="Times New Roman"/>
          <w:b w:val="0"/>
          <w:bCs w:val="0"/>
          <w:sz w:val="22"/>
          <w:szCs w:val="22"/>
          <w:lang w:val="en-US"/>
        </w:rPr>
        <w:t xml:space="preserve">. Work-related stress: implications for the employer . </w:t>
      </w:r>
      <w:hyperlink r:id="rId22" w:history="1">
        <w:r w:rsidRPr="007E7407">
          <w:rPr>
            <w:rStyle w:val="Lienhypertexte"/>
            <w:rFonts w:ascii="Times New Roman" w:hAnsi="Times New Roman"/>
            <w:b w:val="0"/>
            <w:bCs w:val="0"/>
            <w:color w:val="auto"/>
            <w:sz w:val="22"/>
            <w:szCs w:val="22"/>
            <w:u w:val="none"/>
          </w:rPr>
          <w:t>J R Soc Health.</w:t>
        </w:r>
      </w:hyperlink>
      <w:r w:rsidRPr="007E7407">
        <w:rPr>
          <w:rFonts w:ascii="Times New Roman" w:hAnsi="Times New Roman" w:cs="Times New Roman"/>
          <w:b w:val="0"/>
          <w:bCs w:val="0"/>
          <w:sz w:val="22"/>
          <w:szCs w:val="22"/>
          <w:lang w:val="en-US"/>
        </w:rPr>
        <w:t xml:space="preserve"> 1997 Apr;117(2):81-7.</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rPr>
      </w:pPr>
      <w:hyperlink r:id="rId23" w:history="1">
        <w:r w:rsidRPr="008B1937">
          <w:rPr>
            <w:rStyle w:val="Lienhypertexte"/>
            <w:rFonts w:ascii="Times New Roman" w:hAnsi="Times New Roman"/>
            <w:b w:val="0"/>
            <w:bCs w:val="0"/>
            <w:color w:val="auto"/>
            <w:sz w:val="22"/>
            <w:szCs w:val="22"/>
            <w:u w:val="none"/>
            <w:lang w:val="en-GB"/>
          </w:rPr>
          <w:t>Cooper CL</w:t>
        </w:r>
      </w:hyperlink>
      <w:r w:rsidRPr="007E7407">
        <w:rPr>
          <w:rFonts w:ascii="Times New Roman" w:hAnsi="Times New Roman" w:cs="Times New Roman"/>
          <w:b w:val="0"/>
          <w:bCs w:val="0"/>
          <w:sz w:val="22"/>
          <w:szCs w:val="22"/>
          <w:lang w:val="en-US"/>
        </w:rPr>
        <w:t xml:space="preserve">. The </w:t>
      </w:r>
      <w:r w:rsidRPr="007E7407">
        <w:rPr>
          <w:rStyle w:val="highlight"/>
          <w:rFonts w:ascii="Times New Roman" w:hAnsi="Times New Roman"/>
          <w:b w:val="0"/>
          <w:bCs w:val="0"/>
          <w:sz w:val="22"/>
          <w:szCs w:val="22"/>
          <w:lang w:val="en-US"/>
        </w:rPr>
        <w:t>stress</w:t>
      </w:r>
      <w:r w:rsidRPr="007E7407">
        <w:rPr>
          <w:rFonts w:ascii="Times New Roman" w:hAnsi="Times New Roman" w:cs="Times New Roman"/>
          <w:b w:val="0"/>
          <w:bCs w:val="0"/>
          <w:sz w:val="22"/>
          <w:szCs w:val="22"/>
          <w:lang w:val="en-US"/>
        </w:rPr>
        <w:t xml:space="preserve"> of </w:t>
      </w:r>
      <w:r w:rsidRPr="007E7407">
        <w:rPr>
          <w:rStyle w:val="highlight"/>
          <w:rFonts w:ascii="Times New Roman" w:hAnsi="Times New Roman"/>
          <w:b w:val="0"/>
          <w:bCs w:val="0"/>
          <w:sz w:val="22"/>
          <w:szCs w:val="22"/>
          <w:lang w:val="en-US"/>
        </w:rPr>
        <w:t>work</w:t>
      </w:r>
      <w:r w:rsidRPr="007E7407">
        <w:rPr>
          <w:rFonts w:ascii="Times New Roman" w:hAnsi="Times New Roman" w:cs="Times New Roman"/>
          <w:b w:val="0"/>
          <w:bCs w:val="0"/>
          <w:sz w:val="22"/>
          <w:szCs w:val="22"/>
          <w:lang w:val="en-US"/>
        </w:rPr>
        <w:t xml:space="preserve">: </w:t>
      </w:r>
      <w:r w:rsidRPr="007E7407">
        <w:rPr>
          <w:rStyle w:val="highlight"/>
          <w:rFonts w:ascii="Times New Roman" w:hAnsi="Times New Roman"/>
          <w:b w:val="0"/>
          <w:bCs w:val="0"/>
          <w:sz w:val="22"/>
          <w:szCs w:val="22"/>
          <w:lang w:val="en-US"/>
        </w:rPr>
        <w:t>an overview</w:t>
      </w:r>
      <w:r w:rsidRPr="007E7407">
        <w:rPr>
          <w:rFonts w:ascii="Times New Roman" w:hAnsi="Times New Roman" w:cs="Times New Roman"/>
          <w:b w:val="0"/>
          <w:bCs w:val="0"/>
          <w:sz w:val="22"/>
          <w:szCs w:val="22"/>
          <w:lang w:val="en-US"/>
        </w:rPr>
        <w:t xml:space="preserve">. </w:t>
      </w:r>
      <w:hyperlink r:id="rId24" w:history="1">
        <w:r w:rsidRPr="007E7407">
          <w:rPr>
            <w:rStyle w:val="Lienhypertexte"/>
            <w:rFonts w:ascii="Times New Roman" w:hAnsi="Times New Roman"/>
            <w:b w:val="0"/>
            <w:bCs w:val="0"/>
            <w:color w:val="auto"/>
            <w:sz w:val="22"/>
            <w:szCs w:val="22"/>
            <w:u w:val="none"/>
          </w:rPr>
          <w:t>Aviat Space Environ Med.</w:t>
        </w:r>
      </w:hyperlink>
      <w:r w:rsidRPr="007E7407">
        <w:rPr>
          <w:rFonts w:ascii="Times New Roman" w:hAnsi="Times New Roman" w:cs="Times New Roman"/>
          <w:b w:val="0"/>
          <w:bCs w:val="0"/>
          <w:sz w:val="22"/>
          <w:szCs w:val="22"/>
          <w:lang w:val="en-GB"/>
        </w:rPr>
        <w:t xml:space="preserve"> </w:t>
      </w:r>
      <w:r w:rsidRPr="007E7407">
        <w:rPr>
          <w:rFonts w:ascii="Times New Roman" w:hAnsi="Times New Roman" w:cs="Times New Roman"/>
          <w:b w:val="0"/>
          <w:bCs w:val="0"/>
          <w:sz w:val="22"/>
          <w:szCs w:val="22"/>
        </w:rPr>
        <w:t>1985 Jul;56(7):627-32.</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25" w:history="1">
        <w:r w:rsidRPr="007E7407">
          <w:rPr>
            <w:rStyle w:val="Lienhypertexte"/>
            <w:rFonts w:ascii="Times New Roman" w:hAnsi="Times New Roman"/>
            <w:b w:val="0"/>
            <w:bCs w:val="0"/>
            <w:color w:val="auto"/>
            <w:sz w:val="22"/>
            <w:szCs w:val="22"/>
            <w:u w:val="none"/>
          </w:rPr>
          <w:t>Ronda E</w:t>
        </w:r>
      </w:hyperlink>
      <w:r w:rsidRPr="007E7407">
        <w:rPr>
          <w:rFonts w:ascii="Times New Roman" w:hAnsi="Times New Roman" w:cs="Times New Roman"/>
          <w:b w:val="0"/>
          <w:bCs w:val="0"/>
          <w:sz w:val="22"/>
          <w:szCs w:val="22"/>
          <w:lang w:val="pt-BR"/>
        </w:rPr>
        <w:t xml:space="preserve">, </w:t>
      </w:r>
      <w:hyperlink r:id="rId26" w:history="1">
        <w:r w:rsidRPr="007E7407">
          <w:rPr>
            <w:rStyle w:val="Lienhypertexte"/>
            <w:rFonts w:ascii="Times New Roman" w:hAnsi="Times New Roman"/>
            <w:b w:val="0"/>
            <w:bCs w:val="0"/>
            <w:color w:val="auto"/>
            <w:sz w:val="22"/>
            <w:szCs w:val="22"/>
            <w:u w:val="none"/>
          </w:rPr>
          <w:t>Alvarez-Dardet C</w:t>
        </w:r>
      </w:hyperlink>
      <w:r w:rsidRPr="007E7407">
        <w:rPr>
          <w:rFonts w:ascii="Times New Roman" w:hAnsi="Times New Roman" w:cs="Times New Roman"/>
          <w:b w:val="0"/>
          <w:bCs w:val="0"/>
          <w:sz w:val="22"/>
          <w:szCs w:val="22"/>
          <w:lang w:val="pt-BR"/>
        </w:rPr>
        <w:t xml:space="preserve">. </w:t>
      </w:r>
      <w:r w:rsidRPr="007E7407">
        <w:rPr>
          <w:rStyle w:val="highlight"/>
          <w:rFonts w:ascii="Times New Roman" w:hAnsi="Times New Roman"/>
          <w:b w:val="0"/>
          <w:bCs w:val="0"/>
          <w:sz w:val="22"/>
          <w:szCs w:val="22"/>
          <w:lang w:val="en-US"/>
        </w:rPr>
        <w:t>Work</w:t>
      </w:r>
      <w:r w:rsidRPr="007E7407">
        <w:rPr>
          <w:rFonts w:ascii="Times New Roman" w:hAnsi="Times New Roman" w:cs="Times New Roman"/>
          <w:b w:val="0"/>
          <w:bCs w:val="0"/>
          <w:sz w:val="22"/>
          <w:szCs w:val="22"/>
          <w:lang w:val="en-US"/>
        </w:rPr>
        <w:t xml:space="preserve"> and </w:t>
      </w:r>
      <w:r w:rsidRPr="007E7407">
        <w:rPr>
          <w:rStyle w:val="highlight"/>
          <w:rFonts w:ascii="Times New Roman" w:hAnsi="Times New Roman"/>
          <w:b w:val="0"/>
          <w:bCs w:val="0"/>
          <w:sz w:val="22"/>
          <w:szCs w:val="22"/>
          <w:lang w:val="en-US"/>
        </w:rPr>
        <w:t>health</w:t>
      </w:r>
      <w:r w:rsidRPr="007E7407">
        <w:rPr>
          <w:rFonts w:ascii="Times New Roman" w:hAnsi="Times New Roman" w:cs="Times New Roman"/>
          <w:b w:val="0"/>
          <w:bCs w:val="0"/>
          <w:sz w:val="22"/>
          <w:szCs w:val="22"/>
          <w:lang w:val="en-US"/>
        </w:rPr>
        <w:t xml:space="preserve">: a </w:t>
      </w:r>
      <w:r w:rsidRPr="007E7407">
        <w:rPr>
          <w:rStyle w:val="highlight"/>
          <w:rFonts w:ascii="Times New Roman" w:hAnsi="Times New Roman"/>
          <w:b w:val="0"/>
          <w:bCs w:val="0"/>
          <w:sz w:val="22"/>
          <w:szCs w:val="22"/>
          <w:lang w:val="en-US"/>
        </w:rPr>
        <w:t>call</w:t>
      </w:r>
      <w:r w:rsidRPr="007E7407">
        <w:rPr>
          <w:rFonts w:ascii="Times New Roman" w:hAnsi="Times New Roman" w:cs="Times New Roman"/>
          <w:b w:val="0"/>
          <w:bCs w:val="0"/>
          <w:sz w:val="22"/>
          <w:szCs w:val="22"/>
          <w:lang w:val="en-US"/>
        </w:rPr>
        <w:t xml:space="preserve"> for </w:t>
      </w:r>
      <w:r w:rsidRPr="007E7407">
        <w:rPr>
          <w:rStyle w:val="highlight"/>
          <w:rFonts w:ascii="Times New Roman" w:hAnsi="Times New Roman"/>
          <w:b w:val="0"/>
          <w:bCs w:val="0"/>
          <w:sz w:val="22"/>
          <w:szCs w:val="22"/>
          <w:lang w:val="en-US"/>
        </w:rPr>
        <w:t>action J Epidemiol community health</w:t>
      </w:r>
      <w:r w:rsidRPr="007E7407">
        <w:rPr>
          <w:rFonts w:ascii="Times New Roman" w:hAnsi="Times New Roman" w:cs="Times New Roman"/>
          <w:b w:val="0"/>
          <w:bCs w:val="0"/>
          <w:sz w:val="22"/>
          <w:szCs w:val="22"/>
          <w:lang w:val="en-US"/>
        </w:rPr>
        <w:t xml:space="preserve"> 2000 Jul;54(7):481.</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rPr>
      </w:pPr>
      <w:hyperlink r:id="rId27" w:history="1">
        <w:r w:rsidRPr="008B1937">
          <w:rPr>
            <w:rStyle w:val="Lienhypertexte"/>
            <w:rFonts w:ascii="Times New Roman" w:hAnsi="Times New Roman"/>
            <w:b w:val="0"/>
            <w:bCs w:val="0"/>
            <w:color w:val="auto"/>
            <w:sz w:val="22"/>
            <w:szCs w:val="22"/>
            <w:u w:val="none"/>
            <w:lang w:val="en-GB"/>
          </w:rPr>
          <w:t>Ulhôa MA</w:t>
        </w:r>
      </w:hyperlink>
      <w:r w:rsidRPr="007E7407">
        <w:rPr>
          <w:rFonts w:ascii="Times New Roman" w:hAnsi="Times New Roman" w:cs="Times New Roman"/>
          <w:b w:val="0"/>
          <w:bCs w:val="0"/>
          <w:sz w:val="22"/>
          <w:szCs w:val="22"/>
          <w:lang w:val="en-GB"/>
        </w:rPr>
        <w:t xml:space="preserve">, </w:t>
      </w:r>
      <w:hyperlink r:id="rId28" w:history="1">
        <w:r w:rsidRPr="008B1937">
          <w:rPr>
            <w:rStyle w:val="Lienhypertexte"/>
            <w:rFonts w:ascii="Times New Roman" w:hAnsi="Times New Roman"/>
            <w:b w:val="0"/>
            <w:bCs w:val="0"/>
            <w:color w:val="auto"/>
            <w:sz w:val="22"/>
            <w:szCs w:val="22"/>
            <w:u w:val="none"/>
            <w:lang w:val="en-GB"/>
          </w:rPr>
          <w:t>Marqueze EC</w:t>
        </w:r>
      </w:hyperlink>
      <w:r w:rsidRPr="007E7407">
        <w:rPr>
          <w:rFonts w:ascii="Times New Roman" w:hAnsi="Times New Roman" w:cs="Times New Roman"/>
          <w:b w:val="0"/>
          <w:bCs w:val="0"/>
          <w:sz w:val="22"/>
          <w:szCs w:val="22"/>
          <w:lang w:val="en-GB"/>
        </w:rPr>
        <w:t xml:space="preserve">, </w:t>
      </w:r>
      <w:hyperlink r:id="rId29" w:history="1">
        <w:r w:rsidRPr="008B1937">
          <w:rPr>
            <w:rStyle w:val="Lienhypertexte"/>
            <w:rFonts w:ascii="Times New Roman" w:hAnsi="Times New Roman"/>
            <w:b w:val="0"/>
            <w:bCs w:val="0"/>
            <w:color w:val="auto"/>
            <w:sz w:val="22"/>
            <w:szCs w:val="22"/>
            <w:u w:val="none"/>
            <w:lang w:val="en-GB"/>
          </w:rPr>
          <w:t>Kantermann T</w:t>
        </w:r>
      </w:hyperlink>
      <w:r w:rsidRPr="007E7407">
        <w:rPr>
          <w:rFonts w:ascii="Times New Roman" w:hAnsi="Times New Roman" w:cs="Times New Roman"/>
          <w:b w:val="0"/>
          <w:bCs w:val="0"/>
          <w:sz w:val="22"/>
          <w:szCs w:val="22"/>
          <w:lang w:val="en-GB"/>
        </w:rPr>
        <w:t xml:space="preserve">, </w:t>
      </w:r>
      <w:hyperlink r:id="rId30" w:history="1">
        <w:r w:rsidRPr="008B1937">
          <w:rPr>
            <w:rStyle w:val="Lienhypertexte"/>
            <w:rFonts w:ascii="Times New Roman" w:hAnsi="Times New Roman"/>
            <w:b w:val="0"/>
            <w:bCs w:val="0"/>
            <w:color w:val="auto"/>
            <w:sz w:val="22"/>
            <w:szCs w:val="22"/>
            <w:u w:val="none"/>
            <w:lang w:val="en-GB"/>
          </w:rPr>
          <w:t>Skene D</w:t>
        </w:r>
      </w:hyperlink>
      <w:r w:rsidRPr="007E7407">
        <w:rPr>
          <w:rFonts w:ascii="Times New Roman" w:hAnsi="Times New Roman" w:cs="Times New Roman"/>
          <w:b w:val="0"/>
          <w:bCs w:val="0"/>
          <w:sz w:val="22"/>
          <w:szCs w:val="22"/>
          <w:lang w:val="en-GB"/>
        </w:rPr>
        <w:t xml:space="preserve">, </w:t>
      </w:r>
      <w:hyperlink r:id="rId31" w:history="1">
        <w:r w:rsidRPr="008B1937">
          <w:rPr>
            <w:rStyle w:val="Lienhypertexte"/>
            <w:rFonts w:ascii="Times New Roman" w:hAnsi="Times New Roman"/>
            <w:b w:val="0"/>
            <w:bCs w:val="0"/>
            <w:color w:val="auto"/>
            <w:sz w:val="22"/>
            <w:szCs w:val="22"/>
            <w:u w:val="none"/>
            <w:lang w:val="en-GB"/>
          </w:rPr>
          <w:t>Moreno C</w:t>
        </w:r>
      </w:hyperlink>
      <w:r w:rsidRPr="007E7407">
        <w:rPr>
          <w:rFonts w:ascii="Times New Roman" w:hAnsi="Times New Roman" w:cs="Times New Roman"/>
          <w:b w:val="0"/>
          <w:bCs w:val="0"/>
          <w:sz w:val="22"/>
          <w:szCs w:val="22"/>
          <w:lang w:val="en-GB"/>
        </w:rPr>
        <w:t xml:space="preserve"> </w:t>
      </w:r>
      <w:r w:rsidRPr="007E7407">
        <w:rPr>
          <w:rFonts w:ascii="Times New Roman" w:hAnsi="Times New Roman" w:cs="Times New Roman"/>
          <w:b w:val="0"/>
          <w:bCs w:val="0"/>
          <w:sz w:val="22"/>
          <w:szCs w:val="22"/>
          <w:lang w:val="en-US"/>
        </w:rPr>
        <w:t xml:space="preserve">When does stress end? Evidence of a prolonged stress reaction in shiftworking truck drivers. </w:t>
      </w:r>
      <w:hyperlink r:id="rId32" w:history="1">
        <w:r w:rsidRPr="007E7407">
          <w:rPr>
            <w:rStyle w:val="Lienhypertexte"/>
            <w:rFonts w:ascii="Times New Roman" w:hAnsi="Times New Roman"/>
            <w:b w:val="0"/>
            <w:bCs w:val="0"/>
            <w:color w:val="auto"/>
            <w:sz w:val="22"/>
            <w:szCs w:val="22"/>
            <w:u w:val="none"/>
          </w:rPr>
          <w:t>Chronobiol Int.</w:t>
        </w:r>
      </w:hyperlink>
      <w:r w:rsidRPr="007E7407">
        <w:rPr>
          <w:rFonts w:ascii="Times New Roman" w:hAnsi="Times New Roman" w:cs="Times New Roman"/>
          <w:b w:val="0"/>
          <w:bCs w:val="0"/>
          <w:sz w:val="22"/>
          <w:szCs w:val="22"/>
        </w:rPr>
        <w:t xml:space="preserve"> 2011 Nov;28(9):810-8</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lang w:val="en-US"/>
        </w:rPr>
        <w:t xml:space="preserve">Bellingrath S, Weigl T, Kudielka BM. </w:t>
      </w:r>
      <w:hyperlink r:id="rId33" w:history="1">
        <w:r w:rsidRPr="008B1937">
          <w:rPr>
            <w:rStyle w:val="Lienhypertexte"/>
            <w:rFonts w:ascii="Times New Roman" w:hAnsi="Times New Roman"/>
            <w:b w:val="0"/>
            <w:bCs w:val="0"/>
            <w:color w:val="auto"/>
            <w:sz w:val="22"/>
            <w:szCs w:val="22"/>
            <w:u w:val="none"/>
            <w:lang w:val="en-GB"/>
          </w:rPr>
          <w:t>Cortisol dysregulation in school teachers in relation to burnout, vital exhaustion, and effort-reward-imbalance.</w:t>
        </w:r>
      </w:hyperlink>
      <w:r w:rsidRPr="00640271">
        <w:rPr>
          <w:rFonts w:ascii="Times New Roman" w:hAnsi="Times New Roman" w:cs="Times New Roman"/>
          <w:b w:val="0"/>
          <w:bCs w:val="0"/>
          <w:sz w:val="22"/>
          <w:szCs w:val="22"/>
          <w:lang w:val="en-GB"/>
        </w:rPr>
        <w:t xml:space="preserve">Biol Psychol. </w:t>
      </w:r>
      <w:r w:rsidRPr="007E7407">
        <w:rPr>
          <w:rFonts w:ascii="Times New Roman" w:hAnsi="Times New Roman" w:cs="Times New Roman"/>
          <w:b w:val="0"/>
          <w:bCs w:val="0"/>
          <w:sz w:val="22"/>
          <w:szCs w:val="22"/>
        </w:rPr>
        <w:t>2008 Apr;78(1):104-13</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pt-BR"/>
        </w:rPr>
        <w:t xml:space="preserve">Zefferino R, Facciorusso A, Lasalvia M, Narciso M, Nuzzaco A, Lucchini R, L'Abbate N. </w:t>
      </w:r>
      <w:hyperlink r:id="rId34" w:history="1">
        <w:r w:rsidRPr="008B1937">
          <w:rPr>
            <w:rStyle w:val="Lienhypertexte"/>
            <w:rFonts w:ascii="Times New Roman" w:hAnsi="Times New Roman"/>
            <w:b w:val="0"/>
            <w:bCs w:val="0"/>
            <w:color w:val="auto"/>
            <w:sz w:val="22"/>
            <w:szCs w:val="22"/>
            <w:u w:val="none"/>
            <w:lang w:val="en-GB"/>
          </w:rPr>
          <w:t>Salivary markers of work stress in an emergency team of urban police (1 degree step).</w:t>
        </w:r>
      </w:hyperlink>
      <w:r w:rsidRPr="007E7407">
        <w:rPr>
          <w:rFonts w:ascii="Times New Roman" w:hAnsi="Times New Roman" w:cs="Times New Roman"/>
          <w:b w:val="0"/>
          <w:bCs w:val="0"/>
          <w:sz w:val="22"/>
          <w:szCs w:val="22"/>
          <w:lang w:val="en-GB"/>
        </w:rPr>
        <w:t xml:space="preserve"> </w:t>
      </w:r>
      <w:r w:rsidRPr="007E7407">
        <w:rPr>
          <w:rStyle w:val="jrnl"/>
          <w:rFonts w:ascii="Times New Roman" w:hAnsi="Times New Roman"/>
          <w:b w:val="0"/>
          <w:bCs w:val="0"/>
          <w:sz w:val="22"/>
          <w:szCs w:val="22"/>
          <w:lang w:val="en-US"/>
        </w:rPr>
        <w:t>G Ital Med Lav Ergon</w:t>
      </w:r>
      <w:r w:rsidRPr="007E7407">
        <w:rPr>
          <w:rFonts w:ascii="Times New Roman" w:hAnsi="Times New Roman" w:cs="Times New Roman"/>
          <w:b w:val="0"/>
          <w:bCs w:val="0"/>
          <w:sz w:val="22"/>
          <w:szCs w:val="22"/>
          <w:lang w:val="en-US"/>
        </w:rPr>
        <w:t>. 2006 Oct-Dec;28(4):472-7.</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GB"/>
        </w:rPr>
      </w:pPr>
      <w:r w:rsidRPr="007E7407">
        <w:rPr>
          <w:rFonts w:ascii="Times New Roman" w:hAnsi="Times New Roman" w:cs="Times New Roman"/>
          <w:b w:val="0"/>
          <w:bCs w:val="0"/>
          <w:sz w:val="22"/>
          <w:szCs w:val="22"/>
          <w:lang w:val="en-US"/>
        </w:rPr>
        <w:t xml:space="preserve">Ricou B, Merlani P. </w:t>
      </w:r>
      <w:hyperlink r:id="rId35" w:history="1">
        <w:r w:rsidRPr="007E7407">
          <w:rPr>
            <w:rStyle w:val="Lienhypertexte"/>
            <w:rFonts w:ascii="Times New Roman" w:hAnsi="Times New Roman"/>
            <w:b w:val="0"/>
            <w:bCs w:val="0"/>
            <w:color w:val="auto"/>
            <w:sz w:val="22"/>
            <w:szCs w:val="22"/>
            <w:u w:val="none"/>
          </w:rPr>
          <w:t>Burnout in intensive care units.</w:t>
        </w:r>
      </w:hyperlink>
      <w:r w:rsidRPr="007E7407">
        <w:rPr>
          <w:rFonts w:ascii="Times New Roman" w:hAnsi="Times New Roman" w:cs="Times New Roman"/>
          <w:b w:val="0"/>
          <w:bCs w:val="0"/>
          <w:sz w:val="22"/>
          <w:szCs w:val="22"/>
          <w:lang w:val="en-GB"/>
        </w:rPr>
        <w:t xml:space="preserve"> </w:t>
      </w:r>
      <w:r w:rsidRPr="007E7407">
        <w:rPr>
          <w:rStyle w:val="jrnl"/>
          <w:rFonts w:ascii="Times New Roman" w:hAnsi="Times New Roman"/>
          <w:b w:val="0"/>
          <w:bCs w:val="0"/>
          <w:sz w:val="22"/>
          <w:szCs w:val="22"/>
          <w:lang w:val="en-GB"/>
        </w:rPr>
        <w:t>Rev Med Suisse</w:t>
      </w:r>
      <w:r w:rsidRPr="007E7407">
        <w:rPr>
          <w:rFonts w:ascii="Times New Roman" w:hAnsi="Times New Roman" w:cs="Times New Roman"/>
          <w:b w:val="0"/>
          <w:bCs w:val="0"/>
          <w:sz w:val="22"/>
          <w:szCs w:val="22"/>
          <w:lang w:val="en-GB"/>
        </w:rPr>
        <w:t>. 2012 Dec 12;8(366):2400-2</w:t>
      </w:r>
    </w:p>
    <w:p w:rsidR="00AC113A" w:rsidRPr="007E7407" w:rsidRDefault="00AC113A">
      <w:pPr>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lang w:val="en-US"/>
        </w:rPr>
        <w:t xml:space="preserve">Peters L, Cant R, Sellick K, O'Connor M, Lee S, Burney S. Work stress in palliative care nurses a cause for concern? A literature review </w:t>
      </w:r>
      <w:r w:rsidRPr="007E7407">
        <w:rPr>
          <w:rStyle w:val="jrnl"/>
          <w:rFonts w:ascii="Times New Roman" w:hAnsi="Times New Roman"/>
          <w:b w:val="0"/>
          <w:bCs w:val="0"/>
          <w:sz w:val="22"/>
          <w:szCs w:val="22"/>
        </w:rPr>
        <w:t>Int J Palliat Nurs</w:t>
      </w:r>
      <w:r w:rsidRPr="007E7407">
        <w:rPr>
          <w:rFonts w:ascii="Times New Roman" w:hAnsi="Times New Roman" w:cs="Times New Roman"/>
          <w:b w:val="0"/>
          <w:bCs w:val="0"/>
          <w:sz w:val="22"/>
          <w:szCs w:val="22"/>
        </w:rPr>
        <w:t>. 2012 Nov;18(11):561-7</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pt-BR"/>
        </w:rPr>
        <w:t xml:space="preserve">Toh SG, Ang E, Devi MK. </w:t>
      </w:r>
      <w:r w:rsidRPr="007E7407">
        <w:rPr>
          <w:rFonts w:ascii="Times New Roman" w:hAnsi="Times New Roman" w:cs="Times New Roman"/>
          <w:b w:val="0"/>
          <w:bCs w:val="0"/>
          <w:sz w:val="22"/>
          <w:szCs w:val="22"/>
          <w:lang w:val="en-GB"/>
        </w:rPr>
        <w:t>Systematic review on the realtionship between the nursing shortage and job satisfaction, stress and burnout levels among nurses in oncology/haematology settings.</w:t>
      </w:r>
      <w:r w:rsidRPr="007E7407">
        <w:rPr>
          <w:rStyle w:val="jrnl"/>
          <w:rFonts w:ascii="Times New Roman" w:hAnsi="Times New Roman"/>
          <w:b w:val="0"/>
          <w:bCs w:val="0"/>
          <w:sz w:val="22"/>
          <w:szCs w:val="22"/>
          <w:lang w:val="en-US"/>
        </w:rPr>
        <w:t>Int J Evid Based Healthc</w:t>
      </w:r>
      <w:r w:rsidRPr="007E7407">
        <w:rPr>
          <w:rFonts w:ascii="Times New Roman" w:hAnsi="Times New Roman" w:cs="Times New Roman"/>
          <w:b w:val="0"/>
          <w:bCs w:val="0"/>
          <w:sz w:val="22"/>
          <w:szCs w:val="22"/>
          <w:lang w:val="en-US"/>
        </w:rPr>
        <w:t>. 2012 Jun;10(2):126-41</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Vicentic S, Gasic MJ, Milovanovic A, Tosevski DL, Nenadovic M, Damjanovic A, Kostic BD, Jovanovic AA </w:t>
      </w:r>
      <w:hyperlink r:id="rId36" w:history="1">
        <w:r w:rsidRPr="008B1937">
          <w:rPr>
            <w:rStyle w:val="Lienhypertexte"/>
            <w:rFonts w:ascii="Times New Roman" w:hAnsi="Times New Roman"/>
            <w:b w:val="0"/>
            <w:bCs w:val="0"/>
            <w:color w:val="auto"/>
            <w:sz w:val="22"/>
            <w:szCs w:val="22"/>
            <w:u w:val="none"/>
            <w:lang w:val="en-GB"/>
          </w:rPr>
          <w:t>Burnout, quality of life and emotional profile in general practitioners and psychiatrists.</w:t>
        </w:r>
      </w:hyperlink>
      <w:r w:rsidRPr="007E7407">
        <w:rPr>
          <w:rFonts w:ascii="Times New Roman" w:hAnsi="Times New Roman" w:cs="Times New Roman"/>
          <w:b w:val="0"/>
          <w:bCs w:val="0"/>
          <w:sz w:val="22"/>
          <w:szCs w:val="22"/>
          <w:lang w:val="en-GB"/>
        </w:rPr>
        <w:t xml:space="preserve"> </w:t>
      </w:r>
      <w:r w:rsidRPr="007E7407">
        <w:rPr>
          <w:rStyle w:val="jrnl"/>
          <w:rFonts w:ascii="Times New Roman" w:hAnsi="Times New Roman"/>
          <w:b w:val="0"/>
          <w:bCs w:val="0"/>
          <w:sz w:val="22"/>
          <w:szCs w:val="22"/>
          <w:lang w:val="en-US"/>
        </w:rPr>
        <w:t>Work</w:t>
      </w:r>
      <w:r w:rsidRPr="007E7407">
        <w:rPr>
          <w:rFonts w:ascii="Times New Roman" w:hAnsi="Times New Roman" w:cs="Times New Roman"/>
          <w:b w:val="0"/>
          <w:bCs w:val="0"/>
          <w:sz w:val="22"/>
          <w:szCs w:val="22"/>
          <w:lang w:val="en-US"/>
        </w:rPr>
        <w:t>. 2013 Jan 2. [Epub ahead of print]</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rPr>
      </w:pPr>
      <w:hyperlink r:id="rId37" w:history="1">
        <w:r w:rsidRPr="008B1937">
          <w:rPr>
            <w:rStyle w:val="Lienhypertexte"/>
            <w:rFonts w:ascii="Times New Roman" w:hAnsi="Times New Roman"/>
            <w:b w:val="0"/>
            <w:bCs w:val="0"/>
            <w:color w:val="auto"/>
            <w:sz w:val="22"/>
            <w:szCs w:val="22"/>
            <w:u w:val="none"/>
            <w:lang w:val="en-GB"/>
          </w:rPr>
          <w:t>Vićentić S</w:t>
        </w:r>
      </w:hyperlink>
      <w:r w:rsidRPr="007E7407">
        <w:rPr>
          <w:rFonts w:ascii="Times New Roman" w:hAnsi="Times New Roman" w:cs="Times New Roman"/>
          <w:b w:val="0"/>
          <w:bCs w:val="0"/>
          <w:sz w:val="22"/>
          <w:szCs w:val="22"/>
          <w:lang w:val="en-GB"/>
        </w:rPr>
        <w:t xml:space="preserve">, </w:t>
      </w:r>
      <w:hyperlink r:id="rId38" w:history="1">
        <w:r w:rsidRPr="008B1937">
          <w:rPr>
            <w:rStyle w:val="Lienhypertexte"/>
            <w:rFonts w:ascii="Times New Roman" w:hAnsi="Times New Roman"/>
            <w:b w:val="0"/>
            <w:bCs w:val="0"/>
            <w:color w:val="auto"/>
            <w:sz w:val="22"/>
            <w:szCs w:val="22"/>
            <w:u w:val="none"/>
            <w:lang w:val="en-GB"/>
          </w:rPr>
          <w:t>Jovanović A</w:t>
        </w:r>
      </w:hyperlink>
      <w:r w:rsidRPr="007E7407">
        <w:rPr>
          <w:rFonts w:ascii="Times New Roman" w:hAnsi="Times New Roman" w:cs="Times New Roman"/>
          <w:b w:val="0"/>
          <w:bCs w:val="0"/>
          <w:sz w:val="22"/>
          <w:szCs w:val="22"/>
          <w:lang w:val="en-GB"/>
        </w:rPr>
        <w:t xml:space="preserve">, </w:t>
      </w:r>
      <w:hyperlink r:id="rId39" w:history="1">
        <w:r w:rsidRPr="008B1937">
          <w:rPr>
            <w:rStyle w:val="Lienhypertexte"/>
            <w:rFonts w:ascii="Times New Roman" w:hAnsi="Times New Roman"/>
            <w:b w:val="0"/>
            <w:bCs w:val="0"/>
            <w:color w:val="auto"/>
            <w:sz w:val="22"/>
            <w:szCs w:val="22"/>
            <w:u w:val="none"/>
            <w:lang w:val="en-GB"/>
          </w:rPr>
          <w:t>Dunjić B</w:t>
        </w:r>
      </w:hyperlink>
      <w:r w:rsidRPr="007E7407">
        <w:rPr>
          <w:rFonts w:ascii="Times New Roman" w:hAnsi="Times New Roman" w:cs="Times New Roman"/>
          <w:b w:val="0"/>
          <w:bCs w:val="0"/>
          <w:sz w:val="22"/>
          <w:szCs w:val="22"/>
          <w:lang w:val="en-GB"/>
        </w:rPr>
        <w:t xml:space="preserve">, </w:t>
      </w:r>
      <w:hyperlink r:id="rId40" w:history="1">
        <w:r w:rsidRPr="008B1937">
          <w:rPr>
            <w:rStyle w:val="Lienhypertexte"/>
            <w:rFonts w:ascii="Times New Roman" w:hAnsi="Times New Roman"/>
            <w:b w:val="0"/>
            <w:bCs w:val="0"/>
            <w:color w:val="auto"/>
            <w:sz w:val="22"/>
            <w:szCs w:val="22"/>
            <w:u w:val="none"/>
            <w:lang w:val="en-GB"/>
          </w:rPr>
          <w:t>Pavlović Z</w:t>
        </w:r>
      </w:hyperlink>
      <w:r w:rsidRPr="007E7407">
        <w:rPr>
          <w:rFonts w:ascii="Times New Roman" w:hAnsi="Times New Roman" w:cs="Times New Roman"/>
          <w:b w:val="0"/>
          <w:bCs w:val="0"/>
          <w:sz w:val="22"/>
          <w:szCs w:val="22"/>
          <w:lang w:val="en-GB"/>
        </w:rPr>
        <w:t xml:space="preserve">, </w:t>
      </w:r>
      <w:hyperlink r:id="rId41" w:history="1">
        <w:r w:rsidRPr="008B1937">
          <w:rPr>
            <w:rStyle w:val="Lienhypertexte"/>
            <w:rFonts w:ascii="Times New Roman" w:hAnsi="Times New Roman"/>
            <w:b w:val="0"/>
            <w:bCs w:val="0"/>
            <w:color w:val="auto"/>
            <w:sz w:val="22"/>
            <w:szCs w:val="22"/>
            <w:u w:val="none"/>
            <w:lang w:val="en-GB"/>
          </w:rPr>
          <w:t>Nenadović M</w:t>
        </w:r>
      </w:hyperlink>
      <w:r w:rsidRPr="007E7407">
        <w:rPr>
          <w:rFonts w:ascii="Times New Roman" w:hAnsi="Times New Roman" w:cs="Times New Roman"/>
          <w:b w:val="0"/>
          <w:bCs w:val="0"/>
          <w:sz w:val="22"/>
          <w:szCs w:val="22"/>
          <w:lang w:val="en-GB"/>
        </w:rPr>
        <w:t xml:space="preserve">, </w:t>
      </w:r>
      <w:hyperlink r:id="rId42" w:history="1">
        <w:r w:rsidRPr="008B1937">
          <w:rPr>
            <w:rStyle w:val="Lienhypertexte"/>
            <w:rFonts w:ascii="Times New Roman" w:hAnsi="Times New Roman"/>
            <w:b w:val="0"/>
            <w:bCs w:val="0"/>
            <w:color w:val="auto"/>
            <w:sz w:val="22"/>
            <w:szCs w:val="22"/>
            <w:u w:val="none"/>
            <w:lang w:val="en-GB"/>
          </w:rPr>
          <w:t>Nenadović N</w:t>
        </w:r>
      </w:hyperlink>
      <w:r w:rsidRPr="007E7407">
        <w:rPr>
          <w:rFonts w:ascii="Times New Roman" w:hAnsi="Times New Roman" w:cs="Times New Roman"/>
          <w:b w:val="0"/>
          <w:bCs w:val="0"/>
          <w:sz w:val="22"/>
          <w:szCs w:val="22"/>
          <w:lang w:val="en-GB"/>
        </w:rPr>
        <w:t xml:space="preserve"> </w:t>
      </w:r>
      <w:r w:rsidRPr="007E7407">
        <w:rPr>
          <w:rFonts w:ascii="Times New Roman" w:hAnsi="Times New Roman" w:cs="Times New Roman"/>
          <w:b w:val="0"/>
          <w:bCs w:val="0"/>
          <w:sz w:val="22"/>
          <w:szCs w:val="22"/>
          <w:lang w:val="en-US"/>
        </w:rPr>
        <w:t xml:space="preserve">Professional stress in general practitioners and psychiatrists--the level of psycologic distress and burnout risk </w:t>
      </w:r>
      <w:hyperlink r:id="rId43" w:history="1">
        <w:r w:rsidRPr="008B1937">
          <w:rPr>
            <w:rStyle w:val="Lienhypertexte"/>
            <w:rFonts w:ascii="Times New Roman" w:hAnsi="Times New Roman"/>
            <w:b w:val="0"/>
            <w:bCs w:val="0"/>
            <w:color w:val="auto"/>
            <w:sz w:val="22"/>
            <w:szCs w:val="22"/>
            <w:u w:val="none"/>
            <w:lang w:val="en-GB"/>
          </w:rPr>
          <w:t>Vojnosanit Pregl.</w:t>
        </w:r>
      </w:hyperlink>
      <w:r w:rsidRPr="007E7407">
        <w:rPr>
          <w:rFonts w:ascii="Times New Roman" w:hAnsi="Times New Roman" w:cs="Times New Roman"/>
          <w:b w:val="0"/>
          <w:bCs w:val="0"/>
          <w:sz w:val="22"/>
          <w:szCs w:val="22"/>
          <w:lang w:val="en-GB"/>
        </w:rPr>
        <w:t xml:space="preserve"> </w:t>
      </w:r>
      <w:r w:rsidRPr="007E7407">
        <w:rPr>
          <w:rFonts w:ascii="Times New Roman" w:hAnsi="Times New Roman" w:cs="Times New Roman"/>
          <w:b w:val="0"/>
          <w:bCs w:val="0"/>
          <w:sz w:val="22"/>
          <w:szCs w:val="22"/>
        </w:rPr>
        <w:t>2010 Sep;67(9):741-6.</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Weibel L, Gabrion I, Aussedat M, Kreutz G. </w:t>
      </w:r>
      <w:hyperlink r:id="rId44" w:history="1">
        <w:r w:rsidRPr="008B1937">
          <w:rPr>
            <w:rStyle w:val="Lienhypertexte"/>
            <w:rFonts w:ascii="Times New Roman" w:hAnsi="Times New Roman"/>
            <w:b w:val="0"/>
            <w:bCs w:val="0"/>
            <w:color w:val="auto"/>
            <w:sz w:val="22"/>
            <w:szCs w:val="22"/>
            <w:u w:val="none"/>
            <w:lang w:val="en-GB"/>
          </w:rPr>
          <w:t>Work-related stress in an emergency medical dispatch center.</w:t>
        </w:r>
      </w:hyperlink>
      <w:r w:rsidRPr="007E7407">
        <w:rPr>
          <w:rFonts w:ascii="Times New Roman" w:hAnsi="Times New Roman" w:cs="Times New Roman"/>
          <w:b w:val="0"/>
          <w:bCs w:val="0"/>
          <w:sz w:val="22"/>
          <w:szCs w:val="22"/>
          <w:lang w:val="en-GB"/>
        </w:rPr>
        <w:t xml:space="preserve"> </w:t>
      </w:r>
      <w:r w:rsidRPr="007E7407">
        <w:rPr>
          <w:rStyle w:val="jrnl"/>
          <w:rFonts w:ascii="Times New Roman" w:hAnsi="Times New Roman"/>
          <w:b w:val="0"/>
          <w:bCs w:val="0"/>
          <w:sz w:val="22"/>
          <w:szCs w:val="22"/>
          <w:lang w:val="en-US"/>
        </w:rPr>
        <w:t>Ann Emerg Med</w:t>
      </w:r>
      <w:r w:rsidRPr="007E7407">
        <w:rPr>
          <w:rFonts w:ascii="Times New Roman" w:hAnsi="Times New Roman" w:cs="Times New Roman"/>
          <w:b w:val="0"/>
          <w:bCs w:val="0"/>
          <w:sz w:val="22"/>
          <w:szCs w:val="22"/>
          <w:lang w:val="en-US"/>
        </w:rPr>
        <w:t>. 2003 Apr;41(4):500-6.</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rPr>
      </w:pPr>
      <w:hyperlink r:id="rId45" w:history="1">
        <w:r w:rsidRPr="008B1937">
          <w:rPr>
            <w:rStyle w:val="Lienhypertexte"/>
            <w:rFonts w:ascii="Times New Roman" w:hAnsi="Times New Roman"/>
            <w:b w:val="0"/>
            <w:bCs w:val="0"/>
            <w:color w:val="auto"/>
            <w:sz w:val="22"/>
            <w:szCs w:val="22"/>
            <w:u w:val="none"/>
            <w:lang w:val="en-GB"/>
          </w:rPr>
          <w:t>Frey R</w:t>
        </w:r>
      </w:hyperlink>
      <w:r w:rsidRPr="007E7407">
        <w:rPr>
          <w:rFonts w:ascii="Times New Roman" w:hAnsi="Times New Roman" w:cs="Times New Roman"/>
          <w:b w:val="0"/>
          <w:bCs w:val="0"/>
          <w:sz w:val="22"/>
          <w:szCs w:val="22"/>
          <w:lang w:val="en-US"/>
        </w:rPr>
        <w:t xml:space="preserve">, </w:t>
      </w:r>
      <w:hyperlink r:id="rId46" w:history="1">
        <w:r w:rsidRPr="008B1937">
          <w:rPr>
            <w:rStyle w:val="Lienhypertexte"/>
            <w:rFonts w:ascii="Times New Roman" w:hAnsi="Times New Roman"/>
            <w:b w:val="0"/>
            <w:bCs w:val="0"/>
            <w:color w:val="auto"/>
            <w:sz w:val="22"/>
            <w:szCs w:val="22"/>
            <w:u w:val="none"/>
            <w:lang w:val="en-GB"/>
          </w:rPr>
          <w:t>Decker K</w:t>
        </w:r>
      </w:hyperlink>
      <w:r w:rsidRPr="007E7407">
        <w:rPr>
          <w:rFonts w:ascii="Times New Roman" w:hAnsi="Times New Roman" w:cs="Times New Roman"/>
          <w:b w:val="0"/>
          <w:bCs w:val="0"/>
          <w:sz w:val="22"/>
          <w:szCs w:val="22"/>
          <w:lang w:val="en-US"/>
        </w:rPr>
        <w:t xml:space="preserve">, </w:t>
      </w:r>
      <w:hyperlink r:id="rId47" w:history="1">
        <w:r w:rsidRPr="008B1937">
          <w:rPr>
            <w:rStyle w:val="Lienhypertexte"/>
            <w:rFonts w:ascii="Times New Roman" w:hAnsi="Times New Roman"/>
            <w:b w:val="0"/>
            <w:bCs w:val="0"/>
            <w:color w:val="auto"/>
            <w:sz w:val="22"/>
            <w:szCs w:val="22"/>
            <w:u w:val="none"/>
            <w:lang w:val="en-GB"/>
          </w:rPr>
          <w:t>Reinfried L</w:t>
        </w:r>
      </w:hyperlink>
      <w:r w:rsidRPr="007E7407">
        <w:rPr>
          <w:rFonts w:ascii="Times New Roman" w:hAnsi="Times New Roman" w:cs="Times New Roman"/>
          <w:b w:val="0"/>
          <w:bCs w:val="0"/>
          <w:sz w:val="22"/>
          <w:szCs w:val="22"/>
          <w:lang w:val="en-US"/>
        </w:rPr>
        <w:t xml:space="preserve">, </w:t>
      </w:r>
      <w:hyperlink r:id="rId48" w:history="1">
        <w:r w:rsidRPr="008B1937">
          <w:rPr>
            <w:rStyle w:val="Lienhypertexte"/>
            <w:rFonts w:ascii="Times New Roman" w:hAnsi="Times New Roman"/>
            <w:b w:val="0"/>
            <w:bCs w:val="0"/>
            <w:color w:val="auto"/>
            <w:sz w:val="22"/>
            <w:szCs w:val="22"/>
            <w:u w:val="none"/>
            <w:lang w:val="en-GB"/>
          </w:rPr>
          <w:t>Klösch G</w:t>
        </w:r>
      </w:hyperlink>
      <w:r w:rsidRPr="007E7407">
        <w:rPr>
          <w:rFonts w:ascii="Times New Roman" w:hAnsi="Times New Roman" w:cs="Times New Roman"/>
          <w:b w:val="0"/>
          <w:bCs w:val="0"/>
          <w:sz w:val="22"/>
          <w:szCs w:val="22"/>
          <w:lang w:val="en-US"/>
        </w:rPr>
        <w:t xml:space="preserve">, </w:t>
      </w:r>
      <w:hyperlink r:id="rId49" w:history="1">
        <w:r w:rsidRPr="008B1937">
          <w:rPr>
            <w:rStyle w:val="Lienhypertexte"/>
            <w:rFonts w:ascii="Times New Roman" w:hAnsi="Times New Roman"/>
            <w:b w:val="0"/>
            <w:bCs w:val="0"/>
            <w:color w:val="auto"/>
            <w:sz w:val="22"/>
            <w:szCs w:val="22"/>
            <w:u w:val="none"/>
            <w:lang w:val="en-GB"/>
          </w:rPr>
          <w:t>Saletu B</w:t>
        </w:r>
      </w:hyperlink>
      <w:r w:rsidRPr="007E7407">
        <w:rPr>
          <w:rFonts w:ascii="Times New Roman" w:hAnsi="Times New Roman" w:cs="Times New Roman"/>
          <w:b w:val="0"/>
          <w:bCs w:val="0"/>
          <w:sz w:val="22"/>
          <w:szCs w:val="22"/>
          <w:lang w:val="en-US"/>
        </w:rPr>
        <w:t xml:space="preserve">, </w:t>
      </w:r>
      <w:hyperlink r:id="rId50" w:history="1">
        <w:r w:rsidRPr="008B1937">
          <w:rPr>
            <w:rStyle w:val="Lienhypertexte"/>
            <w:rFonts w:ascii="Times New Roman" w:hAnsi="Times New Roman"/>
            <w:b w:val="0"/>
            <w:bCs w:val="0"/>
            <w:color w:val="auto"/>
            <w:sz w:val="22"/>
            <w:szCs w:val="22"/>
            <w:u w:val="none"/>
            <w:lang w:val="en-GB"/>
          </w:rPr>
          <w:t>Anderer P</w:t>
        </w:r>
      </w:hyperlink>
      <w:r w:rsidRPr="007E7407">
        <w:rPr>
          <w:rFonts w:ascii="Times New Roman" w:hAnsi="Times New Roman" w:cs="Times New Roman"/>
          <w:b w:val="0"/>
          <w:bCs w:val="0"/>
          <w:sz w:val="22"/>
          <w:szCs w:val="22"/>
          <w:lang w:val="en-US"/>
        </w:rPr>
        <w:t xml:space="preserve">, </w:t>
      </w:r>
      <w:hyperlink r:id="rId51" w:history="1">
        <w:r w:rsidRPr="008B1937">
          <w:rPr>
            <w:rStyle w:val="Lienhypertexte"/>
            <w:rFonts w:ascii="Times New Roman" w:hAnsi="Times New Roman"/>
            <w:b w:val="0"/>
            <w:bCs w:val="0"/>
            <w:color w:val="auto"/>
            <w:sz w:val="22"/>
            <w:szCs w:val="22"/>
            <w:u w:val="none"/>
            <w:lang w:val="en-GB"/>
          </w:rPr>
          <w:t>Semlitsch HV</w:t>
        </w:r>
      </w:hyperlink>
      <w:r w:rsidRPr="007E7407">
        <w:rPr>
          <w:rFonts w:ascii="Times New Roman" w:hAnsi="Times New Roman" w:cs="Times New Roman"/>
          <w:b w:val="0"/>
          <w:bCs w:val="0"/>
          <w:sz w:val="22"/>
          <w:szCs w:val="22"/>
          <w:lang w:val="en-US"/>
        </w:rPr>
        <w:t xml:space="preserve">, </w:t>
      </w:r>
      <w:hyperlink r:id="rId52" w:history="1">
        <w:r w:rsidRPr="008B1937">
          <w:rPr>
            <w:rStyle w:val="Lienhypertexte"/>
            <w:rFonts w:ascii="Times New Roman" w:hAnsi="Times New Roman"/>
            <w:b w:val="0"/>
            <w:bCs w:val="0"/>
            <w:color w:val="auto"/>
            <w:sz w:val="22"/>
            <w:szCs w:val="22"/>
            <w:u w:val="none"/>
            <w:lang w:val="en-GB"/>
          </w:rPr>
          <w:t>Seidler D</w:t>
        </w:r>
      </w:hyperlink>
      <w:r w:rsidRPr="007E7407">
        <w:rPr>
          <w:rFonts w:ascii="Times New Roman" w:hAnsi="Times New Roman" w:cs="Times New Roman"/>
          <w:b w:val="0"/>
          <w:bCs w:val="0"/>
          <w:sz w:val="22"/>
          <w:szCs w:val="22"/>
          <w:lang w:val="en-US"/>
        </w:rPr>
        <w:t xml:space="preserve">, </w:t>
      </w:r>
      <w:hyperlink r:id="rId53" w:history="1">
        <w:r w:rsidRPr="008B1937">
          <w:rPr>
            <w:rStyle w:val="Lienhypertexte"/>
            <w:rFonts w:ascii="Times New Roman" w:hAnsi="Times New Roman"/>
            <w:b w:val="0"/>
            <w:bCs w:val="0"/>
            <w:color w:val="auto"/>
            <w:sz w:val="22"/>
            <w:szCs w:val="22"/>
            <w:u w:val="none"/>
            <w:lang w:val="en-GB"/>
          </w:rPr>
          <w:t>Laggner AN</w:t>
        </w:r>
      </w:hyperlink>
      <w:r w:rsidRPr="007E7407">
        <w:rPr>
          <w:rFonts w:ascii="Times New Roman" w:hAnsi="Times New Roman" w:cs="Times New Roman"/>
          <w:b w:val="0"/>
          <w:bCs w:val="0"/>
          <w:sz w:val="22"/>
          <w:szCs w:val="22"/>
          <w:lang w:val="en-GB"/>
        </w:rPr>
        <w:t xml:space="preserve"> </w:t>
      </w:r>
      <w:r w:rsidRPr="007E7407">
        <w:rPr>
          <w:rFonts w:ascii="Times New Roman" w:hAnsi="Times New Roman" w:cs="Times New Roman"/>
          <w:b w:val="0"/>
          <w:bCs w:val="0"/>
          <w:sz w:val="22"/>
          <w:szCs w:val="22"/>
          <w:lang w:val="en-US"/>
        </w:rPr>
        <w:t xml:space="preserve">Effect of rest on physicians' performance in an emergency department, objectified by electroencephalographic analyses and psychometric tests. </w:t>
      </w:r>
      <w:hyperlink r:id="rId54" w:history="1">
        <w:r w:rsidRPr="007E7407">
          <w:rPr>
            <w:rStyle w:val="Lienhypertexte"/>
            <w:rFonts w:ascii="Times New Roman" w:hAnsi="Times New Roman"/>
            <w:b w:val="0"/>
            <w:bCs w:val="0"/>
            <w:color w:val="auto"/>
            <w:sz w:val="22"/>
            <w:szCs w:val="22"/>
            <w:u w:val="none"/>
          </w:rPr>
          <w:t>Crit Care Med.</w:t>
        </w:r>
      </w:hyperlink>
      <w:r w:rsidRPr="007E7407">
        <w:rPr>
          <w:rFonts w:ascii="Times New Roman" w:hAnsi="Times New Roman" w:cs="Times New Roman"/>
          <w:b w:val="0"/>
          <w:bCs w:val="0"/>
          <w:sz w:val="22"/>
          <w:szCs w:val="22"/>
          <w:lang w:val="en-US"/>
        </w:rPr>
        <w:t xml:space="preserve"> </w:t>
      </w:r>
      <w:r w:rsidRPr="007E7407">
        <w:rPr>
          <w:rFonts w:ascii="Times New Roman" w:hAnsi="Times New Roman" w:cs="Times New Roman"/>
          <w:b w:val="0"/>
          <w:bCs w:val="0"/>
          <w:sz w:val="22"/>
          <w:szCs w:val="22"/>
        </w:rPr>
        <w:t>2002 Oct;30(10):2322-9.</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Yang Y, Koh D, Ng V, Lee FC, Chan G, Dong F, Chia SE.. </w:t>
      </w:r>
      <w:hyperlink r:id="rId55" w:history="1">
        <w:r w:rsidRPr="008B1937">
          <w:rPr>
            <w:rStyle w:val="Lienhypertexte"/>
            <w:rFonts w:ascii="Times New Roman" w:hAnsi="Times New Roman"/>
            <w:b w:val="0"/>
            <w:bCs w:val="0"/>
            <w:color w:val="auto"/>
            <w:sz w:val="22"/>
            <w:szCs w:val="22"/>
            <w:u w:val="none"/>
            <w:lang w:val="en-GB"/>
          </w:rPr>
          <w:t>Salivary cortisol levels and work-related stress among emergency department nurses.</w:t>
        </w:r>
      </w:hyperlink>
      <w:r w:rsidRPr="007E7407">
        <w:rPr>
          <w:rFonts w:ascii="Times New Roman" w:hAnsi="Times New Roman" w:cs="Times New Roman"/>
          <w:b w:val="0"/>
          <w:bCs w:val="0"/>
          <w:sz w:val="22"/>
          <w:szCs w:val="22"/>
          <w:lang w:val="en-GB"/>
        </w:rPr>
        <w:t xml:space="preserve"> </w:t>
      </w:r>
      <w:r w:rsidRPr="007E7407">
        <w:rPr>
          <w:rStyle w:val="jrnl"/>
          <w:rFonts w:ascii="Times New Roman" w:hAnsi="Times New Roman"/>
          <w:b w:val="0"/>
          <w:bCs w:val="0"/>
          <w:sz w:val="22"/>
          <w:szCs w:val="22"/>
          <w:lang w:val="en-US"/>
        </w:rPr>
        <w:t>J Occup Environ Med</w:t>
      </w:r>
      <w:r w:rsidRPr="007E7407">
        <w:rPr>
          <w:rFonts w:ascii="Times New Roman" w:hAnsi="Times New Roman" w:cs="Times New Roman"/>
          <w:b w:val="0"/>
          <w:bCs w:val="0"/>
          <w:sz w:val="22"/>
          <w:szCs w:val="22"/>
          <w:lang w:val="en-US"/>
        </w:rPr>
        <w:t>. 2001 Dec;43(12):1011-8</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Bentley MA, Crawford JM, Wilkins JR, Fernandez AR, Studnek JR. </w:t>
      </w:r>
      <w:hyperlink r:id="rId56" w:history="1">
        <w:r w:rsidRPr="008B1937">
          <w:rPr>
            <w:rStyle w:val="Lienhypertexte"/>
            <w:rFonts w:ascii="Times New Roman" w:hAnsi="Times New Roman"/>
            <w:b w:val="0"/>
            <w:bCs w:val="0"/>
            <w:color w:val="auto"/>
            <w:sz w:val="22"/>
            <w:szCs w:val="22"/>
            <w:u w:val="none"/>
            <w:lang w:val="en-GB"/>
          </w:rPr>
          <w:t>An Assessment of Depression, Anxiety, and Stress Among Nationally Certified EMS Professionals.</w:t>
        </w:r>
      </w:hyperlink>
      <w:r w:rsidRPr="007E7407">
        <w:rPr>
          <w:rFonts w:ascii="Times New Roman" w:hAnsi="Times New Roman" w:cs="Times New Roman"/>
          <w:b w:val="0"/>
          <w:bCs w:val="0"/>
          <w:sz w:val="22"/>
          <w:szCs w:val="22"/>
          <w:lang w:val="en-GB"/>
        </w:rPr>
        <w:t xml:space="preserve"> </w:t>
      </w:r>
      <w:r w:rsidRPr="007E7407">
        <w:rPr>
          <w:rStyle w:val="jrnl"/>
          <w:rFonts w:ascii="Times New Roman" w:hAnsi="Times New Roman"/>
          <w:b w:val="0"/>
          <w:bCs w:val="0"/>
          <w:sz w:val="22"/>
          <w:szCs w:val="22"/>
          <w:lang w:val="en-US"/>
        </w:rPr>
        <w:t>Prehosp Emerg Care</w:t>
      </w:r>
      <w:r w:rsidRPr="007E7407">
        <w:rPr>
          <w:rFonts w:ascii="Times New Roman" w:hAnsi="Times New Roman" w:cs="Times New Roman"/>
          <w:b w:val="0"/>
          <w:bCs w:val="0"/>
          <w:sz w:val="22"/>
          <w:szCs w:val="22"/>
          <w:lang w:val="en-US"/>
        </w:rPr>
        <w:t>. 2013 Feb 15.</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Nakajima Y, Takahashi T, Shetty V, Yamaguchi M. </w:t>
      </w:r>
      <w:hyperlink r:id="rId57" w:history="1">
        <w:r w:rsidRPr="008B1937">
          <w:rPr>
            <w:rStyle w:val="Lienhypertexte"/>
            <w:rFonts w:ascii="Times New Roman" w:hAnsi="Times New Roman"/>
            <w:b w:val="0"/>
            <w:bCs w:val="0"/>
            <w:color w:val="auto"/>
            <w:sz w:val="22"/>
            <w:szCs w:val="22"/>
            <w:u w:val="none"/>
            <w:lang w:val="en-GB"/>
          </w:rPr>
          <w:t xml:space="preserve">Patterns of salivary cortisol levels can manifest work </w:t>
        </w:r>
        <w:r w:rsidRPr="008B1937">
          <w:rPr>
            <w:rStyle w:val="Lienhypertexte"/>
            <w:rFonts w:ascii="Times New Roman" w:hAnsi="Times New Roman"/>
            <w:b w:val="0"/>
            <w:bCs w:val="0"/>
            <w:color w:val="auto"/>
            <w:sz w:val="22"/>
            <w:szCs w:val="22"/>
            <w:u w:val="none"/>
            <w:lang w:val="en-GB"/>
          </w:rPr>
          <w:lastRenderedPageBreak/>
          <w:t>stress in emergency care providers.</w:t>
        </w:r>
      </w:hyperlink>
      <w:r w:rsidRPr="007E7407">
        <w:rPr>
          <w:rFonts w:ascii="Times New Roman" w:hAnsi="Times New Roman" w:cs="Times New Roman"/>
          <w:b w:val="0"/>
          <w:bCs w:val="0"/>
          <w:sz w:val="22"/>
          <w:szCs w:val="22"/>
          <w:lang w:val="en-GB"/>
        </w:rPr>
        <w:t xml:space="preserve"> </w:t>
      </w:r>
      <w:r w:rsidRPr="007E7407">
        <w:rPr>
          <w:rStyle w:val="jrnl"/>
          <w:rFonts w:ascii="Times New Roman" w:hAnsi="Times New Roman"/>
          <w:b w:val="0"/>
          <w:bCs w:val="0"/>
          <w:sz w:val="22"/>
          <w:szCs w:val="22"/>
          <w:lang w:val="en-US"/>
        </w:rPr>
        <w:t>J Physiol Sci</w:t>
      </w:r>
      <w:r w:rsidRPr="007E7407">
        <w:rPr>
          <w:rFonts w:ascii="Times New Roman" w:hAnsi="Times New Roman" w:cs="Times New Roman"/>
          <w:b w:val="0"/>
          <w:bCs w:val="0"/>
          <w:sz w:val="22"/>
          <w:szCs w:val="22"/>
          <w:lang w:val="en-US"/>
        </w:rPr>
        <w:t>. 2012 May;62(3):191-7</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Estryn-Behar M, Doppia MA, Guetarni K, Fry C, Machet G, Pelloux P, Aune I, Muster D, Lassaunière JM, Prudhomme C. </w:t>
      </w:r>
      <w:hyperlink r:id="rId58" w:history="1">
        <w:r w:rsidRPr="008B1937">
          <w:rPr>
            <w:rStyle w:val="Lienhypertexte"/>
            <w:rFonts w:ascii="Times New Roman" w:hAnsi="Times New Roman"/>
            <w:b w:val="0"/>
            <w:bCs w:val="0"/>
            <w:color w:val="auto"/>
            <w:sz w:val="22"/>
            <w:szCs w:val="22"/>
            <w:u w:val="none"/>
            <w:lang w:val="en-GB"/>
          </w:rPr>
          <w:t>Emergency physicians accumulate more stress factors than other physicians-results from the French SESMAT study.</w:t>
        </w:r>
      </w:hyperlink>
      <w:r w:rsidRPr="007E7407">
        <w:rPr>
          <w:rFonts w:ascii="Times New Roman" w:hAnsi="Times New Roman" w:cs="Times New Roman"/>
          <w:b w:val="0"/>
          <w:bCs w:val="0"/>
          <w:sz w:val="22"/>
          <w:szCs w:val="22"/>
          <w:lang w:val="en-GB"/>
        </w:rPr>
        <w:t xml:space="preserve"> </w:t>
      </w:r>
      <w:r w:rsidRPr="007E7407">
        <w:rPr>
          <w:rStyle w:val="jrnl"/>
          <w:rFonts w:ascii="Times New Roman" w:hAnsi="Times New Roman"/>
          <w:b w:val="0"/>
          <w:bCs w:val="0"/>
          <w:sz w:val="22"/>
          <w:szCs w:val="22"/>
          <w:lang w:val="en-US"/>
        </w:rPr>
        <w:t>Emerg Med J</w:t>
      </w:r>
      <w:r w:rsidRPr="007E7407">
        <w:rPr>
          <w:rFonts w:ascii="Times New Roman" w:hAnsi="Times New Roman" w:cs="Times New Roman"/>
          <w:b w:val="0"/>
          <w:bCs w:val="0"/>
          <w:sz w:val="22"/>
          <w:szCs w:val="22"/>
          <w:lang w:val="en-US"/>
        </w:rPr>
        <w:t>. 2011 May;28(5):397-410</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lang w:val="en-US"/>
        </w:rPr>
        <w:t xml:space="preserve">Yang Y, Koh D, Ng V, Lee FC, Chan G, Dong F, Chia SE </w:t>
      </w:r>
      <w:hyperlink r:id="rId59" w:history="1">
        <w:r w:rsidRPr="008B1937">
          <w:rPr>
            <w:rStyle w:val="Lienhypertexte"/>
            <w:rFonts w:ascii="Times New Roman" w:hAnsi="Times New Roman"/>
            <w:b w:val="0"/>
            <w:bCs w:val="0"/>
            <w:color w:val="auto"/>
            <w:sz w:val="22"/>
            <w:szCs w:val="22"/>
            <w:u w:val="none"/>
            <w:lang w:val="en-GB"/>
          </w:rPr>
          <w:t>Salivary cortisol levels and work-related stress among emergency department nurses.</w:t>
        </w:r>
      </w:hyperlink>
      <w:r w:rsidRPr="007E7407">
        <w:rPr>
          <w:rFonts w:ascii="Times New Roman" w:hAnsi="Times New Roman" w:cs="Times New Roman"/>
          <w:b w:val="0"/>
          <w:bCs w:val="0"/>
          <w:sz w:val="22"/>
          <w:szCs w:val="22"/>
          <w:lang w:val="en-GB"/>
        </w:rPr>
        <w:t xml:space="preserve"> </w:t>
      </w:r>
      <w:r w:rsidRPr="007E7407">
        <w:rPr>
          <w:rStyle w:val="jrnl"/>
          <w:rFonts w:ascii="Times New Roman" w:hAnsi="Times New Roman"/>
          <w:b w:val="0"/>
          <w:bCs w:val="0"/>
          <w:sz w:val="22"/>
          <w:szCs w:val="22"/>
        </w:rPr>
        <w:t>J Occup Environ Med</w:t>
      </w:r>
      <w:r w:rsidRPr="007E7407">
        <w:rPr>
          <w:rFonts w:ascii="Times New Roman" w:hAnsi="Times New Roman" w:cs="Times New Roman"/>
          <w:b w:val="0"/>
          <w:bCs w:val="0"/>
          <w:sz w:val="22"/>
          <w:szCs w:val="22"/>
        </w:rPr>
        <w:t>. 2001 Dec;43(12):1011-8</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Roth SG, Moore CD.  </w:t>
      </w:r>
      <w:hyperlink r:id="rId60" w:history="1">
        <w:r w:rsidRPr="008B1937">
          <w:rPr>
            <w:rStyle w:val="Lienhypertexte"/>
            <w:rFonts w:ascii="Times New Roman" w:hAnsi="Times New Roman"/>
            <w:b w:val="0"/>
            <w:bCs w:val="0"/>
            <w:color w:val="auto"/>
            <w:sz w:val="22"/>
            <w:szCs w:val="22"/>
            <w:u w:val="none"/>
            <w:lang w:val="en-GB"/>
          </w:rPr>
          <w:t>Work-family fit: the impact of emergency medical services work on the family system.</w:t>
        </w:r>
      </w:hyperlink>
      <w:r w:rsidRPr="007E7407">
        <w:rPr>
          <w:rFonts w:ascii="Times New Roman" w:hAnsi="Times New Roman" w:cs="Times New Roman"/>
          <w:b w:val="0"/>
          <w:bCs w:val="0"/>
          <w:sz w:val="22"/>
          <w:szCs w:val="22"/>
          <w:lang w:val="en-GB"/>
        </w:rPr>
        <w:t xml:space="preserve"> </w:t>
      </w:r>
      <w:r w:rsidRPr="007E7407">
        <w:rPr>
          <w:rStyle w:val="jrnl"/>
          <w:rFonts w:ascii="Times New Roman" w:hAnsi="Times New Roman"/>
          <w:b w:val="0"/>
          <w:bCs w:val="0"/>
          <w:sz w:val="22"/>
          <w:szCs w:val="22"/>
          <w:lang w:val="en-US"/>
        </w:rPr>
        <w:t>Prehosp Emerg Care</w:t>
      </w:r>
      <w:r w:rsidRPr="007E7407">
        <w:rPr>
          <w:rFonts w:ascii="Times New Roman" w:hAnsi="Times New Roman" w:cs="Times New Roman"/>
          <w:b w:val="0"/>
          <w:bCs w:val="0"/>
          <w:sz w:val="22"/>
          <w:szCs w:val="22"/>
          <w:lang w:val="en-US"/>
        </w:rPr>
        <w:t>. 2009 Oct-Dec;13(4):462-8</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Bentley MA, Crawford JM, Wilkins JR, Fernandez AR, Studnek JR. </w:t>
      </w:r>
      <w:hyperlink r:id="rId61" w:history="1">
        <w:r w:rsidRPr="008B1937">
          <w:rPr>
            <w:rStyle w:val="Lienhypertexte"/>
            <w:rFonts w:ascii="Times New Roman" w:hAnsi="Times New Roman"/>
            <w:b w:val="0"/>
            <w:bCs w:val="0"/>
            <w:color w:val="auto"/>
            <w:sz w:val="22"/>
            <w:szCs w:val="22"/>
            <w:u w:val="none"/>
            <w:lang w:val="en-GB"/>
          </w:rPr>
          <w:t>An Assessment of Depression, Anxiety, and Stress Among Nationally Certified EMS Professionals.</w:t>
        </w:r>
      </w:hyperlink>
      <w:r w:rsidRPr="007E7407">
        <w:rPr>
          <w:rFonts w:ascii="Times New Roman" w:hAnsi="Times New Roman" w:cs="Times New Roman"/>
          <w:b w:val="0"/>
          <w:bCs w:val="0"/>
          <w:sz w:val="22"/>
          <w:szCs w:val="22"/>
          <w:lang w:val="en-GB"/>
        </w:rPr>
        <w:t xml:space="preserve"> </w:t>
      </w:r>
      <w:r w:rsidRPr="007E7407">
        <w:rPr>
          <w:rStyle w:val="jrnl"/>
          <w:rFonts w:ascii="Times New Roman" w:hAnsi="Times New Roman"/>
          <w:b w:val="0"/>
          <w:bCs w:val="0"/>
          <w:sz w:val="22"/>
          <w:szCs w:val="22"/>
          <w:lang w:val="en-US"/>
        </w:rPr>
        <w:t>Prehosp Emerg Care</w:t>
      </w:r>
      <w:r w:rsidRPr="007E7407">
        <w:rPr>
          <w:rFonts w:ascii="Times New Roman" w:hAnsi="Times New Roman" w:cs="Times New Roman"/>
          <w:b w:val="0"/>
          <w:bCs w:val="0"/>
          <w:sz w:val="22"/>
          <w:szCs w:val="22"/>
          <w:lang w:val="en-US"/>
        </w:rPr>
        <w:t>. 2013 Feb 15</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Donnelly E. </w:t>
      </w:r>
      <w:hyperlink r:id="rId62" w:history="1">
        <w:r w:rsidRPr="008B1937">
          <w:rPr>
            <w:rStyle w:val="Lienhypertexte"/>
            <w:rFonts w:ascii="Times New Roman" w:hAnsi="Times New Roman"/>
            <w:b w:val="0"/>
            <w:bCs w:val="0"/>
            <w:color w:val="auto"/>
            <w:sz w:val="22"/>
            <w:szCs w:val="22"/>
            <w:u w:val="none"/>
            <w:lang w:val="en-GB"/>
          </w:rPr>
          <w:t>Work-related stress and posttraumatic stress in emergency medical services.</w:t>
        </w:r>
      </w:hyperlink>
      <w:r w:rsidRPr="007E7407">
        <w:rPr>
          <w:rStyle w:val="jrnl"/>
          <w:rFonts w:ascii="Times New Roman" w:hAnsi="Times New Roman"/>
          <w:b w:val="0"/>
          <w:bCs w:val="0"/>
          <w:sz w:val="22"/>
          <w:szCs w:val="22"/>
          <w:lang w:val="en-US"/>
        </w:rPr>
        <w:t xml:space="preserve"> Prehosp Emerg Care</w:t>
      </w:r>
      <w:r w:rsidRPr="007E7407">
        <w:rPr>
          <w:rFonts w:ascii="Times New Roman" w:hAnsi="Times New Roman" w:cs="Times New Roman"/>
          <w:b w:val="0"/>
          <w:bCs w:val="0"/>
          <w:sz w:val="22"/>
          <w:szCs w:val="22"/>
          <w:lang w:val="en-US"/>
        </w:rPr>
        <w:t>. 2012 Jan-Mar;16(1):76-85</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Härmä M. Workhours in relation to work stress, recovery and health. </w:t>
      </w:r>
      <w:r w:rsidRPr="007E7407">
        <w:rPr>
          <w:rStyle w:val="jrnl"/>
          <w:rFonts w:ascii="Times New Roman" w:hAnsi="Times New Roman"/>
          <w:b w:val="0"/>
          <w:bCs w:val="0"/>
          <w:sz w:val="22"/>
          <w:szCs w:val="22"/>
          <w:lang w:val="en-US"/>
        </w:rPr>
        <w:t>Scand J Work Environ Health</w:t>
      </w:r>
      <w:r w:rsidRPr="007E7407">
        <w:rPr>
          <w:rFonts w:ascii="Times New Roman" w:hAnsi="Times New Roman" w:cs="Times New Roman"/>
          <w:b w:val="0"/>
          <w:bCs w:val="0"/>
          <w:sz w:val="22"/>
          <w:szCs w:val="22"/>
          <w:lang w:val="en-US"/>
        </w:rPr>
        <w:t>. 2006 Dec;32(6):502-14</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Steptoe A, Ussher M.</w:t>
      </w:r>
      <w:r w:rsidRPr="007E7407">
        <w:rPr>
          <w:rFonts w:ascii="Times New Roman" w:hAnsi="Times New Roman" w:cs="Times New Roman"/>
          <w:b w:val="0"/>
          <w:bCs w:val="0"/>
          <w:sz w:val="22"/>
          <w:szCs w:val="22"/>
          <w:lang w:val="en-GB"/>
        </w:rPr>
        <w:t xml:space="preserve"> .</w:t>
      </w:r>
      <w:hyperlink r:id="rId63" w:history="1">
        <w:r w:rsidRPr="008B1937">
          <w:rPr>
            <w:rStyle w:val="Lienhypertexte"/>
            <w:rFonts w:ascii="Times New Roman" w:hAnsi="Times New Roman"/>
            <w:b w:val="0"/>
            <w:bCs w:val="0"/>
            <w:color w:val="auto"/>
            <w:sz w:val="22"/>
            <w:szCs w:val="22"/>
            <w:u w:val="none"/>
            <w:lang w:val="en-GB"/>
          </w:rPr>
          <w:t>Smoking, cortisol and nicotine.</w:t>
        </w:r>
      </w:hyperlink>
      <w:r w:rsidRPr="007E7407">
        <w:rPr>
          <w:rFonts w:ascii="Times New Roman" w:hAnsi="Times New Roman" w:cs="Times New Roman"/>
          <w:b w:val="0"/>
          <w:bCs w:val="0"/>
          <w:sz w:val="22"/>
          <w:szCs w:val="22"/>
          <w:lang w:val="en-GB"/>
        </w:rPr>
        <w:t xml:space="preserve"> </w:t>
      </w:r>
      <w:r w:rsidRPr="007E7407">
        <w:rPr>
          <w:rFonts w:ascii="Times New Roman" w:hAnsi="Times New Roman" w:cs="Times New Roman"/>
          <w:b w:val="0"/>
          <w:bCs w:val="0"/>
          <w:sz w:val="22"/>
          <w:szCs w:val="22"/>
          <w:lang w:val="en-US"/>
        </w:rPr>
        <w:t>Int J Psychophysiol. 2006 Mar;59(3):228-35</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Nakajima Y, Takahashi T, Shetty V, Yamaguchi M. </w:t>
      </w:r>
      <w:hyperlink r:id="rId64" w:history="1">
        <w:r w:rsidRPr="008B1937">
          <w:rPr>
            <w:rStyle w:val="Lienhypertexte"/>
            <w:rFonts w:ascii="Times New Roman" w:hAnsi="Times New Roman"/>
            <w:b w:val="0"/>
            <w:bCs w:val="0"/>
            <w:color w:val="auto"/>
            <w:sz w:val="22"/>
            <w:szCs w:val="22"/>
            <w:u w:val="none"/>
            <w:lang w:val="en-GB"/>
          </w:rPr>
          <w:t xml:space="preserve">Patterns of </w:t>
        </w:r>
      </w:hyperlink>
      <w:hyperlink r:id="rId65" w:history="1">
        <w:r w:rsidRPr="008B1937">
          <w:rPr>
            <w:rStyle w:val="Lienhypertexte"/>
            <w:rFonts w:ascii="Times New Roman" w:hAnsi="Times New Roman"/>
            <w:b w:val="0"/>
            <w:bCs w:val="0"/>
            <w:color w:val="auto"/>
            <w:sz w:val="22"/>
            <w:szCs w:val="22"/>
            <w:u w:val="none"/>
            <w:lang w:val="en-GB"/>
          </w:rPr>
          <w:t>salivary</w:t>
        </w:r>
      </w:hyperlink>
      <w:hyperlink r:id="rId66" w:history="1">
        <w:r w:rsidRPr="008B1937">
          <w:rPr>
            <w:rStyle w:val="Lienhypertexte"/>
            <w:rFonts w:ascii="Times New Roman" w:hAnsi="Times New Roman"/>
            <w:b w:val="0"/>
            <w:bCs w:val="0"/>
            <w:color w:val="auto"/>
            <w:sz w:val="22"/>
            <w:szCs w:val="22"/>
            <w:u w:val="none"/>
            <w:lang w:val="en-GB"/>
          </w:rPr>
          <w:t xml:space="preserve"> </w:t>
        </w:r>
      </w:hyperlink>
      <w:hyperlink r:id="rId67" w:history="1">
        <w:r w:rsidRPr="008B1937">
          <w:rPr>
            <w:rStyle w:val="Lienhypertexte"/>
            <w:rFonts w:ascii="Times New Roman" w:hAnsi="Times New Roman"/>
            <w:b w:val="0"/>
            <w:bCs w:val="0"/>
            <w:color w:val="auto"/>
            <w:sz w:val="22"/>
            <w:szCs w:val="22"/>
            <w:u w:val="none"/>
            <w:lang w:val="en-GB"/>
          </w:rPr>
          <w:t>cortisol</w:t>
        </w:r>
      </w:hyperlink>
      <w:hyperlink r:id="rId68" w:history="1">
        <w:r w:rsidRPr="008B1937">
          <w:rPr>
            <w:rStyle w:val="Lienhypertexte"/>
            <w:rFonts w:ascii="Times New Roman" w:hAnsi="Times New Roman"/>
            <w:b w:val="0"/>
            <w:bCs w:val="0"/>
            <w:color w:val="auto"/>
            <w:sz w:val="22"/>
            <w:szCs w:val="22"/>
            <w:u w:val="none"/>
            <w:lang w:val="en-GB"/>
          </w:rPr>
          <w:t xml:space="preserve"> levels can manifest work </w:t>
        </w:r>
      </w:hyperlink>
      <w:hyperlink r:id="rId69" w:history="1">
        <w:r w:rsidRPr="008B1937">
          <w:rPr>
            <w:rStyle w:val="Lienhypertexte"/>
            <w:rFonts w:ascii="Times New Roman" w:hAnsi="Times New Roman"/>
            <w:b w:val="0"/>
            <w:bCs w:val="0"/>
            <w:color w:val="auto"/>
            <w:sz w:val="22"/>
            <w:szCs w:val="22"/>
            <w:u w:val="none"/>
            <w:lang w:val="en-GB"/>
          </w:rPr>
          <w:t>stress</w:t>
        </w:r>
      </w:hyperlink>
      <w:hyperlink r:id="rId70" w:history="1">
        <w:r w:rsidRPr="008B1937">
          <w:rPr>
            <w:rStyle w:val="Lienhypertexte"/>
            <w:rFonts w:ascii="Times New Roman" w:hAnsi="Times New Roman"/>
            <w:b w:val="0"/>
            <w:bCs w:val="0"/>
            <w:color w:val="auto"/>
            <w:sz w:val="22"/>
            <w:szCs w:val="22"/>
            <w:u w:val="none"/>
            <w:lang w:val="en-GB"/>
          </w:rPr>
          <w:t xml:space="preserve"> in </w:t>
        </w:r>
      </w:hyperlink>
      <w:hyperlink r:id="rId71" w:history="1">
        <w:r w:rsidRPr="008B1937">
          <w:rPr>
            <w:rStyle w:val="Lienhypertexte"/>
            <w:rFonts w:ascii="Times New Roman" w:hAnsi="Times New Roman"/>
            <w:b w:val="0"/>
            <w:bCs w:val="0"/>
            <w:color w:val="auto"/>
            <w:sz w:val="22"/>
            <w:szCs w:val="22"/>
            <w:u w:val="none"/>
            <w:lang w:val="en-GB"/>
          </w:rPr>
          <w:t>emergency</w:t>
        </w:r>
      </w:hyperlink>
      <w:hyperlink r:id="rId72" w:history="1">
        <w:r w:rsidRPr="008B1937">
          <w:rPr>
            <w:rStyle w:val="Lienhypertexte"/>
            <w:rFonts w:ascii="Times New Roman" w:hAnsi="Times New Roman"/>
            <w:b w:val="0"/>
            <w:bCs w:val="0"/>
            <w:color w:val="auto"/>
            <w:sz w:val="22"/>
            <w:szCs w:val="22"/>
            <w:u w:val="none"/>
            <w:lang w:val="en-GB"/>
          </w:rPr>
          <w:t xml:space="preserve"> care providers.</w:t>
        </w:r>
      </w:hyperlink>
      <w:r w:rsidRPr="007E7407">
        <w:rPr>
          <w:rFonts w:ascii="Times New Roman" w:hAnsi="Times New Roman" w:cs="Times New Roman"/>
          <w:b w:val="0"/>
          <w:bCs w:val="0"/>
          <w:sz w:val="22"/>
          <w:szCs w:val="22"/>
          <w:lang w:val="en-GB"/>
        </w:rPr>
        <w:t xml:space="preserve"> </w:t>
      </w:r>
      <w:r w:rsidRPr="007E7407">
        <w:rPr>
          <w:rStyle w:val="jrnl"/>
          <w:rFonts w:ascii="Times New Roman" w:hAnsi="Times New Roman"/>
          <w:b w:val="0"/>
          <w:bCs w:val="0"/>
          <w:sz w:val="22"/>
          <w:szCs w:val="22"/>
          <w:lang w:val="en-US"/>
        </w:rPr>
        <w:t>J Physiol Sci</w:t>
      </w:r>
      <w:r w:rsidRPr="007E7407">
        <w:rPr>
          <w:rFonts w:ascii="Times New Roman" w:hAnsi="Times New Roman" w:cs="Times New Roman"/>
          <w:b w:val="0"/>
          <w:bCs w:val="0"/>
          <w:sz w:val="22"/>
          <w:szCs w:val="22"/>
          <w:lang w:val="en-US"/>
        </w:rPr>
        <w:t>. 2012 May;62(3):191-7</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lang w:val="en-US"/>
        </w:rPr>
        <w:t xml:space="preserve">Backé EM, Kaul G, Klussmann A, Liebers F, Thim C, Massbeck P, Steinberg U. Assessment of salivary cortisol as stress marker in ambulance service personnel: comparison between shifts working on mobile intensive care unit and patient transport ambulance. </w:t>
      </w:r>
      <w:r w:rsidRPr="007E7407">
        <w:rPr>
          <w:rStyle w:val="jrnl"/>
          <w:rFonts w:ascii="Times New Roman" w:hAnsi="Times New Roman"/>
          <w:b w:val="0"/>
          <w:bCs w:val="0"/>
          <w:sz w:val="22"/>
          <w:szCs w:val="22"/>
          <w:lang w:val="en-US"/>
        </w:rPr>
        <w:t>Int Arch Occup Environ Health</w:t>
      </w:r>
      <w:r w:rsidRPr="007E7407">
        <w:rPr>
          <w:rFonts w:ascii="Times New Roman" w:hAnsi="Times New Roman" w:cs="Times New Roman"/>
          <w:b w:val="0"/>
          <w:bCs w:val="0"/>
          <w:sz w:val="22"/>
          <w:szCs w:val="22"/>
          <w:lang w:val="en-US"/>
        </w:rPr>
        <w:t xml:space="preserve">. 2009 Oct;82(9):1057-64. </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GB"/>
        </w:rPr>
        <w:t>Baig A, Siddiqui I, Naqvi H, Sabir S, Jabbar J, Shahid M</w:t>
      </w:r>
      <w:hyperlink r:id="rId73" w:history="1">
        <w:r w:rsidRPr="008B1937">
          <w:rPr>
            <w:rStyle w:val="Lienhypertexte"/>
            <w:rFonts w:ascii="Times New Roman" w:hAnsi="Times New Roman"/>
            <w:b w:val="0"/>
            <w:bCs w:val="0"/>
            <w:color w:val="auto"/>
            <w:sz w:val="22"/>
            <w:szCs w:val="22"/>
            <w:u w:val="none"/>
            <w:lang w:val="en-GB"/>
          </w:rPr>
          <w:t>Correlation of serum cortisol levels and stress among medical doctors working in emergency departments.</w:t>
        </w:r>
      </w:hyperlink>
      <w:r w:rsidRPr="007E7407">
        <w:rPr>
          <w:rFonts w:ascii="Times New Roman" w:hAnsi="Times New Roman" w:cs="Times New Roman"/>
          <w:b w:val="0"/>
          <w:bCs w:val="0"/>
          <w:sz w:val="22"/>
          <w:szCs w:val="22"/>
          <w:lang w:val="en-GB"/>
        </w:rPr>
        <w:t xml:space="preserve"> J Coll Physicians Surg Pak. 2006 Sep;16(9):576-80.</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rPr>
        <w:t xml:space="preserve">POUGET R. histoire et stress. </w:t>
      </w:r>
      <w:r w:rsidRPr="007E7407">
        <w:rPr>
          <w:rFonts w:ascii="Times New Roman" w:hAnsi="Times New Roman" w:cs="Times New Roman"/>
          <w:b w:val="0"/>
          <w:bCs w:val="0"/>
          <w:sz w:val="22"/>
          <w:szCs w:val="22"/>
          <w:lang w:val="en-US"/>
        </w:rPr>
        <w:t>Psychologie médicale 1992 ; 24 (3) 240-242</w:t>
      </w:r>
    </w:p>
    <w:p w:rsidR="00AC113A" w:rsidRPr="007E7407" w:rsidRDefault="00AC113A">
      <w:pPr>
        <w:pStyle w:val="details"/>
        <w:spacing w:before="0"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GB"/>
        </w:rPr>
      </w:pPr>
      <w:r w:rsidRPr="007E7407">
        <w:rPr>
          <w:rFonts w:ascii="Times New Roman" w:hAnsi="Times New Roman" w:cs="Times New Roman"/>
          <w:b w:val="0"/>
          <w:bCs w:val="0"/>
          <w:sz w:val="22"/>
          <w:szCs w:val="22"/>
          <w:lang w:val="en-GB"/>
        </w:rPr>
        <w:t xml:space="preserve"> CANNON W.B. (1929) Bodily changes in apin, hunger, fear and rage : An account of recent researches into the functional of emotional excitement. 2nd ed ; New-York : Appleton-Century.</w:t>
      </w:r>
    </w:p>
    <w:p w:rsidR="00AC113A" w:rsidRPr="007E7407" w:rsidRDefault="00AC113A">
      <w:pPr>
        <w:jc w:val="both"/>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GB"/>
        </w:rPr>
      </w:pPr>
      <w:r w:rsidRPr="007E7407">
        <w:rPr>
          <w:rFonts w:ascii="Times New Roman" w:hAnsi="Times New Roman" w:cs="Times New Roman"/>
          <w:b w:val="0"/>
          <w:bCs w:val="0"/>
          <w:sz w:val="22"/>
          <w:szCs w:val="22"/>
          <w:lang w:val="en-GB"/>
        </w:rPr>
        <w:t xml:space="preserve"> SELYE H. The stress of life. McGraw-Hill ed. New York, 1976</w:t>
      </w:r>
    </w:p>
    <w:p w:rsidR="00AC113A" w:rsidRPr="007E7407" w:rsidRDefault="00AC113A">
      <w:pPr>
        <w:jc w:val="both"/>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lang w:val="en-GB"/>
        </w:rPr>
        <w:t xml:space="preserve"> Rosch PJ</w:t>
      </w:r>
      <w:hyperlink r:id="rId74" w:history="1">
        <w:r w:rsidRPr="008B1937">
          <w:rPr>
            <w:rStyle w:val="Lienhypertexte"/>
            <w:rFonts w:ascii="Times New Roman" w:hAnsi="Times New Roman"/>
            <w:b w:val="0"/>
            <w:bCs w:val="0"/>
            <w:color w:val="auto"/>
            <w:sz w:val="22"/>
            <w:szCs w:val="22"/>
            <w:u w:val="none"/>
            <w:lang w:val="en-GB"/>
          </w:rPr>
          <w:t>Reminiscences of Hans Selye, and the birth of "stress".</w:t>
        </w:r>
      </w:hyperlink>
      <w:r w:rsidRPr="007E7407">
        <w:rPr>
          <w:rFonts w:ascii="Times New Roman" w:hAnsi="Times New Roman" w:cs="Times New Roman"/>
          <w:b w:val="0"/>
          <w:bCs w:val="0"/>
          <w:sz w:val="22"/>
          <w:szCs w:val="22"/>
          <w:lang w:val="en-GB"/>
        </w:rPr>
        <w:t>.</w:t>
      </w:r>
      <w:r w:rsidRPr="007E7407">
        <w:rPr>
          <w:rStyle w:val="jrnl"/>
          <w:rFonts w:ascii="Times New Roman" w:hAnsi="Times New Roman"/>
          <w:b w:val="0"/>
          <w:bCs w:val="0"/>
          <w:sz w:val="22"/>
          <w:szCs w:val="22"/>
          <w:lang w:val="en-GB"/>
        </w:rPr>
        <w:t>Int J Emerg Ment Health</w:t>
      </w:r>
      <w:r w:rsidRPr="007E7407">
        <w:rPr>
          <w:rFonts w:ascii="Times New Roman" w:hAnsi="Times New Roman" w:cs="Times New Roman"/>
          <w:b w:val="0"/>
          <w:bCs w:val="0"/>
          <w:sz w:val="22"/>
          <w:szCs w:val="22"/>
        </w:rPr>
        <w:t>. 1999 Winter;1(1):59-66.</w:t>
      </w:r>
    </w:p>
    <w:p w:rsidR="00AC113A" w:rsidRPr="007E7407" w:rsidRDefault="00AC113A">
      <w:pPr>
        <w:pStyle w:val="desc"/>
        <w:spacing w:before="0" w:after="0"/>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rPr>
        <w:t xml:space="preserve"> NEBOIT.M. Le stress au travail, 1ère conference internatonale « facteurs psychosociaux dans le travail » 24-26 Août 1998 Copenhague. Hygiène et sécurité au travail, Congrès (compte-rendu). N°172, 3</w:t>
      </w:r>
      <w:r w:rsidRPr="007E7407">
        <w:rPr>
          <w:rFonts w:ascii="Times New Roman" w:hAnsi="Times New Roman" w:cs="Times New Roman"/>
          <w:b w:val="0"/>
          <w:bCs w:val="0"/>
          <w:sz w:val="22"/>
          <w:szCs w:val="22"/>
          <w:vertAlign w:val="superscript"/>
        </w:rPr>
        <w:t>ème</w:t>
      </w:r>
      <w:r w:rsidRPr="007E7407">
        <w:rPr>
          <w:rFonts w:ascii="Times New Roman" w:hAnsi="Times New Roman" w:cs="Times New Roman"/>
          <w:b w:val="0"/>
          <w:bCs w:val="0"/>
          <w:sz w:val="22"/>
          <w:szCs w:val="22"/>
        </w:rPr>
        <w:t xml:space="preserve"> trimestre 1998.</w:t>
      </w:r>
    </w:p>
    <w:p w:rsidR="00AC113A" w:rsidRPr="007E7407" w:rsidRDefault="00AC113A">
      <w:pPr>
        <w:jc w:val="both"/>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GB"/>
        </w:rPr>
      </w:pPr>
      <w:hyperlink r:id="rId75" w:history="1">
        <w:r w:rsidRPr="008B1937">
          <w:rPr>
            <w:rStyle w:val="Lienhypertexte"/>
            <w:rFonts w:ascii="Times New Roman" w:hAnsi="Times New Roman"/>
            <w:b w:val="0"/>
            <w:bCs w:val="0"/>
            <w:color w:val="auto"/>
            <w:sz w:val="22"/>
            <w:szCs w:val="22"/>
            <w:u w:val="none"/>
            <w:lang w:val="en-GB"/>
          </w:rPr>
          <w:t>Mason JW</w:t>
        </w:r>
      </w:hyperlink>
      <w:r w:rsidRPr="007E7407">
        <w:rPr>
          <w:rFonts w:ascii="Times New Roman" w:hAnsi="Times New Roman" w:cs="Times New Roman"/>
          <w:b w:val="0"/>
          <w:bCs w:val="0"/>
          <w:sz w:val="22"/>
          <w:szCs w:val="22"/>
          <w:lang w:val="en-GB"/>
        </w:rPr>
        <w:t>.A re-evaluation of the concept of "non-specificity" in stress theory.</w:t>
      </w:r>
      <w:r w:rsidRPr="007E7407">
        <w:rPr>
          <w:rFonts w:ascii="Times New Roman" w:hAnsi="Times New Roman" w:cs="Times New Roman"/>
          <w:b w:val="0"/>
          <w:bCs w:val="0"/>
          <w:sz w:val="22"/>
          <w:szCs w:val="22"/>
          <w:lang w:val="en-US"/>
        </w:rPr>
        <w:t xml:space="preserve"> </w:t>
      </w:r>
      <w:hyperlink r:id="rId76" w:history="1">
        <w:r w:rsidRPr="007E7407">
          <w:rPr>
            <w:rStyle w:val="Lienhypertexte"/>
            <w:rFonts w:ascii="Times New Roman" w:hAnsi="Times New Roman"/>
            <w:b w:val="0"/>
            <w:bCs w:val="0"/>
            <w:color w:val="auto"/>
            <w:sz w:val="22"/>
            <w:szCs w:val="22"/>
            <w:u w:val="none"/>
          </w:rPr>
          <w:t>J Psychiatr Res.</w:t>
        </w:r>
      </w:hyperlink>
      <w:r w:rsidRPr="007E7407">
        <w:rPr>
          <w:rFonts w:ascii="Times New Roman" w:hAnsi="Times New Roman" w:cs="Times New Roman"/>
          <w:b w:val="0"/>
          <w:bCs w:val="0"/>
          <w:sz w:val="22"/>
          <w:szCs w:val="22"/>
          <w:lang w:val="en-US"/>
        </w:rPr>
        <w:t xml:space="preserve"> 1971 Aug;8(3):323-33.</w:t>
      </w:r>
    </w:p>
    <w:p w:rsidR="00AC113A" w:rsidRPr="007E7407" w:rsidRDefault="00AC113A">
      <w:pPr>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GB"/>
        </w:rPr>
      </w:pPr>
      <w:r w:rsidRPr="007E7407">
        <w:rPr>
          <w:rFonts w:ascii="Times New Roman" w:hAnsi="Times New Roman" w:cs="Times New Roman"/>
          <w:b w:val="0"/>
          <w:bCs w:val="0"/>
          <w:sz w:val="22"/>
          <w:szCs w:val="22"/>
          <w:lang w:val="en-US"/>
        </w:rPr>
        <w:t>Lazarus.</w:t>
      </w:r>
      <w:r w:rsidRPr="007E7407">
        <w:rPr>
          <w:rFonts w:ascii="Times New Roman" w:hAnsi="Times New Roman" w:cs="Times New Roman"/>
          <w:b w:val="0"/>
          <w:bCs w:val="0"/>
          <w:sz w:val="22"/>
          <w:szCs w:val="22"/>
          <w:lang w:val="en-GB"/>
        </w:rPr>
        <w:t>Coping theory and research: past, present, and future.</w:t>
      </w:r>
      <w:hyperlink r:id="rId77" w:history="1">
        <w:r w:rsidRPr="007E7407">
          <w:rPr>
            <w:rStyle w:val="Lienhypertexte"/>
            <w:rFonts w:ascii="Times New Roman" w:hAnsi="Times New Roman"/>
            <w:b w:val="0"/>
            <w:bCs w:val="0"/>
            <w:color w:val="auto"/>
            <w:sz w:val="22"/>
            <w:szCs w:val="22"/>
            <w:u w:val="none"/>
          </w:rPr>
          <w:t>Psychosom Med.</w:t>
        </w:r>
      </w:hyperlink>
      <w:r w:rsidRPr="007E7407">
        <w:rPr>
          <w:rFonts w:ascii="Times New Roman" w:hAnsi="Times New Roman" w:cs="Times New Roman"/>
          <w:b w:val="0"/>
          <w:bCs w:val="0"/>
          <w:sz w:val="22"/>
          <w:szCs w:val="22"/>
          <w:lang w:val="en-US"/>
        </w:rPr>
        <w:t xml:space="preserve"> 1993 May-Jun;55(3):234-47.</w:t>
      </w:r>
    </w:p>
    <w:p w:rsidR="00AC113A" w:rsidRPr="007E7407" w:rsidRDefault="00AC113A">
      <w:pPr>
        <w:rPr>
          <w:rFonts w:cs="Times New Roman"/>
          <w:sz w:val="22"/>
          <w:szCs w:val="22"/>
          <w:lang w:val="en-GB"/>
        </w:rPr>
      </w:pPr>
    </w:p>
    <w:p w:rsidR="00AC113A" w:rsidRPr="008B1937" w:rsidRDefault="00AC113A">
      <w:pPr>
        <w:pStyle w:val="Titre1"/>
        <w:spacing w:before="0" w:after="0"/>
        <w:rPr>
          <w:rFonts w:ascii="Times New Roman" w:hAnsi="Times New Roman" w:cs="Times New Roman"/>
          <w:b w:val="0"/>
          <w:bCs w:val="0"/>
          <w:sz w:val="22"/>
          <w:szCs w:val="22"/>
          <w:lang w:val="en-GB"/>
        </w:rPr>
      </w:pPr>
      <w:r w:rsidRPr="007E7407">
        <w:rPr>
          <w:rStyle w:val="highlight"/>
          <w:rFonts w:ascii="Times New Roman" w:hAnsi="Times New Roman"/>
          <w:b w:val="0"/>
          <w:bCs w:val="0"/>
          <w:sz w:val="22"/>
          <w:szCs w:val="22"/>
          <w:lang w:val="en-GB"/>
        </w:rPr>
        <w:lastRenderedPageBreak/>
        <w:t>Stress</w:t>
      </w:r>
      <w:r w:rsidRPr="007E7407">
        <w:rPr>
          <w:rFonts w:ascii="Times New Roman" w:hAnsi="Times New Roman" w:cs="Times New Roman"/>
          <w:b w:val="0"/>
          <w:bCs w:val="0"/>
          <w:sz w:val="22"/>
          <w:szCs w:val="22"/>
          <w:lang w:val="en-GB"/>
        </w:rPr>
        <w:t xml:space="preserve">, </w:t>
      </w:r>
      <w:r w:rsidRPr="007E7407">
        <w:rPr>
          <w:rStyle w:val="highlight"/>
          <w:rFonts w:ascii="Times New Roman" w:hAnsi="Times New Roman"/>
          <w:b w:val="0"/>
          <w:bCs w:val="0"/>
          <w:sz w:val="22"/>
          <w:szCs w:val="22"/>
          <w:lang w:val="en-GB"/>
        </w:rPr>
        <w:t>memory</w:t>
      </w:r>
      <w:r w:rsidRPr="007E7407">
        <w:rPr>
          <w:rFonts w:ascii="Times New Roman" w:hAnsi="Times New Roman" w:cs="Times New Roman"/>
          <w:b w:val="0"/>
          <w:bCs w:val="0"/>
          <w:sz w:val="22"/>
          <w:szCs w:val="22"/>
          <w:lang w:val="en-GB"/>
        </w:rPr>
        <w:t xml:space="preserve"> and the </w:t>
      </w:r>
      <w:r w:rsidRPr="007E7407">
        <w:rPr>
          <w:rStyle w:val="highlight"/>
          <w:rFonts w:ascii="Times New Roman" w:hAnsi="Times New Roman"/>
          <w:b w:val="0"/>
          <w:bCs w:val="0"/>
          <w:sz w:val="22"/>
          <w:szCs w:val="22"/>
          <w:lang w:val="en-GB"/>
        </w:rPr>
        <w:t>amygdala</w:t>
      </w:r>
      <w:r w:rsidRPr="007E7407">
        <w:rPr>
          <w:rFonts w:ascii="Times New Roman" w:hAnsi="Times New Roman" w:cs="Times New Roman"/>
          <w:b w:val="0"/>
          <w:bCs w:val="0"/>
          <w:sz w:val="22"/>
          <w:szCs w:val="22"/>
          <w:lang w:val="en-GB"/>
        </w:rPr>
        <w:t>.</w:t>
      </w:r>
      <w:hyperlink r:id="rId78" w:history="1">
        <w:r w:rsidRPr="008B1937">
          <w:rPr>
            <w:rStyle w:val="Lienhypertexte"/>
            <w:rFonts w:ascii="Times New Roman" w:hAnsi="Times New Roman"/>
            <w:b w:val="0"/>
            <w:bCs w:val="0"/>
            <w:color w:val="auto"/>
            <w:sz w:val="22"/>
            <w:szCs w:val="22"/>
            <w:u w:val="none"/>
            <w:lang w:val="en-GB"/>
          </w:rPr>
          <w:t>Roozendaal B</w:t>
        </w:r>
      </w:hyperlink>
      <w:r w:rsidRPr="008B1937">
        <w:rPr>
          <w:rFonts w:ascii="Times New Roman" w:hAnsi="Times New Roman" w:cs="Times New Roman"/>
          <w:b w:val="0"/>
          <w:bCs w:val="0"/>
          <w:sz w:val="22"/>
          <w:szCs w:val="22"/>
          <w:lang w:val="en-GB"/>
        </w:rPr>
        <w:t xml:space="preserve">, </w:t>
      </w:r>
      <w:hyperlink r:id="rId79" w:history="1">
        <w:r w:rsidRPr="008B1937">
          <w:rPr>
            <w:rStyle w:val="Lienhypertexte"/>
            <w:rFonts w:ascii="Times New Roman" w:hAnsi="Times New Roman"/>
            <w:b w:val="0"/>
            <w:bCs w:val="0"/>
            <w:color w:val="auto"/>
            <w:sz w:val="22"/>
            <w:szCs w:val="22"/>
            <w:u w:val="none"/>
            <w:lang w:val="en-GB"/>
          </w:rPr>
          <w:t>McEwen BS</w:t>
        </w:r>
      </w:hyperlink>
      <w:r w:rsidRPr="008B1937">
        <w:rPr>
          <w:rFonts w:ascii="Times New Roman" w:hAnsi="Times New Roman" w:cs="Times New Roman"/>
          <w:b w:val="0"/>
          <w:bCs w:val="0"/>
          <w:sz w:val="22"/>
          <w:szCs w:val="22"/>
          <w:lang w:val="en-GB"/>
        </w:rPr>
        <w:t xml:space="preserve">, </w:t>
      </w:r>
      <w:hyperlink r:id="rId80" w:history="1">
        <w:r w:rsidRPr="008B1937">
          <w:rPr>
            <w:rStyle w:val="Lienhypertexte"/>
            <w:rFonts w:ascii="Times New Roman" w:hAnsi="Times New Roman"/>
            <w:b w:val="0"/>
            <w:bCs w:val="0"/>
            <w:color w:val="auto"/>
            <w:sz w:val="22"/>
            <w:szCs w:val="22"/>
            <w:u w:val="none"/>
            <w:lang w:val="en-GB"/>
          </w:rPr>
          <w:t>Chattarji S</w:t>
        </w:r>
      </w:hyperlink>
      <w:r w:rsidRPr="008B1937">
        <w:rPr>
          <w:rFonts w:ascii="Times New Roman" w:hAnsi="Times New Roman" w:cs="Times New Roman"/>
          <w:b w:val="0"/>
          <w:bCs w:val="0"/>
          <w:sz w:val="22"/>
          <w:szCs w:val="22"/>
          <w:lang w:val="en-GB"/>
        </w:rPr>
        <w:t>.</w:t>
      </w:r>
      <w:hyperlink r:id="rId81" w:history="1">
        <w:r w:rsidRPr="008B1937">
          <w:rPr>
            <w:rStyle w:val="Lienhypertexte"/>
            <w:rFonts w:ascii="Times New Roman" w:hAnsi="Times New Roman"/>
            <w:b w:val="0"/>
            <w:bCs w:val="0"/>
            <w:color w:val="auto"/>
            <w:sz w:val="22"/>
            <w:szCs w:val="22"/>
            <w:u w:val="none"/>
            <w:lang w:val="en-GB"/>
          </w:rPr>
          <w:t>Nat Rev Neurosci.</w:t>
        </w:r>
      </w:hyperlink>
      <w:r w:rsidRPr="008B1937">
        <w:rPr>
          <w:rFonts w:ascii="Times New Roman" w:hAnsi="Times New Roman" w:cs="Times New Roman"/>
          <w:b w:val="0"/>
          <w:bCs w:val="0"/>
          <w:sz w:val="22"/>
          <w:szCs w:val="22"/>
          <w:lang w:val="en-GB"/>
        </w:rPr>
        <w:t xml:space="preserve"> 2009 Jun;10(6):459-66. doi: 10.1038/nrn2632.</w:t>
      </w:r>
    </w:p>
    <w:p w:rsidR="00AC113A" w:rsidRPr="008B1937" w:rsidRDefault="00AC113A">
      <w:pPr>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82" w:history="1">
        <w:r w:rsidRPr="008B1937">
          <w:rPr>
            <w:rStyle w:val="Lienhypertexte"/>
            <w:rFonts w:ascii="Times New Roman" w:hAnsi="Times New Roman"/>
            <w:b w:val="0"/>
            <w:bCs w:val="0"/>
            <w:color w:val="auto"/>
            <w:sz w:val="22"/>
            <w:szCs w:val="22"/>
            <w:u w:val="none"/>
            <w:lang w:val="en-GB"/>
          </w:rPr>
          <w:t>Eller NH</w:t>
        </w:r>
      </w:hyperlink>
      <w:r w:rsidRPr="007E7407">
        <w:rPr>
          <w:rFonts w:ascii="Times New Roman" w:hAnsi="Times New Roman" w:cs="Times New Roman"/>
          <w:b w:val="0"/>
          <w:bCs w:val="0"/>
          <w:sz w:val="22"/>
          <w:szCs w:val="22"/>
          <w:lang w:val="en-US"/>
        </w:rPr>
        <w:t xml:space="preserve">, </w:t>
      </w:r>
      <w:hyperlink r:id="rId83" w:history="1">
        <w:r w:rsidRPr="008B1937">
          <w:rPr>
            <w:rStyle w:val="Lienhypertexte"/>
            <w:rFonts w:ascii="Times New Roman" w:hAnsi="Times New Roman"/>
            <w:b w:val="0"/>
            <w:bCs w:val="0"/>
            <w:color w:val="auto"/>
            <w:sz w:val="22"/>
            <w:szCs w:val="22"/>
            <w:u w:val="none"/>
            <w:lang w:val="en-GB"/>
          </w:rPr>
          <w:t>Netterstrøm B</w:t>
        </w:r>
      </w:hyperlink>
      <w:r w:rsidRPr="007E7407">
        <w:rPr>
          <w:rFonts w:ascii="Times New Roman" w:hAnsi="Times New Roman" w:cs="Times New Roman"/>
          <w:b w:val="0"/>
          <w:bCs w:val="0"/>
          <w:sz w:val="22"/>
          <w:szCs w:val="22"/>
          <w:lang w:val="en-US"/>
        </w:rPr>
        <w:t xml:space="preserve">, </w:t>
      </w:r>
      <w:hyperlink r:id="rId84" w:history="1">
        <w:r w:rsidRPr="008B1937">
          <w:rPr>
            <w:rStyle w:val="Lienhypertexte"/>
            <w:rFonts w:ascii="Times New Roman" w:hAnsi="Times New Roman"/>
            <w:b w:val="0"/>
            <w:bCs w:val="0"/>
            <w:color w:val="auto"/>
            <w:sz w:val="22"/>
            <w:szCs w:val="22"/>
            <w:u w:val="none"/>
            <w:lang w:val="en-GB"/>
          </w:rPr>
          <w:t>Hansen AM</w:t>
        </w:r>
      </w:hyperlink>
      <w:r w:rsidRPr="007E7407">
        <w:rPr>
          <w:rFonts w:ascii="Times New Roman" w:hAnsi="Times New Roman" w:cs="Times New Roman"/>
          <w:b w:val="0"/>
          <w:bCs w:val="0"/>
          <w:sz w:val="22"/>
          <w:szCs w:val="22"/>
          <w:lang w:val="en-US"/>
        </w:rPr>
        <w:t xml:space="preserve"> Psychosocial factors at home and at work and levels of salivary cortisol</w:t>
      </w:r>
      <w:hyperlink r:id="rId85" w:history="1">
        <w:r w:rsidRPr="008B1937">
          <w:rPr>
            <w:rStyle w:val="Lienhypertexte"/>
            <w:rFonts w:ascii="Times New Roman" w:hAnsi="Times New Roman"/>
            <w:b w:val="0"/>
            <w:bCs w:val="0"/>
            <w:color w:val="auto"/>
            <w:sz w:val="22"/>
            <w:szCs w:val="22"/>
            <w:u w:val="none"/>
            <w:lang w:val="en-GB"/>
          </w:rPr>
          <w:t>Biol Psychol.</w:t>
        </w:r>
      </w:hyperlink>
      <w:r w:rsidRPr="007E7407">
        <w:rPr>
          <w:rFonts w:ascii="Times New Roman" w:hAnsi="Times New Roman" w:cs="Times New Roman"/>
          <w:b w:val="0"/>
          <w:bCs w:val="0"/>
          <w:sz w:val="22"/>
          <w:szCs w:val="22"/>
          <w:lang w:val="en-US"/>
        </w:rPr>
        <w:t xml:space="preserve"> 2006 Oct;73(3):280-7</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lang w:val="en-US"/>
        </w:rPr>
        <w:t>Feder A, Nestler EJ, Charney DS</w:t>
      </w:r>
      <w:hyperlink r:id="rId86" w:history="1">
        <w:r w:rsidRPr="008B1937">
          <w:rPr>
            <w:rStyle w:val="Lienhypertexte"/>
            <w:rFonts w:ascii="Times New Roman" w:hAnsi="Times New Roman"/>
            <w:b w:val="0"/>
            <w:bCs w:val="0"/>
            <w:color w:val="auto"/>
            <w:sz w:val="22"/>
            <w:szCs w:val="22"/>
            <w:u w:val="none"/>
            <w:lang w:val="en-GB"/>
          </w:rPr>
          <w:t>Psychobiology and molecular genetics of resilience.</w:t>
        </w:r>
      </w:hyperlink>
      <w:r w:rsidRPr="007E7407">
        <w:rPr>
          <w:rStyle w:val="jrnl"/>
          <w:rFonts w:ascii="Times New Roman" w:hAnsi="Times New Roman"/>
          <w:b w:val="0"/>
          <w:bCs w:val="0"/>
          <w:sz w:val="22"/>
          <w:szCs w:val="22"/>
        </w:rPr>
        <w:t>Nat Rev Neurosci</w:t>
      </w:r>
      <w:r w:rsidRPr="007E7407">
        <w:rPr>
          <w:rFonts w:ascii="Times New Roman" w:hAnsi="Times New Roman" w:cs="Times New Roman"/>
          <w:b w:val="0"/>
          <w:bCs w:val="0"/>
          <w:sz w:val="22"/>
          <w:szCs w:val="22"/>
        </w:rPr>
        <w:t>. 2009 Jun;10(6):446-57</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87" w:history="1">
        <w:r w:rsidRPr="007E7407">
          <w:rPr>
            <w:rStyle w:val="Lienhypertexte"/>
            <w:rFonts w:ascii="Times New Roman" w:hAnsi="Times New Roman"/>
            <w:b w:val="0"/>
            <w:bCs w:val="0"/>
            <w:color w:val="auto"/>
            <w:sz w:val="22"/>
            <w:szCs w:val="22"/>
            <w:u w:val="none"/>
          </w:rPr>
          <w:t>Miller GE</w:t>
        </w:r>
      </w:hyperlink>
      <w:r w:rsidRPr="008B1937">
        <w:rPr>
          <w:rFonts w:ascii="Times New Roman" w:hAnsi="Times New Roman" w:cs="Times New Roman"/>
          <w:b w:val="0"/>
          <w:bCs w:val="0"/>
          <w:sz w:val="22"/>
          <w:szCs w:val="22"/>
        </w:rPr>
        <w:t xml:space="preserve">, </w:t>
      </w:r>
      <w:hyperlink r:id="rId88" w:history="1">
        <w:r w:rsidRPr="007E7407">
          <w:rPr>
            <w:rStyle w:val="Lienhypertexte"/>
            <w:rFonts w:ascii="Times New Roman" w:hAnsi="Times New Roman"/>
            <w:b w:val="0"/>
            <w:bCs w:val="0"/>
            <w:color w:val="auto"/>
            <w:sz w:val="22"/>
            <w:szCs w:val="22"/>
            <w:u w:val="none"/>
          </w:rPr>
          <w:t>Chen E</w:t>
        </w:r>
      </w:hyperlink>
      <w:r w:rsidRPr="008B1937">
        <w:rPr>
          <w:rFonts w:ascii="Times New Roman" w:hAnsi="Times New Roman" w:cs="Times New Roman"/>
          <w:b w:val="0"/>
          <w:bCs w:val="0"/>
          <w:sz w:val="22"/>
          <w:szCs w:val="22"/>
        </w:rPr>
        <w:t xml:space="preserve">, </w:t>
      </w:r>
      <w:hyperlink r:id="rId89" w:history="1">
        <w:r w:rsidRPr="007E7407">
          <w:rPr>
            <w:rStyle w:val="Lienhypertexte"/>
            <w:rFonts w:ascii="Times New Roman" w:hAnsi="Times New Roman"/>
            <w:b w:val="0"/>
            <w:bCs w:val="0"/>
            <w:color w:val="auto"/>
            <w:sz w:val="22"/>
            <w:szCs w:val="22"/>
            <w:u w:val="none"/>
          </w:rPr>
          <w:t>Zhou ES</w:t>
        </w:r>
      </w:hyperlink>
      <w:r w:rsidRPr="008B1937">
        <w:rPr>
          <w:rFonts w:ascii="Times New Roman" w:hAnsi="Times New Roman" w:cs="Times New Roman"/>
          <w:b w:val="0"/>
          <w:bCs w:val="0"/>
          <w:sz w:val="22"/>
          <w:szCs w:val="22"/>
        </w:rPr>
        <w:t xml:space="preserve">. </w:t>
      </w:r>
      <w:r w:rsidRPr="007E7407">
        <w:rPr>
          <w:rFonts w:ascii="Times New Roman" w:hAnsi="Times New Roman" w:cs="Times New Roman"/>
          <w:b w:val="0"/>
          <w:bCs w:val="0"/>
          <w:sz w:val="22"/>
          <w:szCs w:val="22"/>
          <w:lang w:val="en-US"/>
        </w:rPr>
        <w:t>If it goes up, must it come down? Chronic stress and the hypothalamic-pituitary-adrenocortical axis in humans</w:t>
      </w:r>
      <w:hyperlink r:id="rId90" w:history="1">
        <w:r w:rsidRPr="008B1937">
          <w:rPr>
            <w:rStyle w:val="Lienhypertexte"/>
            <w:rFonts w:ascii="Times New Roman" w:hAnsi="Times New Roman"/>
            <w:b w:val="0"/>
            <w:bCs w:val="0"/>
            <w:color w:val="auto"/>
            <w:sz w:val="22"/>
            <w:szCs w:val="22"/>
            <w:u w:val="none"/>
            <w:lang w:val="en-GB"/>
          </w:rPr>
          <w:t>Psychol Bull.</w:t>
        </w:r>
      </w:hyperlink>
      <w:r w:rsidRPr="007E7407">
        <w:rPr>
          <w:rFonts w:ascii="Times New Roman" w:hAnsi="Times New Roman" w:cs="Times New Roman"/>
          <w:b w:val="0"/>
          <w:bCs w:val="0"/>
          <w:sz w:val="22"/>
          <w:szCs w:val="22"/>
          <w:lang w:val="en-GB"/>
        </w:rPr>
        <w:t xml:space="preserve"> 2007 Jan;133(1):25-45.</w:t>
      </w:r>
    </w:p>
    <w:p w:rsidR="00AC113A" w:rsidRPr="007E7407" w:rsidRDefault="00AC113A">
      <w:pPr>
        <w:rPr>
          <w:rFonts w:cs="Times New Roman"/>
          <w:sz w:val="22"/>
          <w:szCs w:val="22"/>
          <w:lang w:val="en-US"/>
        </w:rPr>
      </w:pP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rPr>
      </w:pPr>
      <w:hyperlink r:id="rId91" w:history="1">
        <w:r w:rsidRPr="008B1937">
          <w:rPr>
            <w:rStyle w:val="Lienhypertexte"/>
            <w:rFonts w:ascii="Times New Roman" w:hAnsi="Times New Roman"/>
            <w:b w:val="0"/>
            <w:bCs w:val="0"/>
            <w:color w:val="auto"/>
            <w:sz w:val="22"/>
            <w:szCs w:val="22"/>
            <w:u w:val="none"/>
            <w:lang w:val="en-GB"/>
          </w:rPr>
          <w:t>Levine S</w:t>
        </w:r>
      </w:hyperlink>
      <w:r w:rsidRPr="007E7407">
        <w:rPr>
          <w:rFonts w:ascii="Times New Roman" w:hAnsi="Times New Roman" w:cs="Times New Roman"/>
          <w:b w:val="0"/>
          <w:bCs w:val="0"/>
          <w:sz w:val="22"/>
          <w:szCs w:val="22"/>
          <w:lang w:val="en-US"/>
        </w:rPr>
        <w:t xml:space="preserve">.Developmental determinants of sensitivity and resistance to </w:t>
      </w:r>
      <w:r w:rsidRPr="007E7407">
        <w:rPr>
          <w:rStyle w:val="highlight"/>
          <w:rFonts w:ascii="Times New Roman" w:hAnsi="Times New Roman"/>
          <w:b w:val="0"/>
          <w:bCs w:val="0"/>
          <w:sz w:val="22"/>
          <w:szCs w:val="22"/>
          <w:lang w:val="en-US"/>
        </w:rPr>
        <w:t>stress</w:t>
      </w:r>
      <w:hyperlink r:id="rId92" w:history="1">
        <w:r w:rsidRPr="008B1937">
          <w:rPr>
            <w:rStyle w:val="Lienhypertexte"/>
            <w:rFonts w:ascii="Times New Roman" w:hAnsi="Times New Roman"/>
            <w:b w:val="0"/>
            <w:bCs w:val="0"/>
            <w:color w:val="auto"/>
            <w:sz w:val="22"/>
            <w:szCs w:val="22"/>
            <w:u w:val="none"/>
            <w:lang w:val="en-GB"/>
          </w:rPr>
          <w:t>Psychoneuroendocrinology.</w:t>
        </w:r>
      </w:hyperlink>
      <w:r w:rsidRPr="007E7407">
        <w:rPr>
          <w:rFonts w:ascii="Times New Roman" w:hAnsi="Times New Roman" w:cs="Times New Roman"/>
          <w:b w:val="0"/>
          <w:bCs w:val="0"/>
          <w:sz w:val="22"/>
          <w:szCs w:val="22"/>
          <w:lang w:val="en-GB"/>
        </w:rPr>
        <w:t xml:space="preserve"> </w:t>
      </w:r>
      <w:r w:rsidRPr="007E7407">
        <w:rPr>
          <w:rFonts w:ascii="Times New Roman" w:hAnsi="Times New Roman" w:cs="Times New Roman"/>
          <w:b w:val="0"/>
          <w:bCs w:val="0"/>
          <w:sz w:val="22"/>
          <w:szCs w:val="22"/>
        </w:rPr>
        <w:t>2005 Nov;30(10):939-46</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lang w:val="en-US"/>
        </w:rPr>
        <w:t xml:space="preserve">Franklin TB, Saab BJ, Mansuy IM </w:t>
      </w:r>
      <w:hyperlink r:id="rId93" w:history="1">
        <w:r w:rsidRPr="008B1937">
          <w:rPr>
            <w:rStyle w:val="Lienhypertexte"/>
            <w:rFonts w:ascii="Times New Roman" w:hAnsi="Times New Roman"/>
            <w:b w:val="0"/>
            <w:bCs w:val="0"/>
            <w:color w:val="auto"/>
            <w:sz w:val="22"/>
            <w:szCs w:val="22"/>
            <w:u w:val="none"/>
            <w:lang w:val="en-GB"/>
          </w:rPr>
          <w:t>Neural mechanisms of stress resilience and vulnerability.</w:t>
        </w:r>
      </w:hyperlink>
      <w:r w:rsidRPr="007E7407">
        <w:rPr>
          <w:rStyle w:val="jrnl"/>
          <w:rFonts w:ascii="Times New Roman" w:hAnsi="Times New Roman"/>
          <w:b w:val="0"/>
          <w:bCs w:val="0"/>
          <w:sz w:val="22"/>
          <w:szCs w:val="22"/>
        </w:rPr>
        <w:t>Neuron</w:t>
      </w:r>
      <w:r w:rsidRPr="007E7407">
        <w:rPr>
          <w:rFonts w:ascii="Times New Roman" w:hAnsi="Times New Roman" w:cs="Times New Roman"/>
          <w:b w:val="0"/>
          <w:bCs w:val="0"/>
          <w:sz w:val="22"/>
          <w:szCs w:val="22"/>
        </w:rPr>
        <w:t>. 2012 Sep 6;75(5):747-61</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rPr>
      </w:pPr>
      <w:hyperlink r:id="rId94" w:history="1">
        <w:r w:rsidRPr="007E7407">
          <w:rPr>
            <w:rStyle w:val="Lienhypertexte"/>
            <w:rFonts w:ascii="Times New Roman" w:hAnsi="Times New Roman"/>
            <w:b w:val="0"/>
            <w:bCs w:val="0"/>
            <w:color w:val="auto"/>
            <w:sz w:val="22"/>
            <w:szCs w:val="22"/>
            <w:u w:val="none"/>
          </w:rPr>
          <w:t>Koolhaas JM</w:t>
        </w:r>
      </w:hyperlink>
      <w:r w:rsidRPr="007E7407">
        <w:rPr>
          <w:rFonts w:ascii="Times New Roman" w:hAnsi="Times New Roman" w:cs="Times New Roman"/>
          <w:b w:val="0"/>
          <w:bCs w:val="0"/>
          <w:sz w:val="22"/>
          <w:szCs w:val="22"/>
        </w:rPr>
        <w:t xml:space="preserve">, </w:t>
      </w:r>
      <w:hyperlink r:id="rId95" w:history="1">
        <w:r w:rsidRPr="007E7407">
          <w:rPr>
            <w:rStyle w:val="Lienhypertexte"/>
            <w:rFonts w:ascii="Times New Roman" w:hAnsi="Times New Roman"/>
            <w:b w:val="0"/>
            <w:bCs w:val="0"/>
            <w:color w:val="auto"/>
            <w:sz w:val="22"/>
            <w:szCs w:val="22"/>
            <w:u w:val="none"/>
          </w:rPr>
          <w:t>Bartolomucci A</w:t>
        </w:r>
      </w:hyperlink>
      <w:r w:rsidRPr="007E7407">
        <w:rPr>
          <w:rFonts w:ascii="Times New Roman" w:hAnsi="Times New Roman" w:cs="Times New Roman"/>
          <w:b w:val="0"/>
          <w:bCs w:val="0"/>
          <w:sz w:val="22"/>
          <w:szCs w:val="22"/>
        </w:rPr>
        <w:t xml:space="preserve">, </w:t>
      </w:r>
      <w:hyperlink r:id="rId96" w:history="1">
        <w:r w:rsidRPr="007E7407">
          <w:rPr>
            <w:rStyle w:val="Lienhypertexte"/>
            <w:rFonts w:ascii="Times New Roman" w:hAnsi="Times New Roman"/>
            <w:b w:val="0"/>
            <w:bCs w:val="0"/>
            <w:color w:val="auto"/>
            <w:sz w:val="22"/>
            <w:szCs w:val="22"/>
            <w:u w:val="none"/>
          </w:rPr>
          <w:t>Buwalda B</w:t>
        </w:r>
      </w:hyperlink>
      <w:r w:rsidRPr="007E7407">
        <w:rPr>
          <w:rFonts w:ascii="Times New Roman" w:hAnsi="Times New Roman" w:cs="Times New Roman"/>
          <w:b w:val="0"/>
          <w:bCs w:val="0"/>
          <w:sz w:val="22"/>
          <w:szCs w:val="22"/>
        </w:rPr>
        <w:t xml:space="preserve">, </w:t>
      </w:r>
      <w:hyperlink r:id="rId97" w:history="1">
        <w:r w:rsidRPr="007E7407">
          <w:rPr>
            <w:rStyle w:val="Lienhypertexte"/>
            <w:rFonts w:ascii="Times New Roman" w:hAnsi="Times New Roman"/>
            <w:b w:val="0"/>
            <w:bCs w:val="0"/>
            <w:color w:val="auto"/>
            <w:sz w:val="22"/>
            <w:szCs w:val="22"/>
            <w:u w:val="none"/>
          </w:rPr>
          <w:t>de Boer SF</w:t>
        </w:r>
      </w:hyperlink>
      <w:r w:rsidRPr="007E7407">
        <w:rPr>
          <w:rFonts w:ascii="Times New Roman" w:hAnsi="Times New Roman" w:cs="Times New Roman"/>
          <w:b w:val="0"/>
          <w:bCs w:val="0"/>
          <w:sz w:val="22"/>
          <w:szCs w:val="22"/>
        </w:rPr>
        <w:t xml:space="preserve">, </w:t>
      </w:r>
      <w:hyperlink r:id="rId98" w:history="1">
        <w:r w:rsidRPr="007E7407">
          <w:rPr>
            <w:rStyle w:val="Lienhypertexte"/>
            <w:rFonts w:ascii="Times New Roman" w:hAnsi="Times New Roman"/>
            <w:b w:val="0"/>
            <w:bCs w:val="0"/>
            <w:color w:val="auto"/>
            <w:sz w:val="22"/>
            <w:szCs w:val="22"/>
            <w:u w:val="none"/>
          </w:rPr>
          <w:t>Flügge G</w:t>
        </w:r>
      </w:hyperlink>
      <w:r w:rsidRPr="007E7407">
        <w:rPr>
          <w:rFonts w:ascii="Times New Roman" w:hAnsi="Times New Roman" w:cs="Times New Roman"/>
          <w:b w:val="0"/>
          <w:bCs w:val="0"/>
          <w:sz w:val="22"/>
          <w:szCs w:val="22"/>
        </w:rPr>
        <w:t xml:space="preserve">, </w:t>
      </w:r>
      <w:hyperlink r:id="rId99" w:history="1">
        <w:r w:rsidRPr="007E7407">
          <w:rPr>
            <w:rStyle w:val="Lienhypertexte"/>
            <w:rFonts w:ascii="Times New Roman" w:hAnsi="Times New Roman"/>
            <w:b w:val="0"/>
            <w:bCs w:val="0"/>
            <w:color w:val="auto"/>
            <w:sz w:val="22"/>
            <w:szCs w:val="22"/>
            <w:u w:val="none"/>
          </w:rPr>
          <w:t>Korte SM</w:t>
        </w:r>
      </w:hyperlink>
      <w:r w:rsidRPr="007E7407">
        <w:rPr>
          <w:rFonts w:ascii="Times New Roman" w:hAnsi="Times New Roman" w:cs="Times New Roman"/>
          <w:b w:val="0"/>
          <w:bCs w:val="0"/>
          <w:sz w:val="22"/>
          <w:szCs w:val="22"/>
        </w:rPr>
        <w:t xml:space="preserve">, </w:t>
      </w:r>
      <w:hyperlink r:id="rId100" w:history="1">
        <w:r w:rsidRPr="007E7407">
          <w:rPr>
            <w:rStyle w:val="Lienhypertexte"/>
            <w:rFonts w:ascii="Times New Roman" w:hAnsi="Times New Roman"/>
            <w:b w:val="0"/>
            <w:bCs w:val="0"/>
            <w:color w:val="auto"/>
            <w:sz w:val="22"/>
            <w:szCs w:val="22"/>
            <w:u w:val="none"/>
          </w:rPr>
          <w:t>Meerlo P</w:t>
        </w:r>
      </w:hyperlink>
      <w:r w:rsidRPr="007E7407">
        <w:rPr>
          <w:rFonts w:ascii="Times New Roman" w:hAnsi="Times New Roman" w:cs="Times New Roman"/>
          <w:b w:val="0"/>
          <w:bCs w:val="0"/>
          <w:sz w:val="22"/>
          <w:szCs w:val="22"/>
        </w:rPr>
        <w:t xml:space="preserve">, </w:t>
      </w:r>
      <w:hyperlink r:id="rId101" w:history="1">
        <w:r w:rsidRPr="007E7407">
          <w:rPr>
            <w:rStyle w:val="Lienhypertexte"/>
            <w:rFonts w:ascii="Times New Roman" w:hAnsi="Times New Roman"/>
            <w:b w:val="0"/>
            <w:bCs w:val="0"/>
            <w:color w:val="auto"/>
            <w:sz w:val="22"/>
            <w:szCs w:val="22"/>
            <w:u w:val="none"/>
          </w:rPr>
          <w:t>Murison R</w:t>
        </w:r>
      </w:hyperlink>
      <w:r w:rsidRPr="007E7407">
        <w:rPr>
          <w:rFonts w:ascii="Times New Roman" w:hAnsi="Times New Roman" w:cs="Times New Roman"/>
          <w:b w:val="0"/>
          <w:bCs w:val="0"/>
          <w:sz w:val="22"/>
          <w:szCs w:val="22"/>
        </w:rPr>
        <w:t xml:space="preserve">, </w:t>
      </w:r>
      <w:hyperlink r:id="rId102" w:history="1">
        <w:r w:rsidRPr="007E7407">
          <w:rPr>
            <w:rStyle w:val="Lienhypertexte"/>
            <w:rFonts w:ascii="Times New Roman" w:hAnsi="Times New Roman"/>
            <w:b w:val="0"/>
            <w:bCs w:val="0"/>
            <w:color w:val="auto"/>
            <w:sz w:val="22"/>
            <w:szCs w:val="22"/>
            <w:u w:val="none"/>
          </w:rPr>
          <w:t>Olivier B</w:t>
        </w:r>
      </w:hyperlink>
      <w:r w:rsidRPr="007E7407">
        <w:rPr>
          <w:rFonts w:ascii="Times New Roman" w:hAnsi="Times New Roman" w:cs="Times New Roman"/>
          <w:b w:val="0"/>
          <w:bCs w:val="0"/>
          <w:sz w:val="22"/>
          <w:szCs w:val="22"/>
        </w:rPr>
        <w:t xml:space="preserve">, </w:t>
      </w:r>
      <w:hyperlink r:id="rId103" w:history="1">
        <w:r w:rsidRPr="007E7407">
          <w:rPr>
            <w:rStyle w:val="Lienhypertexte"/>
            <w:rFonts w:ascii="Times New Roman" w:hAnsi="Times New Roman"/>
            <w:b w:val="0"/>
            <w:bCs w:val="0"/>
            <w:color w:val="auto"/>
            <w:sz w:val="22"/>
            <w:szCs w:val="22"/>
            <w:u w:val="none"/>
          </w:rPr>
          <w:t>Palanza P</w:t>
        </w:r>
      </w:hyperlink>
      <w:r w:rsidRPr="007E7407">
        <w:rPr>
          <w:rFonts w:ascii="Times New Roman" w:hAnsi="Times New Roman" w:cs="Times New Roman"/>
          <w:b w:val="0"/>
          <w:bCs w:val="0"/>
          <w:sz w:val="22"/>
          <w:szCs w:val="22"/>
        </w:rPr>
        <w:t xml:space="preserve">, </w:t>
      </w:r>
      <w:hyperlink r:id="rId104" w:history="1">
        <w:r w:rsidRPr="007E7407">
          <w:rPr>
            <w:rStyle w:val="Lienhypertexte"/>
            <w:rFonts w:ascii="Times New Roman" w:hAnsi="Times New Roman"/>
            <w:b w:val="0"/>
            <w:bCs w:val="0"/>
            <w:color w:val="auto"/>
            <w:sz w:val="22"/>
            <w:szCs w:val="22"/>
            <w:u w:val="none"/>
          </w:rPr>
          <w:t>Richter-Levin G</w:t>
        </w:r>
      </w:hyperlink>
      <w:r w:rsidRPr="007E7407">
        <w:rPr>
          <w:rFonts w:ascii="Times New Roman" w:hAnsi="Times New Roman" w:cs="Times New Roman"/>
          <w:b w:val="0"/>
          <w:bCs w:val="0"/>
          <w:sz w:val="22"/>
          <w:szCs w:val="22"/>
        </w:rPr>
        <w:t xml:space="preserve">, </w:t>
      </w:r>
      <w:hyperlink r:id="rId105" w:history="1">
        <w:r w:rsidRPr="007E7407">
          <w:rPr>
            <w:rStyle w:val="Lienhypertexte"/>
            <w:rFonts w:ascii="Times New Roman" w:hAnsi="Times New Roman"/>
            <w:b w:val="0"/>
            <w:bCs w:val="0"/>
            <w:color w:val="auto"/>
            <w:sz w:val="22"/>
            <w:szCs w:val="22"/>
            <w:u w:val="none"/>
          </w:rPr>
          <w:t>Sgoifo A</w:t>
        </w:r>
      </w:hyperlink>
      <w:r w:rsidRPr="007E7407">
        <w:rPr>
          <w:rFonts w:ascii="Times New Roman" w:hAnsi="Times New Roman" w:cs="Times New Roman"/>
          <w:b w:val="0"/>
          <w:bCs w:val="0"/>
          <w:sz w:val="22"/>
          <w:szCs w:val="22"/>
        </w:rPr>
        <w:t xml:space="preserve">, </w:t>
      </w:r>
      <w:hyperlink r:id="rId106" w:history="1">
        <w:r w:rsidRPr="007E7407">
          <w:rPr>
            <w:rStyle w:val="Lienhypertexte"/>
            <w:rFonts w:ascii="Times New Roman" w:hAnsi="Times New Roman"/>
            <w:b w:val="0"/>
            <w:bCs w:val="0"/>
            <w:color w:val="auto"/>
            <w:sz w:val="22"/>
            <w:szCs w:val="22"/>
            <w:u w:val="none"/>
          </w:rPr>
          <w:t>Steimer T</w:t>
        </w:r>
      </w:hyperlink>
      <w:r w:rsidRPr="007E7407">
        <w:rPr>
          <w:rFonts w:ascii="Times New Roman" w:hAnsi="Times New Roman" w:cs="Times New Roman"/>
          <w:b w:val="0"/>
          <w:bCs w:val="0"/>
          <w:sz w:val="22"/>
          <w:szCs w:val="22"/>
        </w:rPr>
        <w:t xml:space="preserve">, </w:t>
      </w:r>
      <w:hyperlink r:id="rId107" w:history="1">
        <w:r w:rsidRPr="007E7407">
          <w:rPr>
            <w:rStyle w:val="Lienhypertexte"/>
            <w:rFonts w:ascii="Times New Roman" w:hAnsi="Times New Roman"/>
            <w:b w:val="0"/>
            <w:bCs w:val="0"/>
            <w:color w:val="auto"/>
            <w:sz w:val="22"/>
            <w:szCs w:val="22"/>
            <w:u w:val="none"/>
          </w:rPr>
          <w:t>Stiedl O</w:t>
        </w:r>
      </w:hyperlink>
      <w:r w:rsidRPr="007E7407">
        <w:rPr>
          <w:rFonts w:ascii="Times New Roman" w:hAnsi="Times New Roman" w:cs="Times New Roman"/>
          <w:b w:val="0"/>
          <w:bCs w:val="0"/>
          <w:sz w:val="22"/>
          <w:szCs w:val="22"/>
        </w:rPr>
        <w:t xml:space="preserve">, </w:t>
      </w:r>
      <w:hyperlink r:id="rId108" w:history="1">
        <w:r w:rsidRPr="007E7407">
          <w:rPr>
            <w:rStyle w:val="Lienhypertexte"/>
            <w:rFonts w:ascii="Times New Roman" w:hAnsi="Times New Roman"/>
            <w:b w:val="0"/>
            <w:bCs w:val="0"/>
            <w:color w:val="auto"/>
            <w:sz w:val="22"/>
            <w:szCs w:val="22"/>
            <w:u w:val="none"/>
          </w:rPr>
          <w:t>van Dijk G</w:t>
        </w:r>
      </w:hyperlink>
      <w:r w:rsidRPr="007E7407">
        <w:rPr>
          <w:rFonts w:ascii="Times New Roman" w:hAnsi="Times New Roman" w:cs="Times New Roman"/>
          <w:b w:val="0"/>
          <w:bCs w:val="0"/>
          <w:sz w:val="22"/>
          <w:szCs w:val="22"/>
        </w:rPr>
        <w:t xml:space="preserve">, </w:t>
      </w:r>
      <w:hyperlink r:id="rId109" w:history="1">
        <w:r w:rsidRPr="007E7407">
          <w:rPr>
            <w:rStyle w:val="Lienhypertexte"/>
            <w:rFonts w:ascii="Times New Roman" w:hAnsi="Times New Roman"/>
            <w:b w:val="0"/>
            <w:bCs w:val="0"/>
            <w:color w:val="auto"/>
            <w:sz w:val="22"/>
            <w:szCs w:val="22"/>
            <w:u w:val="none"/>
          </w:rPr>
          <w:t>Wöhr M</w:t>
        </w:r>
      </w:hyperlink>
      <w:r w:rsidRPr="007E7407">
        <w:rPr>
          <w:rFonts w:ascii="Times New Roman" w:hAnsi="Times New Roman" w:cs="Times New Roman"/>
          <w:b w:val="0"/>
          <w:bCs w:val="0"/>
          <w:sz w:val="22"/>
          <w:szCs w:val="22"/>
        </w:rPr>
        <w:t xml:space="preserve">, </w:t>
      </w:r>
      <w:hyperlink r:id="rId110" w:history="1">
        <w:r w:rsidRPr="007E7407">
          <w:rPr>
            <w:rStyle w:val="Lienhypertexte"/>
            <w:rFonts w:ascii="Times New Roman" w:hAnsi="Times New Roman"/>
            <w:b w:val="0"/>
            <w:bCs w:val="0"/>
            <w:color w:val="auto"/>
            <w:sz w:val="22"/>
            <w:szCs w:val="22"/>
            <w:u w:val="none"/>
          </w:rPr>
          <w:t>Fuchs E</w:t>
        </w:r>
      </w:hyperlink>
      <w:r w:rsidRPr="007E7407">
        <w:rPr>
          <w:rFonts w:ascii="Times New Roman" w:hAnsi="Times New Roman" w:cs="Times New Roman"/>
          <w:b w:val="0"/>
          <w:bCs w:val="0"/>
          <w:sz w:val="22"/>
          <w:szCs w:val="22"/>
        </w:rPr>
        <w:t xml:space="preserve"> Stress revisited: a critical evaluation of the stress concept</w:t>
      </w:r>
      <w:hyperlink r:id="rId111" w:history="1">
        <w:r w:rsidRPr="007E7407">
          <w:rPr>
            <w:rStyle w:val="Lienhypertexte"/>
            <w:rFonts w:ascii="Times New Roman" w:hAnsi="Times New Roman"/>
            <w:b w:val="0"/>
            <w:bCs w:val="0"/>
            <w:color w:val="auto"/>
            <w:sz w:val="22"/>
            <w:szCs w:val="22"/>
            <w:u w:val="none"/>
          </w:rPr>
          <w:t>Neurosci Biobehav Rev.</w:t>
        </w:r>
      </w:hyperlink>
      <w:r w:rsidRPr="007E7407">
        <w:rPr>
          <w:rFonts w:ascii="Times New Roman" w:hAnsi="Times New Roman" w:cs="Times New Roman"/>
          <w:b w:val="0"/>
          <w:bCs w:val="0"/>
          <w:sz w:val="22"/>
          <w:szCs w:val="22"/>
        </w:rPr>
        <w:t xml:space="preserve"> 2011 Apr;35(5):1291-301</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Hill EE, Zack E, Battaglini C, Viru M, Viru A, Hackney AC</w:t>
      </w:r>
      <w:hyperlink r:id="rId112" w:history="1">
        <w:r w:rsidRPr="008B1937">
          <w:rPr>
            <w:rStyle w:val="Lienhypertexte"/>
            <w:rFonts w:ascii="Times New Roman" w:hAnsi="Times New Roman"/>
            <w:b w:val="0"/>
            <w:bCs w:val="0"/>
            <w:color w:val="auto"/>
            <w:sz w:val="22"/>
            <w:szCs w:val="22"/>
            <w:u w:val="none"/>
            <w:lang w:val="en-GB"/>
          </w:rPr>
          <w:t>Exercise and circulating cortisol levels: the intensity threshold effect.</w:t>
        </w:r>
      </w:hyperlink>
      <w:r w:rsidRPr="007E7407">
        <w:rPr>
          <w:rFonts w:ascii="Times New Roman" w:hAnsi="Times New Roman" w:cs="Times New Roman"/>
          <w:b w:val="0"/>
          <w:bCs w:val="0"/>
          <w:sz w:val="22"/>
          <w:szCs w:val="22"/>
          <w:lang w:val="en-US"/>
        </w:rPr>
        <w:t>J Endocrinol Invest. 2008 Jul;31(7):587-91.</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rPr>
      </w:pPr>
      <w:hyperlink r:id="rId113" w:history="1">
        <w:r w:rsidRPr="008B1937">
          <w:rPr>
            <w:rStyle w:val="Lienhypertexte"/>
            <w:rFonts w:ascii="Times New Roman" w:hAnsi="Times New Roman"/>
            <w:b w:val="0"/>
            <w:bCs w:val="0"/>
            <w:color w:val="auto"/>
            <w:sz w:val="22"/>
            <w:szCs w:val="22"/>
            <w:u w:val="none"/>
            <w:lang w:val="en-GB"/>
          </w:rPr>
          <w:t>Ulrich-Lai YM</w:t>
        </w:r>
      </w:hyperlink>
      <w:r w:rsidRPr="007E7407">
        <w:rPr>
          <w:rFonts w:ascii="Times New Roman" w:hAnsi="Times New Roman" w:cs="Times New Roman"/>
          <w:b w:val="0"/>
          <w:bCs w:val="0"/>
          <w:sz w:val="22"/>
          <w:szCs w:val="22"/>
          <w:lang w:val="en-US"/>
        </w:rPr>
        <w:t xml:space="preserve">, </w:t>
      </w:r>
      <w:hyperlink r:id="rId114" w:history="1">
        <w:r w:rsidRPr="008B1937">
          <w:rPr>
            <w:rStyle w:val="Lienhypertexte"/>
            <w:rFonts w:ascii="Times New Roman" w:hAnsi="Times New Roman"/>
            <w:b w:val="0"/>
            <w:bCs w:val="0"/>
            <w:color w:val="auto"/>
            <w:sz w:val="22"/>
            <w:szCs w:val="22"/>
            <w:u w:val="none"/>
            <w:lang w:val="en-GB"/>
          </w:rPr>
          <w:t>Herman JP</w:t>
        </w:r>
      </w:hyperlink>
      <w:r w:rsidRPr="007E7407">
        <w:rPr>
          <w:rFonts w:ascii="Times New Roman" w:hAnsi="Times New Roman" w:cs="Times New Roman"/>
          <w:b w:val="0"/>
          <w:bCs w:val="0"/>
          <w:sz w:val="22"/>
          <w:szCs w:val="22"/>
          <w:lang w:val="en-US"/>
        </w:rPr>
        <w:t>. Neural regulation of endocrine and autonomic stress responses</w:t>
      </w:r>
      <w:hyperlink r:id="rId115" w:history="1">
        <w:r w:rsidRPr="008B1937">
          <w:rPr>
            <w:rStyle w:val="Lienhypertexte"/>
            <w:rFonts w:ascii="Times New Roman" w:hAnsi="Times New Roman"/>
            <w:b w:val="0"/>
            <w:bCs w:val="0"/>
            <w:color w:val="auto"/>
            <w:sz w:val="22"/>
            <w:szCs w:val="22"/>
            <w:u w:val="none"/>
            <w:lang w:val="en-GB"/>
          </w:rPr>
          <w:t>Nat Rev Neurosci.</w:t>
        </w:r>
      </w:hyperlink>
      <w:r w:rsidRPr="007E7407">
        <w:rPr>
          <w:rFonts w:ascii="Times New Roman" w:hAnsi="Times New Roman" w:cs="Times New Roman"/>
          <w:b w:val="0"/>
          <w:bCs w:val="0"/>
          <w:sz w:val="22"/>
          <w:szCs w:val="22"/>
          <w:lang w:val="en-GB"/>
        </w:rPr>
        <w:t xml:space="preserve"> </w:t>
      </w:r>
      <w:r w:rsidRPr="007E7407">
        <w:rPr>
          <w:rFonts w:ascii="Times New Roman" w:hAnsi="Times New Roman" w:cs="Times New Roman"/>
          <w:b w:val="0"/>
          <w:bCs w:val="0"/>
          <w:sz w:val="22"/>
          <w:szCs w:val="22"/>
        </w:rPr>
        <w:t>2009 Jun;10(6):397-409</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Buijs RM, Van Eden CG. The integration of stress by the hypothalamus, amygdala and prefrontal cortex: balance between the autonomic nervous system and the neuroendocrine systemProg Brain Res. 2000;126:117-32</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GB"/>
        </w:rPr>
      </w:pPr>
      <w:hyperlink r:id="rId116" w:history="1">
        <w:r w:rsidRPr="008B1937">
          <w:rPr>
            <w:rStyle w:val="Lienhypertexte"/>
            <w:rFonts w:ascii="Times New Roman" w:hAnsi="Times New Roman"/>
            <w:b w:val="0"/>
            <w:bCs w:val="0"/>
            <w:color w:val="auto"/>
            <w:sz w:val="22"/>
            <w:szCs w:val="22"/>
            <w:u w:val="none"/>
            <w:lang w:val="en-GB"/>
          </w:rPr>
          <w:t>Joëls M</w:t>
        </w:r>
      </w:hyperlink>
      <w:r w:rsidRPr="007E7407">
        <w:rPr>
          <w:rFonts w:ascii="Times New Roman" w:hAnsi="Times New Roman" w:cs="Times New Roman"/>
          <w:b w:val="0"/>
          <w:bCs w:val="0"/>
          <w:sz w:val="22"/>
          <w:szCs w:val="22"/>
          <w:lang w:val="en-GB"/>
        </w:rPr>
        <w:t xml:space="preserve">, </w:t>
      </w:r>
      <w:hyperlink r:id="rId117" w:history="1">
        <w:r w:rsidRPr="008B1937">
          <w:rPr>
            <w:rStyle w:val="Lienhypertexte"/>
            <w:rFonts w:ascii="Times New Roman" w:hAnsi="Times New Roman"/>
            <w:b w:val="0"/>
            <w:bCs w:val="0"/>
            <w:color w:val="auto"/>
            <w:sz w:val="22"/>
            <w:szCs w:val="22"/>
            <w:u w:val="none"/>
            <w:lang w:val="en-GB"/>
          </w:rPr>
          <w:t>Baram TZ</w:t>
        </w:r>
      </w:hyperlink>
      <w:r w:rsidRPr="007E7407">
        <w:rPr>
          <w:rFonts w:ascii="Times New Roman" w:hAnsi="Times New Roman" w:cs="Times New Roman"/>
          <w:b w:val="0"/>
          <w:bCs w:val="0"/>
          <w:sz w:val="22"/>
          <w:szCs w:val="22"/>
          <w:lang w:val="en-GB"/>
        </w:rPr>
        <w:t>.The neuro-symphony of stress.</w:t>
      </w:r>
    </w:p>
    <w:p w:rsidR="00AC113A" w:rsidRPr="007E7407" w:rsidRDefault="00AC113A">
      <w:pPr>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GB"/>
        </w:rPr>
      </w:pPr>
      <w:hyperlink r:id="rId118" w:history="1">
        <w:r w:rsidRPr="008B1937">
          <w:rPr>
            <w:rStyle w:val="Lienhypertexte"/>
            <w:rFonts w:ascii="Times New Roman" w:hAnsi="Times New Roman"/>
            <w:b w:val="0"/>
            <w:bCs w:val="0"/>
            <w:color w:val="auto"/>
            <w:sz w:val="22"/>
            <w:szCs w:val="22"/>
            <w:u w:val="none"/>
            <w:lang w:val="en-GB"/>
          </w:rPr>
          <w:t>Sapolsky RM</w:t>
        </w:r>
      </w:hyperlink>
      <w:r w:rsidRPr="007E7407">
        <w:rPr>
          <w:rFonts w:ascii="Times New Roman" w:hAnsi="Times New Roman" w:cs="Times New Roman"/>
          <w:b w:val="0"/>
          <w:bCs w:val="0"/>
          <w:sz w:val="22"/>
          <w:szCs w:val="22"/>
          <w:lang w:val="en-GB"/>
        </w:rPr>
        <w:t xml:space="preserve">, </w:t>
      </w:r>
      <w:hyperlink r:id="rId119" w:history="1">
        <w:r w:rsidRPr="008B1937">
          <w:rPr>
            <w:rStyle w:val="Lienhypertexte"/>
            <w:rFonts w:ascii="Times New Roman" w:hAnsi="Times New Roman"/>
            <w:b w:val="0"/>
            <w:bCs w:val="0"/>
            <w:color w:val="auto"/>
            <w:sz w:val="22"/>
            <w:szCs w:val="22"/>
            <w:u w:val="none"/>
            <w:lang w:val="en-GB"/>
          </w:rPr>
          <w:t>Krey LC</w:t>
        </w:r>
      </w:hyperlink>
      <w:r w:rsidRPr="007E7407">
        <w:rPr>
          <w:rFonts w:ascii="Times New Roman" w:hAnsi="Times New Roman" w:cs="Times New Roman"/>
          <w:b w:val="0"/>
          <w:bCs w:val="0"/>
          <w:sz w:val="22"/>
          <w:szCs w:val="22"/>
          <w:lang w:val="en-GB"/>
        </w:rPr>
        <w:t xml:space="preserve">, </w:t>
      </w:r>
      <w:hyperlink r:id="rId120" w:history="1">
        <w:r w:rsidRPr="008B1937">
          <w:rPr>
            <w:rStyle w:val="Lienhypertexte"/>
            <w:rFonts w:ascii="Times New Roman" w:hAnsi="Times New Roman"/>
            <w:b w:val="0"/>
            <w:bCs w:val="0"/>
            <w:color w:val="auto"/>
            <w:sz w:val="22"/>
            <w:szCs w:val="22"/>
            <w:u w:val="none"/>
            <w:lang w:val="en-GB"/>
          </w:rPr>
          <w:t>McEwen BS</w:t>
        </w:r>
      </w:hyperlink>
      <w:r w:rsidRPr="007E7407">
        <w:rPr>
          <w:rFonts w:ascii="Times New Roman" w:hAnsi="Times New Roman" w:cs="Times New Roman"/>
          <w:b w:val="0"/>
          <w:bCs w:val="0"/>
          <w:sz w:val="22"/>
          <w:szCs w:val="22"/>
          <w:lang w:val="en-GB"/>
        </w:rPr>
        <w:t>.The neuroendocrinology of stress and aging: the glucocorticoid cascade hypothesis.</w:t>
      </w:r>
      <w:hyperlink r:id="rId121" w:history="1">
        <w:r w:rsidRPr="007E7407">
          <w:rPr>
            <w:rStyle w:val="Lienhypertexte"/>
            <w:rFonts w:ascii="Times New Roman" w:hAnsi="Times New Roman"/>
            <w:b w:val="0"/>
            <w:bCs w:val="0"/>
            <w:color w:val="auto"/>
            <w:sz w:val="22"/>
            <w:szCs w:val="22"/>
            <w:u w:val="none"/>
          </w:rPr>
          <w:t>Endocr Rev.</w:t>
        </w:r>
      </w:hyperlink>
      <w:r w:rsidRPr="007E7407">
        <w:rPr>
          <w:rFonts w:ascii="Times New Roman" w:hAnsi="Times New Roman" w:cs="Times New Roman"/>
          <w:b w:val="0"/>
          <w:bCs w:val="0"/>
          <w:sz w:val="22"/>
          <w:szCs w:val="22"/>
          <w:lang w:val="en-GB"/>
        </w:rPr>
        <w:t xml:space="preserve"> 1986 Aug;7(3):284-301.</w:t>
      </w:r>
    </w:p>
    <w:p w:rsidR="00AC113A" w:rsidRPr="007E7407" w:rsidRDefault="00AC113A">
      <w:pPr>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GB"/>
        </w:rPr>
      </w:pPr>
      <w:hyperlink r:id="rId122" w:history="1">
        <w:r w:rsidRPr="008B1937">
          <w:rPr>
            <w:rStyle w:val="Lienhypertexte"/>
            <w:rFonts w:ascii="Times New Roman" w:hAnsi="Times New Roman"/>
            <w:b w:val="0"/>
            <w:bCs w:val="0"/>
            <w:color w:val="auto"/>
            <w:sz w:val="22"/>
            <w:szCs w:val="22"/>
            <w:u w:val="none"/>
            <w:lang w:val="en-GB"/>
          </w:rPr>
          <w:t>Herman JP</w:t>
        </w:r>
      </w:hyperlink>
      <w:r w:rsidRPr="007E7407">
        <w:rPr>
          <w:rFonts w:ascii="Times New Roman" w:hAnsi="Times New Roman" w:cs="Times New Roman"/>
          <w:b w:val="0"/>
          <w:bCs w:val="0"/>
          <w:sz w:val="22"/>
          <w:szCs w:val="22"/>
          <w:lang w:val="en-GB"/>
        </w:rPr>
        <w:t xml:space="preserve">, </w:t>
      </w:r>
      <w:hyperlink r:id="rId123" w:history="1">
        <w:r w:rsidRPr="008B1937">
          <w:rPr>
            <w:rStyle w:val="Lienhypertexte"/>
            <w:rFonts w:ascii="Times New Roman" w:hAnsi="Times New Roman"/>
            <w:b w:val="0"/>
            <w:bCs w:val="0"/>
            <w:color w:val="auto"/>
            <w:sz w:val="22"/>
            <w:szCs w:val="22"/>
            <w:u w:val="none"/>
            <w:lang w:val="en-GB"/>
          </w:rPr>
          <w:t>McKlveen JM</w:t>
        </w:r>
      </w:hyperlink>
      <w:r w:rsidRPr="007E7407">
        <w:rPr>
          <w:rFonts w:ascii="Times New Roman" w:hAnsi="Times New Roman" w:cs="Times New Roman"/>
          <w:b w:val="0"/>
          <w:bCs w:val="0"/>
          <w:sz w:val="22"/>
          <w:szCs w:val="22"/>
          <w:lang w:val="en-GB"/>
        </w:rPr>
        <w:t xml:space="preserve">, </w:t>
      </w:r>
      <w:hyperlink r:id="rId124" w:history="1">
        <w:r w:rsidRPr="008B1937">
          <w:rPr>
            <w:rStyle w:val="Lienhypertexte"/>
            <w:rFonts w:ascii="Times New Roman" w:hAnsi="Times New Roman"/>
            <w:b w:val="0"/>
            <w:bCs w:val="0"/>
            <w:color w:val="auto"/>
            <w:sz w:val="22"/>
            <w:szCs w:val="22"/>
            <w:u w:val="none"/>
            <w:lang w:val="en-GB"/>
          </w:rPr>
          <w:t>Solomon MB</w:t>
        </w:r>
      </w:hyperlink>
      <w:r w:rsidRPr="007E7407">
        <w:rPr>
          <w:rFonts w:ascii="Times New Roman" w:hAnsi="Times New Roman" w:cs="Times New Roman"/>
          <w:b w:val="0"/>
          <w:bCs w:val="0"/>
          <w:sz w:val="22"/>
          <w:szCs w:val="22"/>
          <w:lang w:val="en-GB"/>
        </w:rPr>
        <w:t xml:space="preserve">, </w:t>
      </w:r>
      <w:hyperlink r:id="rId125" w:history="1">
        <w:r w:rsidRPr="008B1937">
          <w:rPr>
            <w:rStyle w:val="Lienhypertexte"/>
            <w:rFonts w:ascii="Times New Roman" w:hAnsi="Times New Roman"/>
            <w:b w:val="0"/>
            <w:bCs w:val="0"/>
            <w:color w:val="auto"/>
            <w:sz w:val="22"/>
            <w:szCs w:val="22"/>
            <w:u w:val="none"/>
            <w:lang w:val="en-GB"/>
          </w:rPr>
          <w:t>Carvalho-Netto E</w:t>
        </w:r>
      </w:hyperlink>
      <w:r w:rsidRPr="007E7407">
        <w:rPr>
          <w:rFonts w:ascii="Times New Roman" w:hAnsi="Times New Roman" w:cs="Times New Roman"/>
          <w:b w:val="0"/>
          <w:bCs w:val="0"/>
          <w:sz w:val="22"/>
          <w:szCs w:val="22"/>
          <w:lang w:val="en-GB"/>
        </w:rPr>
        <w:t xml:space="preserve">, </w:t>
      </w:r>
      <w:hyperlink r:id="rId126" w:history="1">
        <w:r w:rsidRPr="008B1937">
          <w:rPr>
            <w:rStyle w:val="Lienhypertexte"/>
            <w:rFonts w:ascii="Times New Roman" w:hAnsi="Times New Roman"/>
            <w:b w:val="0"/>
            <w:bCs w:val="0"/>
            <w:color w:val="auto"/>
            <w:sz w:val="22"/>
            <w:szCs w:val="22"/>
            <w:u w:val="none"/>
            <w:lang w:val="en-GB"/>
          </w:rPr>
          <w:t>Myers B</w:t>
        </w:r>
      </w:hyperlink>
      <w:r w:rsidRPr="007E7407">
        <w:rPr>
          <w:rFonts w:ascii="Times New Roman" w:hAnsi="Times New Roman" w:cs="Times New Roman"/>
          <w:b w:val="0"/>
          <w:bCs w:val="0"/>
          <w:sz w:val="22"/>
          <w:szCs w:val="22"/>
          <w:lang w:val="en-GB"/>
        </w:rPr>
        <w:t>.</w:t>
      </w:r>
      <w:r w:rsidRPr="007E7407">
        <w:rPr>
          <w:rStyle w:val="highlight"/>
          <w:rFonts w:ascii="Times New Roman" w:hAnsi="Times New Roman"/>
          <w:b w:val="0"/>
          <w:bCs w:val="0"/>
          <w:sz w:val="22"/>
          <w:szCs w:val="22"/>
          <w:lang w:val="en-GB"/>
        </w:rPr>
        <w:t>Neural</w:t>
      </w:r>
      <w:r w:rsidRPr="007E7407">
        <w:rPr>
          <w:rFonts w:ascii="Times New Roman" w:hAnsi="Times New Roman" w:cs="Times New Roman"/>
          <w:b w:val="0"/>
          <w:bCs w:val="0"/>
          <w:sz w:val="22"/>
          <w:szCs w:val="22"/>
          <w:lang w:val="en-GB"/>
        </w:rPr>
        <w:t xml:space="preserve"> </w:t>
      </w:r>
      <w:r w:rsidRPr="007E7407">
        <w:rPr>
          <w:rStyle w:val="highlight"/>
          <w:rFonts w:ascii="Times New Roman" w:hAnsi="Times New Roman"/>
          <w:b w:val="0"/>
          <w:bCs w:val="0"/>
          <w:sz w:val="22"/>
          <w:szCs w:val="22"/>
          <w:lang w:val="en-GB"/>
        </w:rPr>
        <w:t>regulation</w:t>
      </w:r>
      <w:r w:rsidRPr="007E7407">
        <w:rPr>
          <w:rFonts w:ascii="Times New Roman" w:hAnsi="Times New Roman" w:cs="Times New Roman"/>
          <w:b w:val="0"/>
          <w:bCs w:val="0"/>
          <w:sz w:val="22"/>
          <w:szCs w:val="22"/>
          <w:lang w:val="en-GB"/>
        </w:rPr>
        <w:t xml:space="preserve"> of the </w:t>
      </w:r>
      <w:r w:rsidRPr="007E7407">
        <w:rPr>
          <w:rStyle w:val="highlight"/>
          <w:rFonts w:ascii="Times New Roman" w:hAnsi="Times New Roman"/>
          <w:b w:val="0"/>
          <w:bCs w:val="0"/>
          <w:sz w:val="22"/>
          <w:szCs w:val="22"/>
          <w:lang w:val="en-GB"/>
        </w:rPr>
        <w:t>stress</w:t>
      </w:r>
      <w:r w:rsidRPr="007E7407">
        <w:rPr>
          <w:rFonts w:ascii="Times New Roman" w:hAnsi="Times New Roman" w:cs="Times New Roman"/>
          <w:b w:val="0"/>
          <w:bCs w:val="0"/>
          <w:sz w:val="22"/>
          <w:szCs w:val="22"/>
          <w:lang w:val="en-GB"/>
        </w:rPr>
        <w:t xml:space="preserve"> </w:t>
      </w:r>
      <w:r w:rsidRPr="007E7407">
        <w:rPr>
          <w:rStyle w:val="highlight"/>
          <w:rFonts w:ascii="Times New Roman" w:hAnsi="Times New Roman"/>
          <w:b w:val="0"/>
          <w:bCs w:val="0"/>
          <w:sz w:val="22"/>
          <w:szCs w:val="22"/>
          <w:lang w:val="en-GB"/>
        </w:rPr>
        <w:t>response</w:t>
      </w:r>
      <w:r w:rsidRPr="007E7407">
        <w:rPr>
          <w:rFonts w:ascii="Times New Roman" w:hAnsi="Times New Roman" w:cs="Times New Roman"/>
          <w:b w:val="0"/>
          <w:bCs w:val="0"/>
          <w:sz w:val="22"/>
          <w:szCs w:val="22"/>
          <w:lang w:val="en-GB"/>
        </w:rPr>
        <w:t>: glucocorticoid feedback mechanisms.</w:t>
      </w:r>
      <w:hyperlink r:id="rId127" w:history="1">
        <w:r w:rsidRPr="007E7407">
          <w:rPr>
            <w:rStyle w:val="Lienhypertexte"/>
            <w:rFonts w:ascii="Times New Roman" w:hAnsi="Times New Roman"/>
            <w:b w:val="0"/>
            <w:bCs w:val="0"/>
            <w:color w:val="auto"/>
            <w:sz w:val="22"/>
            <w:szCs w:val="22"/>
            <w:u w:val="none"/>
          </w:rPr>
          <w:t>Braz J Med Biol Res.</w:t>
        </w:r>
      </w:hyperlink>
      <w:r w:rsidRPr="007E7407">
        <w:rPr>
          <w:rFonts w:ascii="Times New Roman" w:hAnsi="Times New Roman" w:cs="Times New Roman"/>
          <w:b w:val="0"/>
          <w:bCs w:val="0"/>
          <w:sz w:val="22"/>
          <w:szCs w:val="22"/>
          <w:lang w:val="en-GB"/>
        </w:rPr>
        <w:t xml:space="preserve"> </w:t>
      </w:r>
      <w:r w:rsidRPr="007E7407">
        <w:rPr>
          <w:rFonts w:ascii="Times New Roman" w:hAnsi="Times New Roman" w:cs="Times New Roman"/>
          <w:b w:val="0"/>
          <w:bCs w:val="0"/>
          <w:sz w:val="22"/>
          <w:szCs w:val="22"/>
          <w:lang w:val="en-US"/>
        </w:rPr>
        <w:t>2012 Apr;45(4):292-8. Epub 2012 Mar 29.</w:t>
      </w:r>
    </w:p>
    <w:p w:rsidR="00AC113A" w:rsidRPr="007E7407" w:rsidRDefault="00AC113A">
      <w:pPr>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GB"/>
        </w:rPr>
      </w:pPr>
      <w:hyperlink r:id="rId128" w:history="1">
        <w:r w:rsidRPr="008B1937">
          <w:rPr>
            <w:rStyle w:val="Lienhypertexte"/>
            <w:rFonts w:ascii="Times New Roman" w:hAnsi="Times New Roman"/>
            <w:b w:val="0"/>
            <w:bCs w:val="0"/>
            <w:color w:val="auto"/>
            <w:sz w:val="22"/>
            <w:szCs w:val="22"/>
            <w:u w:val="none"/>
            <w:lang w:val="en-GB"/>
          </w:rPr>
          <w:t>HECHTER O</w:t>
        </w:r>
      </w:hyperlink>
      <w:r w:rsidRPr="007E7407">
        <w:rPr>
          <w:rFonts w:ascii="Times New Roman" w:hAnsi="Times New Roman" w:cs="Times New Roman"/>
          <w:b w:val="0"/>
          <w:bCs w:val="0"/>
          <w:sz w:val="22"/>
          <w:szCs w:val="22"/>
          <w:lang w:val="en-GB"/>
        </w:rPr>
        <w:t xml:space="preserve">, </w:t>
      </w:r>
      <w:hyperlink r:id="rId129" w:history="1">
        <w:r w:rsidRPr="008B1937">
          <w:rPr>
            <w:rStyle w:val="Lienhypertexte"/>
            <w:rFonts w:ascii="Times New Roman" w:hAnsi="Times New Roman"/>
            <w:b w:val="0"/>
            <w:bCs w:val="0"/>
            <w:color w:val="auto"/>
            <w:sz w:val="22"/>
            <w:szCs w:val="22"/>
            <w:u w:val="none"/>
            <w:lang w:val="en-GB"/>
          </w:rPr>
          <w:t>SOLOMON MM</w:t>
        </w:r>
      </w:hyperlink>
      <w:r w:rsidRPr="007E7407">
        <w:rPr>
          <w:rFonts w:ascii="Times New Roman" w:hAnsi="Times New Roman" w:cs="Times New Roman"/>
          <w:b w:val="0"/>
          <w:bCs w:val="0"/>
          <w:sz w:val="22"/>
          <w:szCs w:val="22"/>
          <w:lang w:val="en-GB"/>
        </w:rPr>
        <w:t xml:space="preserve">, </w:t>
      </w:r>
      <w:hyperlink r:id="rId130" w:history="1">
        <w:r w:rsidRPr="008B1937">
          <w:rPr>
            <w:rStyle w:val="Lienhypertexte"/>
            <w:rFonts w:ascii="Times New Roman" w:hAnsi="Times New Roman"/>
            <w:b w:val="0"/>
            <w:bCs w:val="0"/>
            <w:color w:val="auto"/>
            <w:sz w:val="22"/>
            <w:szCs w:val="22"/>
            <w:u w:val="none"/>
            <w:lang w:val="en-GB"/>
          </w:rPr>
          <w:t>ZAFFARONI A</w:t>
        </w:r>
      </w:hyperlink>
      <w:r w:rsidRPr="007E7407">
        <w:rPr>
          <w:rFonts w:ascii="Times New Roman" w:hAnsi="Times New Roman" w:cs="Times New Roman"/>
          <w:b w:val="0"/>
          <w:bCs w:val="0"/>
          <w:sz w:val="22"/>
          <w:szCs w:val="22"/>
          <w:lang w:val="en-GB"/>
        </w:rPr>
        <w:t xml:space="preserve">, </w:t>
      </w:r>
      <w:hyperlink r:id="rId131" w:history="1">
        <w:r w:rsidRPr="008B1937">
          <w:rPr>
            <w:rStyle w:val="Lienhypertexte"/>
            <w:rFonts w:ascii="Times New Roman" w:hAnsi="Times New Roman"/>
            <w:b w:val="0"/>
            <w:bCs w:val="0"/>
            <w:color w:val="auto"/>
            <w:sz w:val="22"/>
            <w:szCs w:val="22"/>
            <w:u w:val="none"/>
            <w:lang w:val="en-GB"/>
          </w:rPr>
          <w:t>PINCUS G</w:t>
        </w:r>
      </w:hyperlink>
      <w:r w:rsidRPr="007E7407">
        <w:rPr>
          <w:rFonts w:ascii="Times New Roman" w:hAnsi="Times New Roman" w:cs="Times New Roman"/>
          <w:b w:val="0"/>
          <w:bCs w:val="0"/>
          <w:sz w:val="22"/>
          <w:szCs w:val="22"/>
          <w:lang w:val="en-GB"/>
        </w:rPr>
        <w:t>.Transformation of cholesterol and acetate to adrenal cortical hormones.</w:t>
      </w:r>
      <w:hyperlink r:id="rId132" w:history="1">
        <w:r w:rsidRPr="007E7407">
          <w:rPr>
            <w:rStyle w:val="Lienhypertexte"/>
            <w:rFonts w:ascii="Times New Roman" w:hAnsi="Times New Roman"/>
            <w:b w:val="0"/>
            <w:bCs w:val="0"/>
            <w:color w:val="auto"/>
            <w:sz w:val="22"/>
            <w:szCs w:val="22"/>
            <w:u w:val="none"/>
          </w:rPr>
          <w:t>Arch Biochem Biophys.</w:t>
        </w:r>
      </w:hyperlink>
      <w:r w:rsidRPr="007E7407">
        <w:rPr>
          <w:rFonts w:ascii="Times New Roman" w:hAnsi="Times New Roman" w:cs="Times New Roman"/>
          <w:b w:val="0"/>
          <w:bCs w:val="0"/>
          <w:sz w:val="22"/>
          <w:szCs w:val="22"/>
        </w:rPr>
        <w:t xml:space="preserve"> 1953 Sep;46(1):201-14.</w:t>
      </w:r>
    </w:p>
    <w:p w:rsidR="00AC113A" w:rsidRPr="007E7407" w:rsidRDefault="00AC113A">
      <w:pPr>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133" w:history="1">
        <w:r w:rsidRPr="008B1937">
          <w:rPr>
            <w:rStyle w:val="Lienhypertexte"/>
            <w:rFonts w:ascii="Times New Roman" w:hAnsi="Times New Roman"/>
            <w:b w:val="0"/>
            <w:bCs w:val="0"/>
            <w:color w:val="auto"/>
            <w:sz w:val="22"/>
            <w:szCs w:val="22"/>
            <w:u w:val="none"/>
            <w:lang w:val="en-GB"/>
          </w:rPr>
          <w:t>Kirschbaum C</w:t>
        </w:r>
      </w:hyperlink>
      <w:r w:rsidRPr="007E7407">
        <w:rPr>
          <w:rFonts w:ascii="Times New Roman" w:hAnsi="Times New Roman" w:cs="Times New Roman"/>
          <w:b w:val="0"/>
          <w:bCs w:val="0"/>
          <w:sz w:val="22"/>
          <w:szCs w:val="22"/>
          <w:lang w:val="en-GB"/>
        </w:rPr>
        <w:t xml:space="preserve">, </w:t>
      </w:r>
      <w:hyperlink r:id="rId134" w:history="1">
        <w:r w:rsidRPr="008B1937">
          <w:rPr>
            <w:rStyle w:val="Lienhypertexte"/>
            <w:rFonts w:ascii="Times New Roman" w:hAnsi="Times New Roman"/>
            <w:b w:val="0"/>
            <w:bCs w:val="0"/>
            <w:color w:val="auto"/>
            <w:sz w:val="22"/>
            <w:szCs w:val="22"/>
            <w:u w:val="none"/>
            <w:lang w:val="en-GB"/>
          </w:rPr>
          <w:t>Hellhammer DH</w:t>
        </w:r>
      </w:hyperlink>
      <w:r w:rsidRPr="007E7407">
        <w:rPr>
          <w:rFonts w:ascii="Times New Roman" w:hAnsi="Times New Roman" w:cs="Times New Roman"/>
          <w:b w:val="0"/>
          <w:bCs w:val="0"/>
          <w:sz w:val="22"/>
          <w:szCs w:val="22"/>
          <w:lang w:val="en-GB"/>
        </w:rPr>
        <w:t>.Salivary cortisol in psychobiological research: an overview.</w:t>
      </w:r>
      <w:hyperlink r:id="rId135" w:history="1">
        <w:r w:rsidRPr="007E7407">
          <w:rPr>
            <w:rStyle w:val="Lienhypertexte"/>
            <w:rFonts w:ascii="Times New Roman" w:hAnsi="Times New Roman"/>
            <w:b w:val="0"/>
            <w:bCs w:val="0"/>
            <w:color w:val="auto"/>
            <w:sz w:val="22"/>
            <w:szCs w:val="22"/>
            <w:u w:val="none"/>
          </w:rPr>
          <w:t>Neuropsychobiology.</w:t>
        </w:r>
      </w:hyperlink>
      <w:r w:rsidRPr="007E7407">
        <w:rPr>
          <w:rFonts w:ascii="Times New Roman" w:hAnsi="Times New Roman" w:cs="Times New Roman"/>
          <w:b w:val="0"/>
          <w:bCs w:val="0"/>
          <w:sz w:val="22"/>
          <w:szCs w:val="22"/>
          <w:lang w:val="en-US"/>
        </w:rPr>
        <w:t xml:space="preserve"> 1989;22(3):150-69.</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GB"/>
        </w:rPr>
        <w:t>HECHTER O, SOLOMON MM, ZAFFARONI A, PINCUS G</w:t>
      </w:r>
      <w:hyperlink r:id="rId136" w:history="1">
        <w:r w:rsidRPr="008B1937">
          <w:rPr>
            <w:rStyle w:val="Lienhypertexte"/>
            <w:rFonts w:ascii="Times New Roman" w:hAnsi="Times New Roman"/>
            <w:b w:val="0"/>
            <w:bCs w:val="0"/>
            <w:color w:val="auto"/>
            <w:sz w:val="22"/>
            <w:szCs w:val="22"/>
            <w:u w:val="none"/>
            <w:lang w:val="en-GB"/>
          </w:rPr>
          <w:t>Transformation of cholesterol and acetate to adrenal cortical hormones.</w:t>
        </w:r>
      </w:hyperlink>
      <w:r w:rsidRPr="007E7407">
        <w:rPr>
          <w:rStyle w:val="jrnl"/>
          <w:rFonts w:ascii="Times New Roman" w:hAnsi="Times New Roman"/>
          <w:b w:val="0"/>
          <w:bCs w:val="0"/>
          <w:sz w:val="22"/>
          <w:szCs w:val="22"/>
          <w:lang w:val="en-US"/>
        </w:rPr>
        <w:t>Arch Biochem Biophys</w:t>
      </w:r>
      <w:r w:rsidRPr="007E7407">
        <w:rPr>
          <w:rFonts w:ascii="Times New Roman" w:hAnsi="Times New Roman" w:cs="Times New Roman"/>
          <w:b w:val="0"/>
          <w:bCs w:val="0"/>
          <w:sz w:val="22"/>
          <w:szCs w:val="22"/>
          <w:lang w:val="en-US"/>
        </w:rPr>
        <w:t>. 1953 Sep;46(1):201-14. No abstract available</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137" w:history="1">
        <w:r w:rsidRPr="008B1937">
          <w:rPr>
            <w:rStyle w:val="Lienhypertexte"/>
            <w:rFonts w:ascii="Times New Roman" w:hAnsi="Times New Roman"/>
            <w:b w:val="0"/>
            <w:bCs w:val="0"/>
            <w:color w:val="auto"/>
            <w:sz w:val="22"/>
            <w:szCs w:val="22"/>
            <w:u w:val="none"/>
            <w:lang w:val="en-GB"/>
          </w:rPr>
          <w:t>Adam EK</w:t>
        </w:r>
      </w:hyperlink>
      <w:r w:rsidRPr="007E7407">
        <w:rPr>
          <w:rFonts w:ascii="Times New Roman" w:hAnsi="Times New Roman" w:cs="Times New Roman"/>
          <w:b w:val="0"/>
          <w:bCs w:val="0"/>
          <w:sz w:val="22"/>
          <w:szCs w:val="22"/>
          <w:lang w:val="en-US"/>
        </w:rPr>
        <w:t xml:space="preserve">, </w:t>
      </w:r>
      <w:hyperlink r:id="rId138" w:history="1">
        <w:r w:rsidRPr="008B1937">
          <w:rPr>
            <w:rStyle w:val="Lienhypertexte"/>
            <w:rFonts w:ascii="Times New Roman" w:hAnsi="Times New Roman"/>
            <w:b w:val="0"/>
            <w:bCs w:val="0"/>
            <w:color w:val="auto"/>
            <w:sz w:val="22"/>
            <w:szCs w:val="22"/>
            <w:u w:val="none"/>
            <w:lang w:val="en-GB"/>
          </w:rPr>
          <w:t>Kumari M</w:t>
        </w:r>
      </w:hyperlink>
      <w:r w:rsidRPr="007E7407">
        <w:rPr>
          <w:rFonts w:ascii="Times New Roman" w:hAnsi="Times New Roman" w:cs="Times New Roman"/>
          <w:b w:val="0"/>
          <w:bCs w:val="0"/>
          <w:sz w:val="22"/>
          <w:szCs w:val="22"/>
          <w:lang w:val="en-GB"/>
        </w:rPr>
        <w:t>Assessing salivary cortisol in large-scale, epidemiological research.</w:t>
      </w:r>
      <w:hyperlink r:id="rId139" w:history="1">
        <w:r w:rsidRPr="007E7407">
          <w:rPr>
            <w:rStyle w:val="Lienhypertexte"/>
            <w:rFonts w:ascii="Times New Roman" w:hAnsi="Times New Roman"/>
            <w:b w:val="0"/>
            <w:bCs w:val="0"/>
            <w:color w:val="auto"/>
            <w:sz w:val="22"/>
            <w:szCs w:val="22"/>
            <w:u w:val="none"/>
          </w:rPr>
          <w:t>Psychoneuroendocrinology.</w:t>
        </w:r>
      </w:hyperlink>
      <w:r w:rsidRPr="007E7407">
        <w:rPr>
          <w:rFonts w:ascii="Times New Roman" w:hAnsi="Times New Roman" w:cs="Times New Roman"/>
          <w:b w:val="0"/>
          <w:bCs w:val="0"/>
          <w:sz w:val="22"/>
          <w:szCs w:val="22"/>
          <w:lang w:val="en-GB"/>
        </w:rPr>
        <w:t xml:space="preserve"> 2009 Nov;34(10):1423-36. doi: 10.1016/j.psyneuen.2009.06.011. </w:t>
      </w:r>
      <w:r w:rsidRPr="007E7407">
        <w:rPr>
          <w:rFonts w:ascii="Times New Roman" w:hAnsi="Times New Roman" w:cs="Times New Roman"/>
          <w:b w:val="0"/>
          <w:bCs w:val="0"/>
          <w:sz w:val="22"/>
          <w:szCs w:val="22"/>
        </w:rPr>
        <w:t>Epub 2009 Jul 31</w:t>
      </w:r>
    </w:p>
    <w:p w:rsidR="00AC113A" w:rsidRPr="007E7407" w:rsidRDefault="00AC113A">
      <w:pPr>
        <w:rPr>
          <w:rFonts w:cs="Times New Roman"/>
          <w:sz w:val="22"/>
          <w:szCs w:val="22"/>
          <w:lang w:val="en-GB"/>
        </w:rPr>
      </w:pPr>
      <w:r w:rsidRPr="007E7407">
        <w:rPr>
          <w:rFonts w:cs="Times New Roman"/>
          <w:sz w:val="22"/>
          <w:szCs w:val="22"/>
          <w:lang w:val="en-US"/>
        </w:rPr>
        <w:t>.</w:t>
      </w:r>
    </w:p>
    <w:p w:rsidR="00AC113A" w:rsidRPr="007E7407" w:rsidRDefault="00AC113A">
      <w:pPr>
        <w:pStyle w:val="Titre1"/>
        <w:spacing w:before="0" w:after="0"/>
        <w:rPr>
          <w:rFonts w:ascii="Times New Roman" w:eastAsia="MS Mincho" w:hAnsi="Times New Roman" w:cs="Times New Roman"/>
          <w:b w:val="0"/>
          <w:bCs w:val="0"/>
          <w:sz w:val="22"/>
          <w:szCs w:val="22"/>
          <w:lang w:val="en-GB"/>
        </w:rPr>
      </w:pPr>
      <w:r w:rsidRPr="007E7407">
        <w:rPr>
          <w:rFonts w:ascii="Times New Roman" w:hAnsi="Times New Roman" w:cs="Times New Roman"/>
          <w:b w:val="0"/>
          <w:bCs w:val="0"/>
          <w:sz w:val="22"/>
          <w:szCs w:val="22"/>
          <w:lang w:val="en-GB"/>
        </w:rPr>
        <w:t>Hellhammer DH, Wüst S, Kudielka BM.</w:t>
      </w:r>
      <w:r w:rsidRPr="007E7407">
        <w:rPr>
          <w:rFonts w:ascii="Times New Roman" w:hAnsi="Times New Roman" w:cs="Times New Roman"/>
          <w:b w:val="0"/>
          <w:bCs w:val="0"/>
          <w:sz w:val="22"/>
          <w:szCs w:val="22"/>
          <w:lang w:val="en-US"/>
        </w:rPr>
        <w:t xml:space="preserve"> </w:t>
      </w:r>
      <w:hyperlink r:id="rId140" w:history="1">
        <w:r w:rsidRPr="008B1937">
          <w:rPr>
            <w:rStyle w:val="Lienhypertexte"/>
            <w:rFonts w:ascii="Times New Roman" w:hAnsi="Times New Roman"/>
            <w:b w:val="0"/>
            <w:bCs w:val="0"/>
            <w:color w:val="auto"/>
            <w:sz w:val="22"/>
            <w:szCs w:val="22"/>
            <w:u w:val="none"/>
            <w:lang w:val="en-GB"/>
          </w:rPr>
          <w:t xml:space="preserve">Salivary cortisol as a biomarker in stress </w:t>
        </w:r>
        <w:r w:rsidRPr="008B1937">
          <w:rPr>
            <w:rStyle w:val="Lienhypertexte"/>
            <w:rFonts w:ascii="Times New Roman" w:hAnsi="Times New Roman"/>
            <w:b w:val="0"/>
            <w:bCs w:val="0"/>
            <w:color w:val="auto"/>
            <w:sz w:val="22"/>
            <w:szCs w:val="22"/>
            <w:u w:val="none"/>
            <w:lang w:val="en-GB"/>
          </w:rPr>
          <w:lastRenderedPageBreak/>
          <w:t>research.</w:t>
        </w:r>
      </w:hyperlink>
      <w:r w:rsidRPr="007E7407">
        <w:rPr>
          <w:rFonts w:ascii="Times New Roman" w:hAnsi="Times New Roman" w:cs="Times New Roman"/>
          <w:b w:val="0"/>
          <w:bCs w:val="0"/>
          <w:sz w:val="22"/>
          <w:szCs w:val="22"/>
          <w:lang w:val="en-GB"/>
        </w:rPr>
        <w:t xml:space="preserve">Psychoneuroendocrinology. 2009 Feb;34(2):163-71. doi: 10.1016/j.psyneuen.2008.10.026. </w:t>
      </w:r>
      <w:r w:rsidRPr="007E7407">
        <w:rPr>
          <w:rFonts w:ascii="Times New Roman" w:hAnsi="Times New Roman" w:cs="Times New Roman"/>
          <w:b w:val="0"/>
          <w:bCs w:val="0"/>
          <w:sz w:val="22"/>
          <w:szCs w:val="22"/>
          <w:lang w:val="en-US"/>
        </w:rPr>
        <w:t>Epub 2008 Dec 18. Review.</w:t>
      </w:r>
    </w:p>
    <w:p w:rsidR="00AC113A" w:rsidRPr="007E7407" w:rsidRDefault="00AC113A">
      <w:pPr>
        <w:rPr>
          <w:rFonts w:cs="Times New Roman"/>
          <w:sz w:val="22"/>
          <w:szCs w:val="22"/>
          <w:lang w:val="pt-BR"/>
        </w:rPr>
      </w:pPr>
      <w:r w:rsidRPr="007E7407">
        <w:rPr>
          <w:rFonts w:eastAsia="MS Mincho" w:cs="Times New Roman"/>
          <w:sz w:val="22"/>
          <w:szCs w:val="22"/>
          <w:lang w:val="en-GB"/>
        </w:rPr>
        <w:t>.</w:t>
      </w:r>
    </w:p>
    <w:p w:rsidR="00AC113A" w:rsidRPr="007E7407" w:rsidRDefault="00AC113A">
      <w:pPr>
        <w:pStyle w:val="Titre1"/>
        <w:spacing w:before="0" w:after="0"/>
        <w:rPr>
          <w:rFonts w:ascii="Times New Roman" w:hAnsi="Times New Roman" w:cs="Times New Roman"/>
          <w:b w:val="0"/>
          <w:bCs w:val="0"/>
          <w:sz w:val="22"/>
          <w:szCs w:val="22"/>
          <w:lang w:val="en-GB"/>
        </w:rPr>
      </w:pPr>
      <w:r w:rsidRPr="007E7407">
        <w:rPr>
          <w:rFonts w:ascii="Times New Roman" w:hAnsi="Times New Roman" w:cs="Times New Roman"/>
          <w:b w:val="0"/>
          <w:bCs w:val="0"/>
          <w:sz w:val="22"/>
          <w:szCs w:val="22"/>
          <w:lang w:val="pt-BR"/>
        </w:rPr>
        <w:t xml:space="preserve">Castro M, Elias PC, Martinelli CE Jr, Antonini SR, Santiago L, Moreira AC. </w:t>
      </w:r>
      <w:hyperlink r:id="rId141" w:history="1">
        <w:r w:rsidRPr="008B1937">
          <w:rPr>
            <w:rStyle w:val="Lienhypertexte"/>
            <w:rFonts w:ascii="Times New Roman" w:hAnsi="Times New Roman"/>
            <w:b w:val="0"/>
            <w:bCs w:val="0"/>
            <w:color w:val="auto"/>
            <w:sz w:val="22"/>
            <w:szCs w:val="22"/>
            <w:u w:val="none"/>
            <w:lang w:val="en-GB"/>
          </w:rPr>
          <w:t>Salivary cortisol as a biomarker in stress research.</w:t>
        </w:r>
      </w:hyperlink>
      <w:r w:rsidRPr="007E7407">
        <w:rPr>
          <w:rFonts w:ascii="Times New Roman" w:hAnsi="Times New Roman" w:cs="Times New Roman"/>
          <w:b w:val="0"/>
          <w:bCs w:val="0"/>
          <w:sz w:val="22"/>
          <w:szCs w:val="22"/>
          <w:lang w:val="en-GB"/>
        </w:rPr>
        <w:t>Braz J Med Biol Res. 2000 Oct;33(10):1171-5. Review.</w:t>
      </w:r>
    </w:p>
    <w:p w:rsidR="00AC113A" w:rsidRPr="007E7407" w:rsidRDefault="00AC113A">
      <w:pPr>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GB"/>
        </w:rPr>
      </w:pPr>
      <w:r w:rsidRPr="007E7407">
        <w:rPr>
          <w:rFonts w:ascii="Times New Roman" w:hAnsi="Times New Roman" w:cs="Times New Roman"/>
          <w:b w:val="0"/>
          <w:bCs w:val="0"/>
          <w:sz w:val="22"/>
          <w:szCs w:val="22"/>
          <w:lang w:val="pt-BR"/>
        </w:rPr>
        <w:t xml:space="preserve">Castagnola M, Picciotti PM, Messana I, Fanali C, Fiorita A, Cabras T, Calò L, Pisano E, Passali GC, Iavarone F, Paludetti G, Scarano E. </w:t>
      </w:r>
      <w:hyperlink r:id="rId142" w:history="1">
        <w:r w:rsidRPr="008B1937">
          <w:rPr>
            <w:rStyle w:val="Lienhypertexte"/>
            <w:rFonts w:ascii="Times New Roman" w:hAnsi="Times New Roman"/>
            <w:b w:val="0"/>
            <w:bCs w:val="0"/>
            <w:color w:val="auto"/>
            <w:sz w:val="22"/>
            <w:szCs w:val="22"/>
            <w:u w:val="none"/>
            <w:lang w:val="en-GB"/>
          </w:rPr>
          <w:t>Potential applications of human saliva as diagnostic fluid.</w:t>
        </w:r>
      </w:hyperlink>
      <w:r w:rsidRPr="007E7407">
        <w:rPr>
          <w:rFonts w:ascii="Times New Roman" w:hAnsi="Times New Roman" w:cs="Times New Roman"/>
          <w:b w:val="0"/>
          <w:bCs w:val="0"/>
          <w:sz w:val="22"/>
          <w:szCs w:val="22"/>
          <w:lang w:val="en-GB"/>
        </w:rPr>
        <w:t>Acta Otorhinolaryngol Ital. 2011 Dec;31(6):347-57. Review.</w:t>
      </w:r>
    </w:p>
    <w:p w:rsidR="00AC113A" w:rsidRPr="007E7407" w:rsidRDefault="00AC113A">
      <w:pPr>
        <w:pStyle w:val="details"/>
        <w:spacing w:before="0" w:after="0"/>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143" w:history="1">
        <w:r w:rsidRPr="008B1937">
          <w:rPr>
            <w:rStyle w:val="Lienhypertexte"/>
            <w:rFonts w:ascii="Times New Roman" w:hAnsi="Times New Roman"/>
            <w:b w:val="0"/>
            <w:bCs w:val="0"/>
            <w:color w:val="auto"/>
            <w:sz w:val="22"/>
            <w:szCs w:val="22"/>
            <w:u w:val="none"/>
            <w:lang w:val="en-GB"/>
          </w:rPr>
          <w:t>Kaufman E</w:t>
        </w:r>
      </w:hyperlink>
      <w:r w:rsidRPr="007E7407">
        <w:rPr>
          <w:rFonts w:ascii="Times New Roman" w:hAnsi="Times New Roman" w:cs="Times New Roman"/>
          <w:b w:val="0"/>
          <w:bCs w:val="0"/>
          <w:sz w:val="22"/>
          <w:szCs w:val="22"/>
          <w:lang w:val="en-GB"/>
        </w:rPr>
        <w:t xml:space="preserve">, </w:t>
      </w:r>
      <w:hyperlink r:id="rId144" w:history="1">
        <w:r w:rsidRPr="008B1937">
          <w:rPr>
            <w:rStyle w:val="Lienhypertexte"/>
            <w:rFonts w:ascii="Times New Roman" w:hAnsi="Times New Roman"/>
            <w:b w:val="0"/>
            <w:bCs w:val="0"/>
            <w:color w:val="auto"/>
            <w:sz w:val="22"/>
            <w:szCs w:val="22"/>
            <w:u w:val="none"/>
            <w:lang w:val="en-GB"/>
          </w:rPr>
          <w:t>Lamster IB</w:t>
        </w:r>
      </w:hyperlink>
      <w:r w:rsidRPr="007E7407">
        <w:rPr>
          <w:rFonts w:ascii="Times New Roman" w:hAnsi="Times New Roman" w:cs="Times New Roman"/>
          <w:b w:val="0"/>
          <w:bCs w:val="0"/>
          <w:sz w:val="22"/>
          <w:szCs w:val="22"/>
          <w:lang w:val="en-GB"/>
        </w:rPr>
        <w:t>.The diagnostic applications of saliva--a review.</w:t>
      </w:r>
      <w:r w:rsidRPr="007E7407">
        <w:rPr>
          <w:rFonts w:ascii="Times New Roman" w:hAnsi="Times New Roman" w:cs="Times New Roman"/>
          <w:b w:val="0"/>
          <w:bCs w:val="0"/>
          <w:sz w:val="22"/>
          <w:szCs w:val="22"/>
          <w:lang w:val="en-US"/>
        </w:rPr>
        <w:t xml:space="preserve"> </w:t>
      </w:r>
      <w:hyperlink r:id="rId145" w:history="1">
        <w:r w:rsidRPr="007E7407">
          <w:rPr>
            <w:rStyle w:val="Lienhypertexte"/>
            <w:rFonts w:ascii="Times New Roman" w:hAnsi="Times New Roman"/>
            <w:b w:val="0"/>
            <w:bCs w:val="0"/>
            <w:color w:val="auto"/>
            <w:sz w:val="22"/>
            <w:szCs w:val="22"/>
            <w:u w:val="none"/>
          </w:rPr>
          <w:t>Crit Rev Oral Biol Med.</w:t>
        </w:r>
      </w:hyperlink>
      <w:r w:rsidRPr="007E7407">
        <w:rPr>
          <w:rFonts w:ascii="Times New Roman" w:hAnsi="Times New Roman" w:cs="Times New Roman"/>
          <w:b w:val="0"/>
          <w:bCs w:val="0"/>
          <w:sz w:val="22"/>
          <w:szCs w:val="22"/>
          <w:lang w:val="en-GB"/>
        </w:rPr>
        <w:t xml:space="preserve"> </w:t>
      </w:r>
      <w:r w:rsidRPr="007E7407">
        <w:rPr>
          <w:rFonts w:ascii="Times New Roman" w:hAnsi="Times New Roman" w:cs="Times New Roman"/>
          <w:b w:val="0"/>
          <w:bCs w:val="0"/>
          <w:sz w:val="22"/>
          <w:szCs w:val="22"/>
          <w:lang w:val="en-US"/>
        </w:rPr>
        <w:t>2002;13(2):197-212.</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eastAsia="MS Mincho" w:hAnsi="Times New Roman" w:cs="Times New Roman"/>
          <w:b w:val="0"/>
          <w:bCs w:val="0"/>
          <w:sz w:val="22"/>
          <w:szCs w:val="22"/>
          <w:lang w:val="en-US"/>
        </w:rPr>
      </w:pPr>
      <w:r w:rsidRPr="007E7407">
        <w:rPr>
          <w:rFonts w:ascii="Times New Roman" w:eastAsia="MS Mincho" w:hAnsi="Times New Roman" w:cs="Times New Roman"/>
          <w:b w:val="0"/>
          <w:bCs w:val="0"/>
          <w:sz w:val="22"/>
          <w:szCs w:val="22"/>
          <w:lang w:val="en-US"/>
        </w:rPr>
        <w:t>Shirtcliff EA, Granger DA, Schwartz E, Curran MJ</w:t>
      </w:r>
      <w:hyperlink r:id="rId146" w:history="1">
        <w:r w:rsidRPr="008B1937">
          <w:rPr>
            <w:rStyle w:val="Lienhypertexte"/>
            <w:rFonts w:ascii="Times New Roman" w:hAnsi="Times New Roman"/>
            <w:b w:val="0"/>
            <w:bCs w:val="0"/>
            <w:color w:val="auto"/>
            <w:sz w:val="22"/>
            <w:szCs w:val="22"/>
            <w:u w:val="none"/>
            <w:lang w:val="en-GB"/>
          </w:rPr>
          <w:t>Use of salivary biomarkers in biobehavioral research: cotton-based sample collection methods can interfere with salivary immunoassay results.</w:t>
        </w:r>
      </w:hyperlink>
    </w:p>
    <w:p w:rsidR="00AC113A" w:rsidRPr="007E7407" w:rsidRDefault="00AC113A">
      <w:pPr>
        <w:rPr>
          <w:rFonts w:cs="Times New Roman"/>
          <w:sz w:val="22"/>
          <w:szCs w:val="22"/>
          <w:lang w:val="en-GB"/>
        </w:rPr>
      </w:pPr>
      <w:r w:rsidRPr="007E7407">
        <w:rPr>
          <w:rFonts w:eastAsia="MS Mincho" w:cs="Times New Roman"/>
          <w:sz w:val="22"/>
          <w:szCs w:val="22"/>
          <w:lang w:val="en-US"/>
        </w:rPr>
        <w:t>.</w:t>
      </w:r>
    </w:p>
    <w:p w:rsidR="00AC113A" w:rsidRPr="007E7407" w:rsidRDefault="00AC113A">
      <w:pPr>
        <w:pStyle w:val="Titre1"/>
        <w:spacing w:before="0" w:after="0"/>
        <w:rPr>
          <w:rFonts w:ascii="Times New Roman" w:hAnsi="Times New Roman" w:cs="Times New Roman"/>
          <w:b w:val="0"/>
          <w:bCs w:val="0"/>
          <w:sz w:val="22"/>
          <w:szCs w:val="22"/>
          <w:lang w:val="en-GB"/>
        </w:rPr>
      </w:pPr>
      <w:r w:rsidRPr="007E7407">
        <w:rPr>
          <w:rFonts w:ascii="Times New Roman" w:hAnsi="Times New Roman" w:cs="Times New Roman"/>
          <w:b w:val="0"/>
          <w:bCs w:val="0"/>
          <w:sz w:val="22"/>
          <w:szCs w:val="22"/>
          <w:lang w:val="en-GB"/>
        </w:rPr>
        <w:t xml:space="preserve"> de Weerth C, Graat G, Buitelaar JK, Thijssen JH</w:t>
      </w:r>
      <w:r w:rsidRPr="007E7407">
        <w:rPr>
          <w:rFonts w:ascii="Times New Roman" w:hAnsi="Times New Roman" w:cs="Times New Roman"/>
          <w:b w:val="0"/>
          <w:bCs w:val="0"/>
          <w:sz w:val="22"/>
          <w:szCs w:val="22"/>
          <w:lang w:val="en-US"/>
        </w:rPr>
        <w:t xml:space="preserve"> </w:t>
      </w:r>
      <w:hyperlink r:id="rId147" w:history="1">
        <w:r w:rsidRPr="008B1937">
          <w:rPr>
            <w:rStyle w:val="Lienhypertexte"/>
            <w:rFonts w:ascii="Times New Roman" w:hAnsi="Times New Roman"/>
            <w:b w:val="0"/>
            <w:bCs w:val="0"/>
            <w:color w:val="auto"/>
            <w:sz w:val="22"/>
            <w:szCs w:val="22"/>
            <w:u w:val="none"/>
            <w:lang w:val="en-GB"/>
          </w:rPr>
          <w:t>Measurement of cortisol in small quantities of saliva.</w:t>
        </w:r>
      </w:hyperlink>
      <w:r w:rsidRPr="007E7407">
        <w:rPr>
          <w:rFonts w:ascii="Times New Roman" w:hAnsi="Times New Roman" w:cs="Times New Roman"/>
          <w:b w:val="0"/>
          <w:bCs w:val="0"/>
          <w:sz w:val="22"/>
          <w:szCs w:val="22"/>
          <w:lang w:val="en-GB"/>
        </w:rPr>
        <w:t xml:space="preserve">Clin Chem. 2003 Apr;49(4):658-60. No abstract available. </w:t>
      </w:r>
    </w:p>
    <w:p w:rsidR="00AC113A" w:rsidRPr="007E7407" w:rsidRDefault="00AC113A">
      <w:pPr>
        <w:pStyle w:val="details"/>
        <w:spacing w:before="0" w:after="0"/>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Jessop DS, Turner-Cobb JM</w:t>
      </w:r>
      <w:hyperlink r:id="rId148" w:history="1">
        <w:r w:rsidRPr="008B1937">
          <w:rPr>
            <w:rStyle w:val="Lienhypertexte"/>
            <w:rFonts w:ascii="Times New Roman" w:hAnsi="Times New Roman"/>
            <w:b w:val="0"/>
            <w:bCs w:val="0"/>
            <w:color w:val="auto"/>
            <w:sz w:val="22"/>
            <w:szCs w:val="22"/>
            <w:u w:val="none"/>
            <w:lang w:val="en-GB"/>
          </w:rPr>
          <w:t>Measurement and meaning of salivary cortisol: a focus on health and disease in children.</w:t>
        </w:r>
      </w:hyperlink>
    </w:p>
    <w:p w:rsidR="00AC113A" w:rsidRPr="007E7407" w:rsidRDefault="00AC113A">
      <w:pPr>
        <w:rPr>
          <w:rFonts w:cs="Times New Roman"/>
          <w:sz w:val="22"/>
          <w:szCs w:val="22"/>
          <w:lang w:val="en-US"/>
        </w:rPr>
      </w:pPr>
      <w:r w:rsidRPr="007E7407">
        <w:rPr>
          <w:rFonts w:cs="Times New Roman"/>
          <w:sz w:val="22"/>
          <w:szCs w:val="22"/>
          <w:lang w:val="en-US"/>
        </w:rPr>
        <w:t>Stress. 2008 Jan;11(1):1-14. Epub 2007 Jul 16. Review</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Marques AH, Silverman MN, Sternberg EM. </w:t>
      </w:r>
      <w:hyperlink r:id="rId149" w:history="1">
        <w:r w:rsidRPr="008B1937">
          <w:rPr>
            <w:rStyle w:val="Lienhypertexte"/>
            <w:rFonts w:ascii="Times New Roman" w:hAnsi="Times New Roman"/>
            <w:b w:val="0"/>
            <w:bCs w:val="0"/>
            <w:color w:val="auto"/>
            <w:sz w:val="22"/>
            <w:szCs w:val="22"/>
            <w:u w:val="none"/>
            <w:lang w:val="en-GB"/>
          </w:rPr>
          <w:t>Evaluation of stress systems by applying noninvasive methodologies: measurements of neuroimmune biomarkers in the sweat, heart rate variability and salivary cortisol.</w:t>
        </w:r>
      </w:hyperlink>
      <w:r w:rsidRPr="007E7407">
        <w:rPr>
          <w:rFonts w:ascii="Times New Roman" w:hAnsi="Times New Roman" w:cs="Times New Roman"/>
          <w:b w:val="0"/>
          <w:bCs w:val="0"/>
          <w:sz w:val="22"/>
          <w:szCs w:val="22"/>
          <w:lang w:val="en-GB"/>
        </w:rPr>
        <w:t xml:space="preserve"> </w:t>
      </w:r>
      <w:r w:rsidRPr="007E7407">
        <w:rPr>
          <w:rFonts w:ascii="Times New Roman" w:hAnsi="Times New Roman" w:cs="Times New Roman"/>
          <w:b w:val="0"/>
          <w:bCs w:val="0"/>
          <w:sz w:val="22"/>
          <w:szCs w:val="22"/>
        </w:rPr>
        <w:t xml:space="preserve">Neuroimmunomodulation. </w:t>
      </w:r>
      <w:r w:rsidRPr="007E7407">
        <w:rPr>
          <w:rFonts w:ascii="Times New Roman" w:hAnsi="Times New Roman" w:cs="Times New Roman"/>
          <w:b w:val="0"/>
          <w:bCs w:val="0"/>
          <w:sz w:val="22"/>
          <w:szCs w:val="22"/>
          <w:lang w:val="en-US"/>
        </w:rPr>
        <w:t>2010;17(3):205-8. doi: 10.1159/000258725. Epub 2010 Feb 4. Review. Erratum in: Neuroimmunomodulation. 2010;17(6):395.</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GB"/>
        </w:rPr>
      </w:pPr>
      <w:hyperlink r:id="rId150" w:history="1">
        <w:r w:rsidRPr="007E7407">
          <w:rPr>
            <w:rStyle w:val="Lienhypertexte"/>
            <w:rFonts w:ascii="Times New Roman" w:hAnsi="Times New Roman"/>
            <w:b w:val="0"/>
            <w:bCs w:val="0"/>
            <w:color w:val="auto"/>
            <w:sz w:val="22"/>
            <w:szCs w:val="22"/>
            <w:u w:val="none"/>
          </w:rPr>
          <w:t>Kirschbaum C</w:t>
        </w:r>
      </w:hyperlink>
      <w:r w:rsidRPr="007E7407">
        <w:rPr>
          <w:rFonts w:ascii="Times New Roman" w:hAnsi="Times New Roman" w:cs="Times New Roman"/>
          <w:b w:val="0"/>
          <w:bCs w:val="0"/>
          <w:sz w:val="22"/>
          <w:szCs w:val="22"/>
          <w:lang w:val="en-GB"/>
        </w:rPr>
        <w:t xml:space="preserve">, </w:t>
      </w:r>
      <w:hyperlink r:id="rId151" w:history="1">
        <w:r w:rsidRPr="007E7407">
          <w:rPr>
            <w:rStyle w:val="Lienhypertexte"/>
            <w:rFonts w:ascii="Times New Roman" w:hAnsi="Times New Roman"/>
            <w:b w:val="0"/>
            <w:bCs w:val="0"/>
            <w:color w:val="auto"/>
            <w:sz w:val="22"/>
            <w:szCs w:val="22"/>
            <w:u w:val="none"/>
          </w:rPr>
          <w:t>Hellhammer DH</w:t>
        </w:r>
      </w:hyperlink>
      <w:r w:rsidRPr="007E7407">
        <w:rPr>
          <w:rFonts w:ascii="Times New Roman" w:hAnsi="Times New Roman" w:cs="Times New Roman"/>
          <w:b w:val="0"/>
          <w:bCs w:val="0"/>
          <w:sz w:val="22"/>
          <w:szCs w:val="22"/>
          <w:lang w:val="en-GB"/>
        </w:rPr>
        <w:t xml:space="preserve">. Salivary cortisol in psychoneuroendocrine research: recent developments and applications </w:t>
      </w:r>
      <w:hyperlink r:id="rId152" w:history="1">
        <w:r w:rsidRPr="007E7407">
          <w:rPr>
            <w:rStyle w:val="Lienhypertexte"/>
            <w:rFonts w:ascii="Times New Roman" w:hAnsi="Times New Roman"/>
            <w:b w:val="0"/>
            <w:bCs w:val="0"/>
            <w:color w:val="auto"/>
            <w:sz w:val="22"/>
            <w:szCs w:val="22"/>
            <w:u w:val="none"/>
          </w:rPr>
          <w:t>Psychoneuroendocrinology.</w:t>
        </w:r>
      </w:hyperlink>
      <w:r w:rsidRPr="007E7407">
        <w:rPr>
          <w:rFonts w:ascii="Times New Roman" w:hAnsi="Times New Roman" w:cs="Times New Roman"/>
          <w:b w:val="0"/>
          <w:bCs w:val="0"/>
          <w:sz w:val="22"/>
          <w:szCs w:val="22"/>
          <w:lang w:val="en-GB"/>
        </w:rPr>
        <w:t xml:space="preserve"> 1994;19(4):313-33</w:t>
      </w:r>
    </w:p>
    <w:p w:rsidR="00AC113A" w:rsidRPr="007E7407" w:rsidRDefault="00AC113A">
      <w:pPr>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Levine A, Zagoory-Sharon O, Feldman R, Lewis JG, Weller A </w:t>
      </w:r>
      <w:hyperlink r:id="rId153" w:history="1">
        <w:r w:rsidRPr="008B1937">
          <w:rPr>
            <w:rStyle w:val="Lienhypertexte"/>
            <w:rFonts w:ascii="Times New Roman" w:hAnsi="Times New Roman"/>
            <w:b w:val="0"/>
            <w:bCs w:val="0"/>
            <w:color w:val="auto"/>
            <w:sz w:val="22"/>
            <w:szCs w:val="22"/>
            <w:u w:val="none"/>
            <w:lang w:val="en-GB"/>
          </w:rPr>
          <w:t>Measuring cortisol in human psychobiological studies.</w:t>
        </w:r>
      </w:hyperlink>
      <w:r w:rsidRPr="007E7407">
        <w:rPr>
          <w:rFonts w:ascii="Times New Roman" w:hAnsi="Times New Roman" w:cs="Times New Roman"/>
          <w:b w:val="0"/>
          <w:bCs w:val="0"/>
          <w:sz w:val="22"/>
          <w:szCs w:val="22"/>
          <w:lang w:val="en-US"/>
        </w:rPr>
        <w:t xml:space="preserve"> Physiol Behav. 2007 Jan 30;90(1):43-53. Epub 2006 Oct 19. Review</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Castagnola M, Picciotti PM, Messana I, Fanali C, Fiorita A, Cabras T, Calò L, Pisano E, Passali GC, Iavarone F, Paludetti G, Scarano E Potential applications of human saliva as diagnostic fluid Acta Otorhinolaryngol Ital. 2011 Dec;31(6):347-57. Review</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154" w:history="1">
        <w:r w:rsidRPr="008B1937">
          <w:rPr>
            <w:rStyle w:val="Lienhypertexte"/>
            <w:rFonts w:ascii="Times New Roman" w:hAnsi="Times New Roman"/>
            <w:b w:val="0"/>
            <w:bCs w:val="0"/>
            <w:color w:val="auto"/>
            <w:sz w:val="22"/>
            <w:szCs w:val="22"/>
            <w:u w:val="none"/>
            <w:lang w:val="en-GB"/>
          </w:rPr>
          <w:t>Kirschbaum C</w:t>
        </w:r>
      </w:hyperlink>
      <w:r w:rsidRPr="007E7407">
        <w:rPr>
          <w:rFonts w:ascii="Times New Roman" w:hAnsi="Times New Roman" w:cs="Times New Roman"/>
          <w:b w:val="0"/>
          <w:bCs w:val="0"/>
          <w:sz w:val="22"/>
          <w:szCs w:val="22"/>
          <w:lang w:val="en-GB"/>
        </w:rPr>
        <w:t xml:space="preserve">, </w:t>
      </w:r>
      <w:hyperlink r:id="rId155" w:history="1">
        <w:r w:rsidRPr="008B1937">
          <w:rPr>
            <w:rStyle w:val="Lienhypertexte"/>
            <w:rFonts w:ascii="Times New Roman" w:hAnsi="Times New Roman"/>
            <w:b w:val="0"/>
            <w:bCs w:val="0"/>
            <w:color w:val="auto"/>
            <w:sz w:val="22"/>
            <w:szCs w:val="22"/>
            <w:u w:val="none"/>
            <w:lang w:val="en-GB"/>
          </w:rPr>
          <w:t>Hellhammer DH</w:t>
        </w:r>
      </w:hyperlink>
      <w:r w:rsidRPr="007E7407">
        <w:rPr>
          <w:rFonts w:ascii="Times New Roman" w:hAnsi="Times New Roman" w:cs="Times New Roman"/>
          <w:b w:val="0"/>
          <w:bCs w:val="0"/>
          <w:sz w:val="22"/>
          <w:szCs w:val="22"/>
          <w:lang w:val="en-GB"/>
        </w:rPr>
        <w:t>. Salivary cortisol in psychoneuroendocrine research: recent developments and applications.</w:t>
      </w:r>
      <w:hyperlink r:id="rId156" w:history="1">
        <w:r w:rsidRPr="007E7407">
          <w:rPr>
            <w:rStyle w:val="Lienhypertexte"/>
            <w:rFonts w:ascii="Times New Roman" w:hAnsi="Times New Roman"/>
            <w:b w:val="0"/>
            <w:bCs w:val="0"/>
            <w:color w:val="auto"/>
            <w:sz w:val="22"/>
            <w:szCs w:val="22"/>
            <w:u w:val="none"/>
          </w:rPr>
          <w:t>Psychoneuroendocrinology.</w:t>
        </w:r>
      </w:hyperlink>
      <w:r w:rsidRPr="007E7407">
        <w:rPr>
          <w:rFonts w:ascii="Times New Roman" w:hAnsi="Times New Roman" w:cs="Times New Roman"/>
          <w:b w:val="0"/>
          <w:bCs w:val="0"/>
          <w:sz w:val="22"/>
          <w:szCs w:val="22"/>
          <w:lang w:val="en-US"/>
        </w:rPr>
        <w:t xml:space="preserve"> 1994;19(4):313-33</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GB"/>
        </w:rPr>
      </w:pPr>
      <w:hyperlink r:id="rId157" w:history="1">
        <w:r w:rsidRPr="008B1937">
          <w:rPr>
            <w:rStyle w:val="Lienhypertexte"/>
            <w:rFonts w:ascii="Times New Roman" w:hAnsi="Times New Roman"/>
            <w:b w:val="0"/>
            <w:bCs w:val="0"/>
            <w:color w:val="auto"/>
            <w:sz w:val="22"/>
            <w:szCs w:val="22"/>
            <w:u w:val="none"/>
            <w:lang w:val="en-GB"/>
          </w:rPr>
          <w:t>Weibel L</w:t>
        </w:r>
      </w:hyperlink>
      <w:r w:rsidRPr="007E7407">
        <w:rPr>
          <w:rFonts w:ascii="Times New Roman" w:hAnsi="Times New Roman" w:cs="Times New Roman"/>
          <w:b w:val="0"/>
          <w:bCs w:val="0"/>
          <w:sz w:val="22"/>
          <w:szCs w:val="22"/>
          <w:lang w:val="en-GB"/>
        </w:rPr>
        <w:t xml:space="preserve">, </w:t>
      </w:r>
      <w:hyperlink r:id="rId158" w:history="1">
        <w:r w:rsidRPr="008B1937">
          <w:rPr>
            <w:rStyle w:val="Lienhypertexte"/>
            <w:rFonts w:ascii="Times New Roman" w:hAnsi="Times New Roman"/>
            <w:b w:val="0"/>
            <w:bCs w:val="0"/>
            <w:color w:val="auto"/>
            <w:sz w:val="22"/>
            <w:szCs w:val="22"/>
            <w:u w:val="none"/>
            <w:lang w:val="en-GB"/>
          </w:rPr>
          <w:t>Spiegel K</w:t>
        </w:r>
      </w:hyperlink>
      <w:r w:rsidRPr="007E7407">
        <w:rPr>
          <w:rFonts w:ascii="Times New Roman" w:hAnsi="Times New Roman" w:cs="Times New Roman"/>
          <w:b w:val="0"/>
          <w:bCs w:val="0"/>
          <w:sz w:val="22"/>
          <w:szCs w:val="22"/>
          <w:lang w:val="en-GB"/>
        </w:rPr>
        <w:t xml:space="preserve">, </w:t>
      </w:r>
      <w:hyperlink r:id="rId159" w:history="1">
        <w:r w:rsidRPr="008B1937">
          <w:rPr>
            <w:rStyle w:val="Lienhypertexte"/>
            <w:rFonts w:ascii="Times New Roman" w:hAnsi="Times New Roman"/>
            <w:b w:val="0"/>
            <w:bCs w:val="0"/>
            <w:color w:val="auto"/>
            <w:sz w:val="22"/>
            <w:szCs w:val="22"/>
            <w:u w:val="none"/>
            <w:lang w:val="en-GB"/>
          </w:rPr>
          <w:t>Follenius M</w:t>
        </w:r>
      </w:hyperlink>
      <w:r w:rsidRPr="007E7407">
        <w:rPr>
          <w:rFonts w:ascii="Times New Roman" w:hAnsi="Times New Roman" w:cs="Times New Roman"/>
          <w:b w:val="0"/>
          <w:bCs w:val="0"/>
          <w:sz w:val="22"/>
          <w:szCs w:val="22"/>
          <w:lang w:val="en-GB"/>
        </w:rPr>
        <w:t xml:space="preserve">, </w:t>
      </w:r>
      <w:hyperlink r:id="rId160" w:history="1">
        <w:r w:rsidRPr="008B1937">
          <w:rPr>
            <w:rStyle w:val="Lienhypertexte"/>
            <w:rFonts w:ascii="Times New Roman" w:hAnsi="Times New Roman"/>
            <w:b w:val="0"/>
            <w:bCs w:val="0"/>
            <w:color w:val="auto"/>
            <w:sz w:val="22"/>
            <w:szCs w:val="22"/>
            <w:u w:val="none"/>
            <w:lang w:val="en-GB"/>
          </w:rPr>
          <w:t>Ehrhart J</w:t>
        </w:r>
      </w:hyperlink>
      <w:r w:rsidRPr="007E7407">
        <w:rPr>
          <w:rFonts w:ascii="Times New Roman" w:hAnsi="Times New Roman" w:cs="Times New Roman"/>
          <w:b w:val="0"/>
          <w:bCs w:val="0"/>
          <w:sz w:val="22"/>
          <w:szCs w:val="22"/>
          <w:lang w:val="en-GB"/>
        </w:rPr>
        <w:t xml:space="preserve">, </w:t>
      </w:r>
      <w:hyperlink r:id="rId161" w:history="1">
        <w:r w:rsidRPr="008B1937">
          <w:rPr>
            <w:rStyle w:val="Lienhypertexte"/>
            <w:rFonts w:ascii="Times New Roman" w:hAnsi="Times New Roman"/>
            <w:b w:val="0"/>
            <w:bCs w:val="0"/>
            <w:color w:val="auto"/>
            <w:sz w:val="22"/>
            <w:szCs w:val="22"/>
            <w:u w:val="none"/>
            <w:lang w:val="en-GB"/>
          </w:rPr>
          <w:t>Brandenberger G</w:t>
        </w:r>
      </w:hyperlink>
      <w:r w:rsidRPr="007E7407">
        <w:rPr>
          <w:rFonts w:ascii="Times New Roman" w:hAnsi="Times New Roman" w:cs="Times New Roman"/>
          <w:b w:val="0"/>
          <w:bCs w:val="0"/>
          <w:sz w:val="22"/>
          <w:szCs w:val="22"/>
          <w:lang w:val="en-GB"/>
        </w:rPr>
        <w:t>.Internal dissociation of the circadian markers of the cortisol rhythm in night workers.</w:t>
      </w:r>
      <w:r w:rsidRPr="007E7407">
        <w:rPr>
          <w:rFonts w:ascii="Times New Roman" w:hAnsi="Times New Roman" w:cs="Times New Roman"/>
          <w:b w:val="0"/>
          <w:bCs w:val="0"/>
          <w:sz w:val="22"/>
          <w:szCs w:val="22"/>
          <w:lang w:val="en-US"/>
        </w:rPr>
        <w:t>Source</w:t>
      </w:r>
      <w:hyperlink r:id="rId162" w:history="1">
        <w:r w:rsidRPr="008B1937">
          <w:rPr>
            <w:rStyle w:val="Lienhypertexte"/>
            <w:rFonts w:ascii="Times New Roman" w:hAnsi="Times New Roman"/>
            <w:b w:val="0"/>
            <w:bCs w:val="0"/>
            <w:color w:val="auto"/>
            <w:sz w:val="22"/>
            <w:szCs w:val="22"/>
            <w:u w:val="none"/>
            <w:lang w:val="en-GB"/>
          </w:rPr>
          <w:t>Am J Physiol.</w:t>
        </w:r>
      </w:hyperlink>
      <w:r w:rsidRPr="007E7407">
        <w:rPr>
          <w:rFonts w:ascii="Times New Roman" w:hAnsi="Times New Roman" w:cs="Times New Roman"/>
          <w:b w:val="0"/>
          <w:bCs w:val="0"/>
          <w:sz w:val="22"/>
          <w:szCs w:val="22"/>
          <w:lang w:val="en-GB"/>
        </w:rPr>
        <w:t xml:space="preserve"> </w:t>
      </w:r>
      <w:r w:rsidRPr="007E7407">
        <w:rPr>
          <w:rFonts w:ascii="Times New Roman" w:hAnsi="Times New Roman" w:cs="Times New Roman"/>
          <w:b w:val="0"/>
          <w:bCs w:val="0"/>
          <w:sz w:val="22"/>
          <w:szCs w:val="22"/>
          <w:lang w:val="en-US"/>
        </w:rPr>
        <w:t>1996 Apr;270(4 Pt 1):E608-13.</w:t>
      </w:r>
    </w:p>
    <w:p w:rsidR="00AC113A" w:rsidRPr="007E7407" w:rsidRDefault="00AC113A">
      <w:pPr>
        <w:pStyle w:val="Titre3"/>
        <w:spacing w:before="0" w:after="0"/>
        <w:rPr>
          <w:rFonts w:ascii="Times New Roman" w:hAnsi="Times New Roman" w:cs="Times New Roman"/>
          <w:b w:val="0"/>
          <w:bCs w:val="0"/>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GB"/>
        </w:rPr>
      </w:pPr>
      <w:r w:rsidRPr="007E7407">
        <w:rPr>
          <w:rFonts w:ascii="Times New Roman" w:hAnsi="Times New Roman" w:cs="Times New Roman"/>
          <w:b w:val="0"/>
          <w:bCs w:val="0"/>
          <w:sz w:val="22"/>
          <w:szCs w:val="22"/>
          <w:lang w:val="en-GB"/>
        </w:rPr>
        <w:t xml:space="preserve"> KRIEGER DT.in : Endocrine rythms. Comprehensive Endocrinology Series, Krieger DT, ed.NY, Raven Press, 1979.</w:t>
      </w:r>
    </w:p>
    <w:p w:rsidR="00AC113A" w:rsidRPr="007E7407" w:rsidRDefault="00AC113A">
      <w:pPr>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Clow A, Thorn L, Evans P, Hucklebridge F. </w:t>
      </w:r>
      <w:hyperlink r:id="rId163" w:history="1">
        <w:r w:rsidRPr="008B1937">
          <w:rPr>
            <w:rStyle w:val="Lienhypertexte"/>
            <w:rFonts w:ascii="Times New Roman" w:hAnsi="Times New Roman"/>
            <w:b w:val="0"/>
            <w:bCs w:val="0"/>
            <w:color w:val="auto"/>
            <w:sz w:val="22"/>
            <w:szCs w:val="22"/>
            <w:u w:val="none"/>
            <w:lang w:val="en-GB"/>
          </w:rPr>
          <w:t>The awakening cortisol response: methodological issues and significance.</w:t>
        </w:r>
      </w:hyperlink>
      <w:r w:rsidRPr="007E7407">
        <w:rPr>
          <w:rFonts w:ascii="Times New Roman" w:hAnsi="Times New Roman" w:cs="Times New Roman"/>
          <w:b w:val="0"/>
          <w:bCs w:val="0"/>
          <w:sz w:val="22"/>
          <w:szCs w:val="22"/>
          <w:lang w:val="en-US"/>
        </w:rPr>
        <w:t>Stress. 2004 Mar;7(1):29-37. Review.</w:t>
      </w:r>
    </w:p>
    <w:p w:rsidR="00AC113A" w:rsidRPr="007E7407" w:rsidRDefault="00AC113A">
      <w:pPr>
        <w:pStyle w:val="details"/>
        <w:spacing w:before="0"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Edwards S, Evans P, Hucklebridge F, Clow A. </w:t>
      </w:r>
      <w:hyperlink r:id="rId164" w:history="1">
        <w:r w:rsidRPr="008B1937">
          <w:rPr>
            <w:rStyle w:val="Lienhypertexte"/>
            <w:rFonts w:ascii="Times New Roman" w:hAnsi="Times New Roman"/>
            <w:b w:val="0"/>
            <w:bCs w:val="0"/>
            <w:color w:val="auto"/>
            <w:sz w:val="22"/>
            <w:szCs w:val="22"/>
            <w:u w:val="none"/>
            <w:lang w:val="en-GB"/>
          </w:rPr>
          <w:t>Association between time of awakening and diurnal cortisol secretory activity.</w:t>
        </w:r>
      </w:hyperlink>
      <w:r w:rsidRPr="007E7407">
        <w:rPr>
          <w:rFonts w:ascii="Times New Roman" w:hAnsi="Times New Roman" w:cs="Times New Roman"/>
          <w:b w:val="0"/>
          <w:bCs w:val="0"/>
          <w:sz w:val="22"/>
          <w:szCs w:val="22"/>
          <w:lang w:val="en-US"/>
        </w:rPr>
        <w:t>Psychoneuroendocrinology. 2001 Aug;26(6):613-22.</w:t>
      </w:r>
    </w:p>
    <w:p w:rsidR="00AC113A" w:rsidRPr="007E7407" w:rsidRDefault="00AC113A">
      <w:pPr>
        <w:pStyle w:val="title"/>
        <w:spacing w:before="0" w:after="0"/>
        <w:ind w:left="502"/>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Hennig J, Friebe J, Ryl I, Krämer B, Böttcher J, Netter P. </w:t>
      </w:r>
      <w:hyperlink r:id="rId165" w:history="1">
        <w:r w:rsidRPr="007E7407">
          <w:rPr>
            <w:rStyle w:val="Lienhypertexte"/>
            <w:rFonts w:ascii="Times New Roman" w:hAnsi="Times New Roman"/>
            <w:b w:val="0"/>
            <w:bCs w:val="0"/>
            <w:color w:val="auto"/>
            <w:sz w:val="22"/>
            <w:szCs w:val="22"/>
            <w:u w:val="none"/>
          </w:rPr>
          <w:t>Upright posture influences salivary cortisol.</w:t>
        </w:r>
      </w:hyperlink>
      <w:r w:rsidRPr="007E7407">
        <w:rPr>
          <w:rFonts w:ascii="Times New Roman" w:hAnsi="Times New Roman" w:cs="Times New Roman"/>
          <w:b w:val="0"/>
          <w:bCs w:val="0"/>
          <w:sz w:val="22"/>
          <w:szCs w:val="22"/>
          <w:lang w:val="en-US"/>
        </w:rPr>
        <w:t>Psychoneuroendocrinology. 2000 Jan;25(1):69-83.</w:t>
      </w:r>
    </w:p>
    <w:p w:rsidR="00AC113A" w:rsidRPr="007E7407" w:rsidRDefault="00AC113A">
      <w:pPr>
        <w:pStyle w:val="details"/>
        <w:spacing w:before="0"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Bouma EM, Riese H, Ormel J, Verhulst FC, Oldehinkel AJ.</w:t>
      </w:r>
      <w:hyperlink r:id="rId166" w:history="1">
        <w:r w:rsidRPr="008B1937">
          <w:rPr>
            <w:rStyle w:val="Lienhypertexte"/>
            <w:rFonts w:ascii="Times New Roman" w:hAnsi="Times New Roman"/>
            <w:b w:val="0"/>
            <w:bCs w:val="0"/>
            <w:color w:val="auto"/>
            <w:sz w:val="22"/>
            <w:szCs w:val="22"/>
            <w:u w:val="none"/>
            <w:lang w:val="en-GB"/>
          </w:rPr>
          <w:t xml:space="preserve">Adolescents' cortisol responses to </w:t>
        </w:r>
        <w:r w:rsidRPr="008B1937">
          <w:rPr>
            <w:rStyle w:val="Lienhypertexte"/>
            <w:rFonts w:ascii="Times New Roman" w:hAnsi="Times New Roman"/>
            <w:b w:val="0"/>
            <w:bCs w:val="0"/>
            <w:color w:val="auto"/>
            <w:sz w:val="22"/>
            <w:szCs w:val="22"/>
            <w:u w:val="none"/>
            <w:lang w:val="en-GB"/>
          </w:rPr>
          <w:lastRenderedPageBreak/>
          <w:t>awakening and social stress; effects of gender, menstrual phase and oral contraceptives. The TRAILS study.</w:t>
        </w:r>
      </w:hyperlink>
      <w:r w:rsidRPr="007E7407">
        <w:rPr>
          <w:rFonts w:ascii="Times New Roman" w:hAnsi="Times New Roman" w:cs="Times New Roman"/>
          <w:b w:val="0"/>
          <w:bCs w:val="0"/>
          <w:sz w:val="22"/>
          <w:szCs w:val="22"/>
          <w:lang w:val="en-GB"/>
        </w:rPr>
        <w:t xml:space="preserve">Psychoneuroendocrinology. 2009 Jul;34(6):884-93. doi: 10.1016/j.psyneuen.2009.01.003. </w:t>
      </w:r>
      <w:r w:rsidRPr="007E7407">
        <w:rPr>
          <w:rFonts w:ascii="Times New Roman" w:hAnsi="Times New Roman" w:cs="Times New Roman"/>
          <w:b w:val="0"/>
          <w:bCs w:val="0"/>
          <w:sz w:val="22"/>
          <w:szCs w:val="22"/>
          <w:lang w:val="en-US"/>
        </w:rPr>
        <w:t>Epub 2009 Feb 4.</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Hill EE, Zack E, Battaglini C, Viru M, Viru A, Hackney AC.</w:t>
      </w:r>
      <w:hyperlink r:id="rId167" w:history="1">
        <w:r w:rsidRPr="008B1937">
          <w:rPr>
            <w:rStyle w:val="Lienhypertexte"/>
            <w:rFonts w:ascii="Times New Roman" w:hAnsi="Times New Roman"/>
            <w:b w:val="0"/>
            <w:bCs w:val="0"/>
            <w:color w:val="auto"/>
            <w:sz w:val="22"/>
            <w:szCs w:val="22"/>
            <w:u w:val="none"/>
            <w:lang w:val="en-GB"/>
          </w:rPr>
          <w:t>Exercise and circulating cortisol levels: the intensity threshold effect.</w:t>
        </w:r>
      </w:hyperlink>
      <w:r w:rsidRPr="007E7407">
        <w:rPr>
          <w:rFonts w:ascii="Times New Roman" w:hAnsi="Times New Roman" w:cs="Times New Roman"/>
          <w:b w:val="0"/>
          <w:bCs w:val="0"/>
          <w:sz w:val="22"/>
          <w:szCs w:val="22"/>
          <w:lang w:val="en-US"/>
        </w:rPr>
        <w:t>J Endocrinol Invest. 2008 Jul;31(7):587-91.</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eastAsia="MS Mincho" w:hAnsi="Times New Roman" w:cs="Times New Roman"/>
          <w:b w:val="0"/>
          <w:bCs w:val="0"/>
          <w:sz w:val="22"/>
          <w:szCs w:val="22"/>
          <w:lang w:val="pt-BR"/>
        </w:rPr>
        <w:t>.</w:t>
      </w:r>
      <w:r w:rsidRPr="007E7407">
        <w:rPr>
          <w:rFonts w:ascii="Times New Roman" w:hAnsi="Times New Roman" w:cs="Times New Roman"/>
          <w:b w:val="0"/>
          <w:bCs w:val="0"/>
          <w:sz w:val="22"/>
          <w:szCs w:val="22"/>
          <w:lang w:val="pt-BR"/>
        </w:rPr>
        <w:t xml:space="preserve"> Nonino-Borges CB, Martins Borges R, Bavaresco M, Suen VM, Moreira AC, Marchini JS.</w:t>
      </w:r>
      <w:hyperlink r:id="rId168" w:history="1">
        <w:r w:rsidRPr="008B1937">
          <w:rPr>
            <w:rStyle w:val="Lienhypertexte"/>
            <w:rFonts w:ascii="Times New Roman" w:hAnsi="Times New Roman"/>
            <w:b w:val="0"/>
            <w:bCs w:val="0"/>
            <w:color w:val="auto"/>
            <w:sz w:val="22"/>
            <w:szCs w:val="22"/>
            <w:u w:val="none"/>
            <w:lang w:val="en-GB"/>
          </w:rPr>
          <w:t>Influence of meal time on salivary circadian cortisol rhythms and weight loss in obese women.</w:t>
        </w:r>
      </w:hyperlink>
      <w:r w:rsidRPr="007E7407">
        <w:rPr>
          <w:rFonts w:ascii="Times New Roman" w:hAnsi="Times New Roman" w:cs="Times New Roman"/>
          <w:b w:val="0"/>
          <w:bCs w:val="0"/>
          <w:sz w:val="22"/>
          <w:szCs w:val="22"/>
          <w:lang w:val="en-US"/>
        </w:rPr>
        <w:t>Nutrition. 2007 May;23(5):385-91.</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GB"/>
        </w:rPr>
        <w:t>.</w:t>
      </w:r>
      <w:r w:rsidRPr="007E7407">
        <w:rPr>
          <w:rFonts w:ascii="Times New Roman" w:hAnsi="Times New Roman" w:cs="Times New Roman"/>
          <w:b w:val="0"/>
          <w:bCs w:val="0"/>
          <w:sz w:val="22"/>
          <w:szCs w:val="22"/>
          <w:lang w:val="en-US"/>
        </w:rPr>
        <w:t xml:space="preserve"> Badrick E, Kirschbaum C, Kumari M.</w:t>
      </w:r>
      <w:hyperlink r:id="rId169" w:history="1">
        <w:r w:rsidRPr="008B1937">
          <w:rPr>
            <w:rStyle w:val="Lienhypertexte"/>
            <w:rFonts w:ascii="Times New Roman" w:hAnsi="Times New Roman"/>
            <w:b w:val="0"/>
            <w:bCs w:val="0"/>
            <w:color w:val="auto"/>
            <w:sz w:val="22"/>
            <w:szCs w:val="22"/>
            <w:u w:val="none"/>
            <w:lang w:val="en-GB"/>
          </w:rPr>
          <w:t>The relationship between smoking status and cortisol secretion.</w:t>
        </w:r>
      </w:hyperlink>
      <w:r w:rsidRPr="007E7407">
        <w:rPr>
          <w:rFonts w:ascii="Times New Roman" w:hAnsi="Times New Roman" w:cs="Times New Roman"/>
          <w:b w:val="0"/>
          <w:bCs w:val="0"/>
          <w:sz w:val="22"/>
          <w:szCs w:val="22"/>
          <w:lang w:val="en-GB"/>
        </w:rPr>
        <w:t xml:space="preserve">J Clin Endocrinol Metab. </w:t>
      </w:r>
      <w:r w:rsidRPr="007E7407">
        <w:rPr>
          <w:rFonts w:ascii="Times New Roman" w:hAnsi="Times New Roman" w:cs="Times New Roman"/>
          <w:b w:val="0"/>
          <w:bCs w:val="0"/>
          <w:sz w:val="22"/>
          <w:szCs w:val="22"/>
          <w:lang w:val="pt-BR"/>
        </w:rPr>
        <w:t xml:space="preserve">2007 Mar;92(3):819-24. </w:t>
      </w:r>
      <w:r w:rsidRPr="007E7407">
        <w:rPr>
          <w:rFonts w:ascii="Times New Roman" w:hAnsi="Times New Roman" w:cs="Times New Roman"/>
          <w:b w:val="0"/>
          <w:bCs w:val="0"/>
          <w:sz w:val="22"/>
          <w:szCs w:val="22"/>
          <w:lang w:val="en-US"/>
        </w:rPr>
        <w:t>Epub 2006 Dec 19.</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Farag NH, Vincent AS, McKey BS, Al'Absi M, Whitsett TL, Lovallo WR.</w:t>
      </w:r>
      <w:hyperlink r:id="rId170" w:history="1">
        <w:r w:rsidRPr="008B1937">
          <w:rPr>
            <w:rStyle w:val="Lienhypertexte"/>
            <w:rFonts w:ascii="Times New Roman" w:hAnsi="Times New Roman"/>
            <w:b w:val="0"/>
            <w:bCs w:val="0"/>
            <w:color w:val="auto"/>
            <w:sz w:val="22"/>
            <w:szCs w:val="22"/>
            <w:u w:val="none"/>
            <w:lang w:val="en-GB"/>
          </w:rPr>
          <w:t>Sex differences in the hemodynamic responses to mental stress: Effect of caffeine consumption.</w:t>
        </w:r>
      </w:hyperlink>
      <w:r w:rsidRPr="007E7407">
        <w:rPr>
          <w:rFonts w:ascii="Times New Roman" w:hAnsi="Times New Roman" w:cs="Times New Roman"/>
          <w:b w:val="0"/>
          <w:bCs w:val="0"/>
          <w:sz w:val="22"/>
          <w:szCs w:val="22"/>
          <w:lang w:val="en-US"/>
        </w:rPr>
        <w:t>.Psychophysiology. 2006 Jul;43(4):337-43.</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Lovallo WR, Farag NH, Vincent AS, Thomas TL, Wilson MF.</w:t>
      </w:r>
      <w:hyperlink r:id="rId171" w:history="1">
        <w:r w:rsidRPr="008B1937">
          <w:rPr>
            <w:rStyle w:val="Lienhypertexte"/>
            <w:rFonts w:ascii="Times New Roman" w:hAnsi="Times New Roman"/>
            <w:b w:val="0"/>
            <w:bCs w:val="0"/>
            <w:color w:val="auto"/>
            <w:sz w:val="22"/>
            <w:szCs w:val="22"/>
            <w:u w:val="none"/>
            <w:lang w:val="en-GB"/>
          </w:rPr>
          <w:t>Cortisol responses to mental stress, exercise, and meals following caffeine intake in men and women.</w:t>
        </w:r>
      </w:hyperlink>
      <w:r w:rsidRPr="007E7407">
        <w:rPr>
          <w:rFonts w:ascii="Times New Roman" w:hAnsi="Times New Roman" w:cs="Times New Roman"/>
          <w:b w:val="0"/>
          <w:bCs w:val="0"/>
          <w:sz w:val="22"/>
          <w:szCs w:val="22"/>
          <w:lang w:val="en-US"/>
        </w:rPr>
        <w:t>Pharmacol Biochem Behav. 2006 Mar;83(3):441-7. Epub 2006 May 2.</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Steptoe A, Ussher M.</w:t>
      </w:r>
      <w:hyperlink r:id="rId172" w:history="1">
        <w:r w:rsidRPr="008B1937">
          <w:rPr>
            <w:rStyle w:val="Lienhypertexte"/>
            <w:rFonts w:ascii="Times New Roman" w:hAnsi="Times New Roman"/>
            <w:b w:val="0"/>
            <w:bCs w:val="0"/>
            <w:color w:val="auto"/>
            <w:sz w:val="22"/>
            <w:szCs w:val="22"/>
            <w:u w:val="none"/>
            <w:lang w:val="en-GB"/>
          </w:rPr>
          <w:t>Smoking, cortisol and nicotine.</w:t>
        </w:r>
      </w:hyperlink>
      <w:r w:rsidRPr="007E7407">
        <w:rPr>
          <w:rFonts w:ascii="Times New Roman" w:hAnsi="Times New Roman" w:cs="Times New Roman"/>
          <w:b w:val="0"/>
          <w:bCs w:val="0"/>
          <w:sz w:val="22"/>
          <w:szCs w:val="22"/>
          <w:lang w:val="en-US"/>
        </w:rPr>
        <w:t>Int J Psychophysiol. 2006 Mar;59(3):228-35. Epub 2005 Dec 6.</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805E96">
        <w:rPr>
          <w:rFonts w:ascii="Times New Roman" w:hAnsi="Times New Roman" w:cs="Times New Roman"/>
          <w:b w:val="0"/>
          <w:bCs w:val="0"/>
          <w:sz w:val="22"/>
          <w:szCs w:val="22"/>
        </w:rPr>
        <w:t xml:space="preserve"> </w:t>
      </w:r>
      <w:r w:rsidRPr="008B1937">
        <w:rPr>
          <w:rFonts w:ascii="Times New Roman" w:hAnsi="Times New Roman" w:cs="Times New Roman"/>
          <w:b w:val="0"/>
          <w:bCs w:val="0"/>
          <w:sz w:val="22"/>
          <w:szCs w:val="22"/>
        </w:rPr>
        <w:t>Leproult R, Colecchia EF, L'Hermite-Balériaux M, Van Cauter E.</w:t>
      </w:r>
      <w:hyperlink r:id="rId173" w:history="1">
        <w:r w:rsidRPr="008B1937">
          <w:rPr>
            <w:rStyle w:val="Lienhypertexte"/>
            <w:rFonts w:ascii="Times New Roman" w:hAnsi="Times New Roman"/>
            <w:b w:val="0"/>
            <w:bCs w:val="0"/>
            <w:color w:val="auto"/>
            <w:sz w:val="22"/>
            <w:szCs w:val="22"/>
            <w:u w:val="none"/>
            <w:lang w:val="en-GB"/>
          </w:rPr>
          <w:t>Transition from dim to bright light in the morning induces an immediate elevation of cortisol levels.</w:t>
        </w:r>
      </w:hyperlink>
      <w:r w:rsidRPr="007E7407">
        <w:rPr>
          <w:rFonts w:ascii="Times New Roman" w:hAnsi="Times New Roman" w:cs="Times New Roman"/>
          <w:b w:val="0"/>
          <w:bCs w:val="0"/>
          <w:sz w:val="22"/>
          <w:szCs w:val="22"/>
          <w:lang w:val="en-US"/>
        </w:rPr>
        <w:t>J Clin Endocrinol Metab. 2001 Jan;86(1):151-7.</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Hennig J, Friebe J, Ryl I, Krämer B, Böttcher J, Netter P.</w:t>
      </w:r>
      <w:hyperlink r:id="rId174" w:history="1">
        <w:r w:rsidRPr="007E7407">
          <w:rPr>
            <w:rStyle w:val="Lienhypertexte"/>
            <w:rFonts w:ascii="Times New Roman" w:hAnsi="Times New Roman"/>
            <w:b w:val="0"/>
            <w:bCs w:val="0"/>
            <w:color w:val="auto"/>
            <w:sz w:val="22"/>
            <w:szCs w:val="22"/>
            <w:u w:val="none"/>
          </w:rPr>
          <w:t>Upright posture influences salivary cortisol.</w:t>
        </w:r>
      </w:hyperlink>
      <w:r w:rsidRPr="007E7407">
        <w:rPr>
          <w:rFonts w:ascii="Times New Roman" w:hAnsi="Times New Roman" w:cs="Times New Roman"/>
          <w:b w:val="0"/>
          <w:bCs w:val="0"/>
          <w:sz w:val="22"/>
          <w:szCs w:val="22"/>
          <w:lang w:val="en-US"/>
        </w:rPr>
        <w:t>Psychoneuroendocrinology. 2000 Jan;25(1):69-83.</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GB"/>
        </w:rPr>
        <w:t>.</w:t>
      </w:r>
      <w:r w:rsidRPr="007E7407">
        <w:rPr>
          <w:rFonts w:ascii="Times New Roman" w:hAnsi="Times New Roman" w:cs="Times New Roman"/>
          <w:b w:val="0"/>
          <w:bCs w:val="0"/>
          <w:sz w:val="22"/>
          <w:szCs w:val="22"/>
          <w:lang w:val="en-US"/>
        </w:rPr>
        <w:t xml:space="preserve"> Scheer FA, Buijs RM.</w:t>
      </w:r>
      <w:hyperlink r:id="rId175" w:history="1">
        <w:r w:rsidRPr="008B1937">
          <w:rPr>
            <w:rStyle w:val="Lienhypertexte"/>
            <w:rFonts w:ascii="Times New Roman" w:hAnsi="Times New Roman"/>
            <w:b w:val="0"/>
            <w:bCs w:val="0"/>
            <w:color w:val="auto"/>
            <w:sz w:val="22"/>
            <w:szCs w:val="22"/>
            <w:u w:val="none"/>
            <w:lang w:val="en-GB"/>
          </w:rPr>
          <w:t>Light affects morning salivary cortisol in humans.</w:t>
        </w:r>
      </w:hyperlink>
      <w:r w:rsidRPr="007E7407">
        <w:rPr>
          <w:rFonts w:ascii="Times New Roman" w:hAnsi="Times New Roman" w:cs="Times New Roman"/>
          <w:b w:val="0"/>
          <w:bCs w:val="0"/>
          <w:sz w:val="22"/>
          <w:szCs w:val="22"/>
          <w:lang w:val="en-US"/>
        </w:rPr>
        <w:t>J Clin Endocrinol Metab. 1999 Sep;84(9):3395-8.</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Follenius M, Brandenberger G, Hietter B</w:t>
      </w:r>
      <w:r w:rsidRPr="007E7407">
        <w:rPr>
          <w:rFonts w:ascii="Times New Roman" w:hAnsi="Times New Roman" w:cs="Times New Roman"/>
          <w:b w:val="0"/>
          <w:bCs w:val="0"/>
          <w:sz w:val="22"/>
          <w:szCs w:val="22"/>
          <w:lang w:val="en-GB"/>
        </w:rPr>
        <w:t>.</w:t>
      </w:r>
      <w:hyperlink r:id="rId176" w:history="1">
        <w:r w:rsidRPr="008B1937">
          <w:rPr>
            <w:rStyle w:val="Lienhypertexte"/>
            <w:rFonts w:ascii="Times New Roman" w:hAnsi="Times New Roman"/>
            <w:b w:val="0"/>
            <w:bCs w:val="0"/>
            <w:color w:val="auto"/>
            <w:sz w:val="22"/>
            <w:szCs w:val="22"/>
            <w:u w:val="none"/>
            <w:lang w:val="en-GB"/>
          </w:rPr>
          <w:t>Diurnal cortisol peaks and their relationships to meals.</w:t>
        </w:r>
      </w:hyperlink>
      <w:r w:rsidRPr="007E7407">
        <w:rPr>
          <w:rFonts w:ascii="Times New Roman" w:hAnsi="Times New Roman" w:cs="Times New Roman"/>
          <w:b w:val="0"/>
          <w:bCs w:val="0"/>
          <w:sz w:val="22"/>
          <w:szCs w:val="22"/>
          <w:lang w:val="en-US"/>
        </w:rPr>
        <w:t>J Clin Endocrinol Metab. 1982 Oct;55(4):757-61.</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w:t>
      </w:r>
      <w:r w:rsidRPr="007E7407">
        <w:rPr>
          <w:rFonts w:ascii="Times New Roman" w:hAnsi="Times New Roman" w:cs="Times New Roman"/>
          <w:b w:val="0"/>
          <w:bCs w:val="0"/>
          <w:sz w:val="22"/>
          <w:szCs w:val="22"/>
          <w:lang w:val="en-GB"/>
        </w:rPr>
        <w:t>Gatti R, De Palo EF</w:t>
      </w:r>
      <w:hyperlink r:id="rId177" w:history="1">
        <w:r w:rsidRPr="008B1937">
          <w:rPr>
            <w:rStyle w:val="Lienhypertexte"/>
            <w:rFonts w:ascii="Times New Roman" w:hAnsi="Times New Roman"/>
            <w:b w:val="0"/>
            <w:bCs w:val="0"/>
            <w:color w:val="auto"/>
            <w:sz w:val="22"/>
            <w:szCs w:val="22"/>
            <w:u w:val="none"/>
            <w:lang w:val="en-GB"/>
          </w:rPr>
          <w:t>An update: salivary hormones and physical exercise.</w:t>
        </w:r>
      </w:hyperlink>
      <w:r w:rsidRPr="007E7407">
        <w:rPr>
          <w:rFonts w:ascii="Times New Roman" w:hAnsi="Times New Roman" w:cs="Times New Roman"/>
          <w:b w:val="0"/>
          <w:bCs w:val="0"/>
          <w:sz w:val="22"/>
          <w:szCs w:val="22"/>
          <w:lang w:val="en-US"/>
        </w:rPr>
        <w:t xml:space="preserve">Scand J Med Sci Sports. </w:t>
      </w:r>
      <w:r w:rsidRPr="007E7407">
        <w:rPr>
          <w:rFonts w:ascii="Times New Roman" w:hAnsi="Times New Roman" w:cs="Times New Roman"/>
          <w:b w:val="0"/>
          <w:bCs w:val="0"/>
          <w:sz w:val="22"/>
          <w:szCs w:val="22"/>
          <w:lang w:val="pt-BR"/>
        </w:rPr>
        <w:t xml:space="preserve">2011 Apr;21(2):157-69. doi: 10.1111/j.1600-0838.2010.01252.x. Epub 2010 Dec 3. </w:t>
      </w:r>
      <w:r w:rsidRPr="007E7407">
        <w:rPr>
          <w:rFonts w:ascii="Times New Roman" w:hAnsi="Times New Roman" w:cs="Times New Roman"/>
          <w:b w:val="0"/>
          <w:bCs w:val="0"/>
          <w:sz w:val="22"/>
          <w:szCs w:val="22"/>
          <w:lang w:val="en-US"/>
        </w:rPr>
        <w:t>Review.</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lang w:val="en-US"/>
        </w:rPr>
        <w:t xml:space="preserve"> Knorr U, Vinberg M, Kessing LV, Wetterslev J.</w:t>
      </w:r>
      <w:hyperlink r:id="rId178" w:history="1">
        <w:r w:rsidRPr="008B1937">
          <w:rPr>
            <w:rStyle w:val="Lienhypertexte"/>
            <w:rFonts w:ascii="Times New Roman" w:hAnsi="Times New Roman"/>
            <w:b w:val="0"/>
            <w:bCs w:val="0"/>
            <w:color w:val="auto"/>
            <w:sz w:val="22"/>
            <w:szCs w:val="22"/>
            <w:u w:val="none"/>
            <w:lang w:val="en-GB"/>
          </w:rPr>
          <w:t>Salivary cortisol in depressed patients versus control persons: a systematic review and meta-analysis.</w:t>
        </w:r>
      </w:hyperlink>
      <w:r w:rsidRPr="007E7407">
        <w:rPr>
          <w:rFonts w:ascii="Times New Roman" w:hAnsi="Times New Roman" w:cs="Times New Roman"/>
          <w:b w:val="0"/>
          <w:bCs w:val="0"/>
          <w:sz w:val="22"/>
          <w:szCs w:val="22"/>
        </w:rPr>
        <w:t xml:space="preserve">Psychoneuroendocrinology. 2010 Oct;35(9):1275-86. </w:t>
      </w:r>
    </w:p>
    <w:p w:rsidR="00AC113A" w:rsidRPr="007E7407" w:rsidRDefault="00AC113A">
      <w:pPr>
        <w:pStyle w:val="Corpsdetexte"/>
        <w:spacing w:after="0"/>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lang w:val="pt-BR"/>
        </w:rPr>
        <w:t>Granger DA, Hibel LC, Fortunato CK, Kapelewski CH..</w:t>
      </w:r>
      <w:hyperlink r:id="rId179" w:history="1">
        <w:r w:rsidRPr="008B1937">
          <w:rPr>
            <w:rStyle w:val="Lienhypertexte"/>
            <w:rFonts w:ascii="Times New Roman" w:hAnsi="Times New Roman"/>
            <w:b w:val="0"/>
            <w:bCs w:val="0"/>
            <w:color w:val="auto"/>
            <w:sz w:val="22"/>
            <w:szCs w:val="22"/>
            <w:u w:val="none"/>
            <w:lang w:val="en-GB"/>
          </w:rPr>
          <w:t>Medication effects on salivary cortisol: tactics and strategy to minimize impact in behavioral and developmental science.</w:t>
        </w:r>
      </w:hyperlink>
      <w:r w:rsidRPr="007E7407">
        <w:rPr>
          <w:rFonts w:ascii="Times New Roman" w:hAnsi="Times New Roman" w:cs="Times New Roman"/>
          <w:b w:val="0"/>
          <w:bCs w:val="0"/>
          <w:sz w:val="22"/>
          <w:szCs w:val="22"/>
        </w:rPr>
        <w:t xml:space="preserve">Psychoneuroendocrinology. 2009 Nov;34(10):1437-48. </w:t>
      </w:r>
    </w:p>
    <w:p w:rsidR="00AC113A" w:rsidRPr="007E7407" w:rsidRDefault="00AC113A">
      <w:pPr>
        <w:pStyle w:val="Corpsdetexte"/>
        <w:spacing w:after="0"/>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180" w:history="1">
        <w:r w:rsidRPr="008B1937">
          <w:rPr>
            <w:rStyle w:val="Lienhypertexte"/>
            <w:rFonts w:ascii="Times New Roman" w:hAnsi="Times New Roman"/>
            <w:b w:val="0"/>
            <w:bCs w:val="0"/>
            <w:color w:val="auto"/>
            <w:sz w:val="22"/>
            <w:szCs w:val="22"/>
            <w:u w:val="none"/>
            <w:lang w:val="en-GB"/>
          </w:rPr>
          <w:t>Kudielka BM</w:t>
        </w:r>
      </w:hyperlink>
      <w:r w:rsidRPr="007E7407">
        <w:rPr>
          <w:rFonts w:ascii="Times New Roman" w:hAnsi="Times New Roman" w:cs="Times New Roman"/>
          <w:b w:val="0"/>
          <w:bCs w:val="0"/>
          <w:sz w:val="22"/>
          <w:szCs w:val="22"/>
          <w:lang w:val="en-US"/>
        </w:rPr>
        <w:t xml:space="preserve">, </w:t>
      </w:r>
      <w:hyperlink r:id="rId181" w:history="1">
        <w:r w:rsidRPr="008B1937">
          <w:rPr>
            <w:rStyle w:val="Lienhypertexte"/>
            <w:rFonts w:ascii="Times New Roman" w:hAnsi="Times New Roman"/>
            <w:b w:val="0"/>
            <w:bCs w:val="0"/>
            <w:color w:val="auto"/>
            <w:sz w:val="22"/>
            <w:szCs w:val="22"/>
            <w:u w:val="none"/>
            <w:lang w:val="en-GB"/>
          </w:rPr>
          <w:t>Hellhammer DH</w:t>
        </w:r>
      </w:hyperlink>
      <w:r w:rsidRPr="007E7407">
        <w:rPr>
          <w:rFonts w:ascii="Times New Roman" w:hAnsi="Times New Roman" w:cs="Times New Roman"/>
          <w:b w:val="0"/>
          <w:bCs w:val="0"/>
          <w:sz w:val="22"/>
          <w:szCs w:val="22"/>
          <w:lang w:val="en-US"/>
        </w:rPr>
        <w:t xml:space="preserve">, </w:t>
      </w:r>
      <w:hyperlink r:id="rId182" w:history="1">
        <w:r w:rsidRPr="008B1937">
          <w:rPr>
            <w:rStyle w:val="Lienhypertexte"/>
            <w:rFonts w:ascii="Times New Roman" w:hAnsi="Times New Roman"/>
            <w:b w:val="0"/>
            <w:bCs w:val="0"/>
            <w:color w:val="auto"/>
            <w:sz w:val="22"/>
            <w:szCs w:val="22"/>
            <w:u w:val="none"/>
            <w:lang w:val="en-GB"/>
          </w:rPr>
          <w:t>Wüst S</w:t>
        </w:r>
      </w:hyperlink>
      <w:r w:rsidRPr="007E7407">
        <w:rPr>
          <w:rFonts w:ascii="Times New Roman" w:hAnsi="Times New Roman" w:cs="Times New Roman"/>
          <w:b w:val="0"/>
          <w:bCs w:val="0"/>
          <w:sz w:val="22"/>
          <w:szCs w:val="22"/>
          <w:lang w:val="en-US"/>
        </w:rPr>
        <w:t>.Why do we respond so differently? Reviewing determinants of human salivary cortisol responses to challenge.</w:t>
      </w:r>
      <w:hyperlink r:id="rId183" w:history="1">
        <w:r w:rsidRPr="008B1937">
          <w:rPr>
            <w:rStyle w:val="Lienhypertexte"/>
            <w:rFonts w:ascii="Times New Roman" w:hAnsi="Times New Roman"/>
            <w:b w:val="0"/>
            <w:bCs w:val="0"/>
            <w:color w:val="auto"/>
            <w:sz w:val="22"/>
            <w:szCs w:val="22"/>
            <w:u w:val="none"/>
            <w:lang w:val="en-GB"/>
          </w:rPr>
          <w:t>Psychoneuroendocrinology.</w:t>
        </w:r>
      </w:hyperlink>
      <w:r w:rsidRPr="007E7407">
        <w:rPr>
          <w:rFonts w:ascii="Times New Roman" w:hAnsi="Times New Roman" w:cs="Times New Roman"/>
          <w:b w:val="0"/>
          <w:bCs w:val="0"/>
          <w:sz w:val="22"/>
          <w:szCs w:val="22"/>
          <w:lang w:val="en-GB"/>
        </w:rPr>
        <w:t xml:space="preserve"> 2009 Jan;34(1):2-18. doi: 10.1016/j.psyneuen.2008.10.004. Epub 2008 Nov 28.</w:t>
      </w:r>
    </w:p>
    <w:p w:rsidR="00AC113A" w:rsidRPr="007E7407" w:rsidRDefault="00AC113A">
      <w:pPr>
        <w:pStyle w:val="Corpsdetexte"/>
        <w:spacing w:after="0"/>
        <w:rPr>
          <w:rFonts w:cs="Times New Roman"/>
          <w:sz w:val="22"/>
          <w:szCs w:val="22"/>
          <w:lang w:val="en-US"/>
        </w:rPr>
      </w:pP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GB"/>
        </w:rPr>
      </w:pPr>
      <w:r w:rsidRPr="008B1937">
        <w:rPr>
          <w:rFonts w:ascii="Times New Roman" w:hAnsi="Times New Roman" w:cs="Times New Roman"/>
          <w:b w:val="0"/>
          <w:bCs w:val="0"/>
          <w:sz w:val="22"/>
          <w:szCs w:val="22"/>
        </w:rPr>
        <w:t>Kumari M, Badrick E, Chandola T, Adler NE, Epel E, Seeman T, Kirschbaum C, Marmot MG.</w:t>
      </w:r>
      <w:hyperlink r:id="rId184" w:history="1">
        <w:r w:rsidRPr="008B1937">
          <w:rPr>
            <w:rStyle w:val="Lienhypertexte"/>
            <w:rFonts w:ascii="Times New Roman" w:hAnsi="Times New Roman"/>
            <w:b w:val="0"/>
            <w:bCs w:val="0"/>
            <w:color w:val="auto"/>
            <w:sz w:val="22"/>
            <w:szCs w:val="22"/>
            <w:u w:val="none"/>
            <w:lang w:val="en-GB"/>
          </w:rPr>
          <w:t>Measures of social position and cortisol secretion in an aging population: findings from the Whitehall II study.</w:t>
        </w:r>
      </w:hyperlink>
      <w:r w:rsidRPr="007E7407">
        <w:rPr>
          <w:rFonts w:ascii="Times New Roman" w:hAnsi="Times New Roman" w:cs="Times New Roman"/>
          <w:b w:val="0"/>
          <w:bCs w:val="0"/>
          <w:sz w:val="22"/>
          <w:szCs w:val="22"/>
          <w:lang w:val="en-US"/>
        </w:rPr>
        <w:t>Psychosom Med. 2010 Jan;72(1):27-34. doi: 10.1097/PSY.0b013e3181c85712. Epub 2009 Dec 7.</w:t>
      </w:r>
    </w:p>
    <w:p w:rsidR="00AC113A" w:rsidRPr="007E7407" w:rsidRDefault="00AC113A">
      <w:pPr>
        <w:pStyle w:val="Corpsdetexte"/>
        <w:spacing w:after="0"/>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lastRenderedPageBreak/>
        <w:t xml:space="preserve"> Kumari M, Badrick E, Chandola T, Adam EK, Stafford M, Marmot MG, Kirschbaum C, Kivimaki M.</w:t>
      </w:r>
      <w:hyperlink r:id="rId185" w:history="1">
        <w:r w:rsidRPr="008B1937">
          <w:rPr>
            <w:rStyle w:val="Lienhypertexte"/>
            <w:rFonts w:ascii="Times New Roman" w:hAnsi="Times New Roman"/>
            <w:b w:val="0"/>
            <w:bCs w:val="0"/>
            <w:color w:val="auto"/>
            <w:sz w:val="22"/>
            <w:szCs w:val="22"/>
            <w:u w:val="none"/>
            <w:lang w:val="en-GB"/>
          </w:rPr>
          <w:t>Cortisol secretion and fatigue: associations in a community based cohort.</w:t>
        </w:r>
      </w:hyperlink>
      <w:r w:rsidRPr="007E7407">
        <w:rPr>
          <w:rFonts w:ascii="Times New Roman" w:hAnsi="Times New Roman" w:cs="Times New Roman"/>
          <w:b w:val="0"/>
          <w:bCs w:val="0"/>
          <w:sz w:val="22"/>
          <w:szCs w:val="22"/>
          <w:lang w:val="en-US"/>
        </w:rPr>
        <w:t>Psychoneuroendocrinology. 2009 Nov;34(10):1476-85. doi: 10.1016/j.psyneuen.2009.05.001. Epub 2009 Jun 3.</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Kudielka BM, Kirschbaum C.</w:t>
      </w:r>
      <w:hyperlink r:id="rId186" w:history="1">
        <w:r w:rsidRPr="008B1937">
          <w:rPr>
            <w:rStyle w:val="Lienhypertexte"/>
            <w:rFonts w:ascii="Times New Roman" w:hAnsi="Times New Roman"/>
            <w:b w:val="0"/>
            <w:bCs w:val="0"/>
            <w:color w:val="auto"/>
            <w:sz w:val="22"/>
            <w:szCs w:val="22"/>
            <w:u w:val="none"/>
            <w:lang w:val="en-GB"/>
          </w:rPr>
          <w:t>Sex differences in HPA axis responses to stress: a review.</w:t>
        </w:r>
      </w:hyperlink>
      <w:r w:rsidRPr="007E7407">
        <w:rPr>
          <w:rFonts w:ascii="Times New Roman" w:hAnsi="Times New Roman" w:cs="Times New Roman"/>
          <w:b w:val="0"/>
          <w:bCs w:val="0"/>
          <w:sz w:val="22"/>
          <w:szCs w:val="22"/>
          <w:lang w:val="en-US"/>
        </w:rPr>
        <w:t xml:space="preserve">Biol Psychol. 2005 Apr;69(1):113-32. Epub 2004 Dec 25. Review. No abstract available. </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Kudielka BM, Kirschbaum C. </w:t>
      </w:r>
      <w:hyperlink r:id="rId187" w:history="1">
        <w:r w:rsidRPr="008B1937">
          <w:rPr>
            <w:rStyle w:val="Lienhypertexte"/>
            <w:rFonts w:ascii="Times New Roman" w:hAnsi="Times New Roman"/>
            <w:b w:val="0"/>
            <w:bCs w:val="0"/>
            <w:color w:val="auto"/>
            <w:sz w:val="22"/>
            <w:szCs w:val="22"/>
            <w:u w:val="none"/>
            <w:lang w:val="en-GB"/>
          </w:rPr>
          <w:t>Sex differences in HPA axis responses to stress: a review.</w:t>
        </w:r>
      </w:hyperlink>
      <w:r w:rsidRPr="007E7407">
        <w:rPr>
          <w:rFonts w:ascii="Times New Roman" w:hAnsi="Times New Roman" w:cs="Times New Roman"/>
          <w:b w:val="0"/>
          <w:bCs w:val="0"/>
          <w:sz w:val="22"/>
          <w:szCs w:val="22"/>
          <w:lang w:val="en-US"/>
        </w:rPr>
        <w:t xml:space="preserve">Biol Psychol. 2005 Apr;69(1):113-32. Epub 2004 Dec 25. </w:t>
      </w:r>
      <w:r w:rsidRPr="007E7407">
        <w:rPr>
          <w:rFonts w:ascii="Times New Roman" w:hAnsi="Times New Roman" w:cs="Times New Roman"/>
          <w:b w:val="0"/>
          <w:bCs w:val="0"/>
          <w:sz w:val="22"/>
          <w:szCs w:val="22"/>
        </w:rPr>
        <w:t>Review</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lang w:val="pt-BR"/>
        </w:rPr>
        <w:t xml:space="preserve">Paris JJ, Franco C, Sodano R, Freidenberg B, Gordis E, Anderson DA, Forsyth JP, Wulfert E, Frye CA. </w:t>
      </w:r>
      <w:hyperlink r:id="rId188" w:history="1">
        <w:r w:rsidRPr="008B1937">
          <w:rPr>
            <w:rStyle w:val="Lienhypertexte"/>
            <w:rFonts w:ascii="Times New Roman" w:hAnsi="Times New Roman"/>
            <w:b w:val="0"/>
            <w:bCs w:val="0"/>
            <w:color w:val="auto"/>
            <w:sz w:val="22"/>
            <w:szCs w:val="22"/>
            <w:u w:val="none"/>
            <w:lang w:val="en-GB"/>
          </w:rPr>
          <w:t>Sex differences in salivary cortisol in response to acute stressors among healthy participants, in recreational or pathological gamblers, and in those with posttraumatic stress disorder.</w:t>
        </w:r>
      </w:hyperlink>
      <w:r w:rsidRPr="007E7407">
        <w:rPr>
          <w:rFonts w:ascii="Times New Roman" w:hAnsi="Times New Roman" w:cs="Times New Roman"/>
          <w:b w:val="0"/>
          <w:bCs w:val="0"/>
          <w:sz w:val="22"/>
          <w:szCs w:val="22"/>
          <w:lang w:val="en-US"/>
        </w:rPr>
        <w:t>Horm Behav. 2010 Jan;57(1):35-45. doi: 10.1016/j.yhbeh.2009.06.003. Epub 2009 Jun 16. Review.</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rPr>
        <w:t xml:space="preserve">Kirschbaum C, Kudielka BM, Gaab J, Schommer NC, Hellhammer DH. </w:t>
      </w:r>
      <w:hyperlink r:id="rId189" w:history="1">
        <w:r w:rsidRPr="008B1937">
          <w:rPr>
            <w:rStyle w:val="Lienhypertexte"/>
            <w:rFonts w:ascii="Times New Roman" w:hAnsi="Times New Roman"/>
            <w:b w:val="0"/>
            <w:bCs w:val="0"/>
            <w:color w:val="auto"/>
            <w:sz w:val="22"/>
            <w:szCs w:val="22"/>
            <w:u w:val="none"/>
            <w:lang w:val="en-GB"/>
          </w:rPr>
          <w:t>Impact of gender, menstrual cycle phase, and oral contraceptives on the activity of the hypothalamus-pituitary-adrenal axis.</w:t>
        </w:r>
      </w:hyperlink>
      <w:r w:rsidRPr="007E7407">
        <w:rPr>
          <w:rStyle w:val="jrnl"/>
          <w:rFonts w:ascii="Times New Roman" w:hAnsi="Times New Roman"/>
          <w:b w:val="0"/>
          <w:bCs w:val="0"/>
          <w:sz w:val="22"/>
          <w:szCs w:val="22"/>
          <w:lang w:val="en-US"/>
        </w:rPr>
        <w:t>Psychosom Med</w:t>
      </w:r>
      <w:r w:rsidRPr="007E7407">
        <w:rPr>
          <w:rFonts w:ascii="Times New Roman" w:hAnsi="Times New Roman" w:cs="Times New Roman"/>
          <w:b w:val="0"/>
          <w:bCs w:val="0"/>
          <w:sz w:val="22"/>
          <w:szCs w:val="22"/>
          <w:lang w:val="en-US"/>
        </w:rPr>
        <w:t>. 1999 Mar-Apr;61(2):154-62</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190" w:history="1">
        <w:r w:rsidRPr="008B1937">
          <w:rPr>
            <w:rStyle w:val="Lienhypertexte"/>
            <w:rFonts w:ascii="Times New Roman" w:hAnsi="Times New Roman"/>
            <w:b w:val="0"/>
            <w:bCs w:val="0"/>
            <w:color w:val="auto"/>
            <w:sz w:val="22"/>
            <w:szCs w:val="22"/>
            <w:u w:val="none"/>
            <w:lang w:val="en-GB"/>
          </w:rPr>
          <w:t>Swanson NG</w:t>
        </w:r>
      </w:hyperlink>
      <w:r w:rsidRPr="007E7407">
        <w:rPr>
          <w:rFonts w:ascii="Times New Roman" w:hAnsi="Times New Roman" w:cs="Times New Roman"/>
          <w:b w:val="0"/>
          <w:bCs w:val="0"/>
          <w:sz w:val="22"/>
          <w:szCs w:val="22"/>
          <w:lang w:val="en-US"/>
        </w:rPr>
        <w:t xml:space="preserve"> Working women and stress</w:t>
      </w:r>
      <w:hyperlink r:id="rId191" w:history="1">
        <w:r w:rsidRPr="008B1937">
          <w:rPr>
            <w:rStyle w:val="Lienhypertexte"/>
            <w:rFonts w:ascii="Times New Roman" w:hAnsi="Times New Roman"/>
            <w:b w:val="0"/>
            <w:bCs w:val="0"/>
            <w:color w:val="auto"/>
            <w:sz w:val="22"/>
            <w:szCs w:val="22"/>
            <w:u w:val="none"/>
            <w:lang w:val="en-GB"/>
          </w:rPr>
          <w:t>J Am Med Womens Assoc.</w:t>
        </w:r>
      </w:hyperlink>
      <w:r w:rsidRPr="007E7407">
        <w:rPr>
          <w:rFonts w:ascii="Times New Roman" w:hAnsi="Times New Roman" w:cs="Times New Roman"/>
          <w:b w:val="0"/>
          <w:bCs w:val="0"/>
          <w:sz w:val="22"/>
          <w:szCs w:val="22"/>
          <w:lang w:val="en-US"/>
        </w:rPr>
        <w:t xml:space="preserve"> </w:t>
      </w:r>
      <w:r w:rsidRPr="007E7407">
        <w:rPr>
          <w:rFonts w:ascii="Times New Roman" w:hAnsi="Times New Roman" w:cs="Times New Roman"/>
          <w:b w:val="0"/>
          <w:bCs w:val="0"/>
          <w:sz w:val="22"/>
          <w:szCs w:val="22"/>
        </w:rPr>
        <w:t>2000 Spring;55(2):76-9.</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Liening SH, Stanton SJ, Saini EK, Schultheiss OC. </w:t>
      </w:r>
      <w:hyperlink r:id="rId192" w:history="1">
        <w:r w:rsidRPr="008B1937">
          <w:rPr>
            <w:rStyle w:val="Lienhypertexte"/>
            <w:rFonts w:ascii="Times New Roman" w:hAnsi="Times New Roman"/>
            <w:b w:val="0"/>
            <w:bCs w:val="0"/>
            <w:color w:val="auto"/>
            <w:sz w:val="22"/>
            <w:szCs w:val="22"/>
            <w:u w:val="none"/>
            <w:lang w:val="en-GB"/>
          </w:rPr>
          <w:t>Salivary testosterone, cortisol, and progesterone: two-week stability, interhormone correlations, and effects of time of day, menstrual cycle, and oral contraceptive use on steroid hormone levels.</w:t>
        </w:r>
      </w:hyperlink>
      <w:r w:rsidRPr="007E7407">
        <w:rPr>
          <w:rStyle w:val="jrnl"/>
          <w:rFonts w:ascii="Times New Roman" w:hAnsi="Times New Roman"/>
          <w:b w:val="0"/>
          <w:bCs w:val="0"/>
          <w:sz w:val="22"/>
          <w:szCs w:val="22"/>
          <w:lang w:val="en-US"/>
        </w:rPr>
        <w:t>Physiol Behav</w:t>
      </w:r>
      <w:r w:rsidRPr="007E7407">
        <w:rPr>
          <w:rFonts w:ascii="Times New Roman" w:hAnsi="Times New Roman" w:cs="Times New Roman"/>
          <w:b w:val="0"/>
          <w:bCs w:val="0"/>
          <w:sz w:val="22"/>
          <w:szCs w:val="22"/>
          <w:lang w:val="en-US"/>
        </w:rPr>
        <w:t>. 2010 Jan 12;99(1):8-16</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pt-BR"/>
        </w:rPr>
        <w:t xml:space="preserve">Gatti R, De Palo EF. </w:t>
      </w:r>
      <w:hyperlink r:id="rId193" w:history="1">
        <w:r w:rsidRPr="008B1937">
          <w:rPr>
            <w:rStyle w:val="Lienhypertexte"/>
            <w:rFonts w:ascii="Times New Roman" w:hAnsi="Times New Roman"/>
            <w:b w:val="0"/>
            <w:bCs w:val="0"/>
            <w:color w:val="auto"/>
            <w:sz w:val="22"/>
            <w:szCs w:val="22"/>
            <w:u w:val="none"/>
            <w:lang w:val="en-GB"/>
          </w:rPr>
          <w:t>An update: salivary hormones and physical exercise.</w:t>
        </w:r>
      </w:hyperlink>
      <w:r w:rsidRPr="007E7407">
        <w:rPr>
          <w:rFonts w:ascii="Times New Roman" w:hAnsi="Times New Roman" w:cs="Times New Roman"/>
          <w:b w:val="0"/>
          <w:bCs w:val="0"/>
          <w:sz w:val="22"/>
          <w:szCs w:val="22"/>
          <w:lang w:val="en-US"/>
        </w:rPr>
        <w:t>Scand J Med Sci Sports. 2011 Apr;21(2):157-69</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lang w:val="en-US"/>
        </w:rPr>
        <w:t>Knorr U, Vinberg M, Kessing LV, Wetterslev J</w:t>
      </w:r>
      <w:hyperlink r:id="rId194" w:history="1">
        <w:r w:rsidRPr="008B1937">
          <w:rPr>
            <w:rStyle w:val="Lienhypertexte"/>
            <w:rFonts w:ascii="Times New Roman" w:hAnsi="Times New Roman"/>
            <w:b w:val="0"/>
            <w:bCs w:val="0"/>
            <w:color w:val="auto"/>
            <w:sz w:val="22"/>
            <w:szCs w:val="22"/>
            <w:u w:val="none"/>
            <w:lang w:val="en-GB"/>
          </w:rPr>
          <w:t>Salivary cortisol in depressed patients versus control persons: a systematic review and meta-analysis.</w:t>
        </w:r>
      </w:hyperlink>
      <w:r w:rsidRPr="007E7407">
        <w:rPr>
          <w:rFonts w:ascii="Times New Roman" w:hAnsi="Times New Roman" w:cs="Times New Roman"/>
          <w:b w:val="0"/>
          <w:bCs w:val="0"/>
          <w:sz w:val="22"/>
          <w:szCs w:val="22"/>
        </w:rPr>
        <w:t>Psychoneuroendocrinology. 2010 Oct;35(9):1275-86</w:t>
      </w:r>
    </w:p>
    <w:p w:rsidR="00AC113A" w:rsidRPr="007E7407" w:rsidRDefault="00AC113A">
      <w:pPr>
        <w:pStyle w:val="Corpsdetexte"/>
        <w:spacing w:after="0"/>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GB"/>
        </w:rPr>
      </w:pPr>
      <w:hyperlink r:id="rId195" w:history="1">
        <w:r w:rsidRPr="008B1937">
          <w:rPr>
            <w:rStyle w:val="Lienhypertexte"/>
            <w:rFonts w:ascii="Times New Roman" w:hAnsi="Times New Roman"/>
            <w:b w:val="0"/>
            <w:bCs w:val="0"/>
            <w:color w:val="auto"/>
            <w:sz w:val="22"/>
            <w:szCs w:val="22"/>
            <w:u w:val="none"/>
            <w:lang w:val="en-GB"/>
          </w:rPr>
          <w:t>Sapolsky RM</w:t>
        </w:r>
      </w:hyperlink>
      <w:r w:rsidRPr="007E7407">
        <w:rPr>
          <w:rFonts w:ascii="Times New Roman" w:hAnsi="Times New Roman" w:cs="Times New Roman"/>
          <w:b w:val="0"/>
          <w:bCs w:val="0"/>
          <w:sz w:val="22"/>
          <w:szCs w:val="22"/>
          <w:lang w:val="en-GB"/>
        </w:rPr>
        <w:t xml:space="preserve">, </w:t>
      </w:r>
      <w:hyperlink r:id="rId196" w:history="1">
        <w:r w:rsidRPr="008B1937">
          <w:rPr>
            <w:rStyle w:val="Lienhypertexte"/>
            <w:rFonts w:ascii="Times New Roman" w:hAnsi="Times New Roman"/>
            <w:b w:val="0"/>
            <w:bCs w:val="0"/>
            <w:color w:val="auto"/>
            <w:sz w:val="22"/>
            <w:szCs w:val="22"/>
            <w:u w:val="none"/>
            <w:lang w:val="en-GB"/>
          </w:rPr>
          <w:t>Krey LC</w:t>
        </w:r>
      </w:hyperlink>
      <w:r w:rsidRPr="007E7407">
        <w:rPr>
          <w:rFonts w:ascii="Times New Roman" w:hAnsi="Times New Roman" w:cs="Times New Roman"/>
          <w:b w:val="0"/>
          <w:bCs w:val="0"/>
          <w:sz w:val="22"/>
          <w:szCs w:val="22"/>
          <w:lang w:val="en-GB"/>
        </w:rPr>
        <w:t xml:space="preserve">, </w:t>
      </w:r>
      <w:hyperlink r:id="rId197" w:history="1">
        <w:r w:rsidRPr="008B1937">
          <w:rPr>
            <w:rStyle w:val="Lienhypertexte"/>
            <w:rFonts w:ascii="Times New Roman" w:hAnsi="Times New Roman"/>
            <w:b w:val="0"/>
            <w:bCs w:val="0"/>
            <w:color w:val="auto"/>
            <w:sz w:val="22"/>
            <w:szCs w:val="22"/>
            <w:u w:val="none"/>
            <w:lang w:val="en-GB"/>
          </w:rPr>
          <w:t>McEwen BS</w:t>
        </w:r>
      </w:hyperlink>
      <w:r w:rsidRPr="007E7407">
        <w:rPr>
          <w:rFonts w:ascii="Times New Roman" w:hAnsi="Times New Roman" w:cs="Times New Roman"/>
          <w:b w:val="0"/>
          <w:bCs w:val="0"/>
          <w:sz w:val="22"/>
          <w:szCs w:val="22"/>
          <w:lang w:val="en-GB"/>
        </w:rPr>
        <w:t>. The neuroendocrinology of stress and aging: the glucocorticoid cascade hypothesis</w:t>
      </w:r>
      <w:hyperlink r:id="rId198" w:history="1">
        <w:r w:rsidRPr="008B1937">
          <w:rPr>
            <w:rStyle w:val="Lienhypertexte"/>
            <w:rFonts w:ascii="Times New Roman" w:hAnsi="Times New Roman"/>
            <w:b w:val="0"/>
            <w:bCs w:val="0"/>
            <w:color w:val="auto"/>
            <w:sz w:val="22"/>
            <w:szCs w:val="22"/>
            <w:u w:val="none"/>
            <w:lang w:val="en-GB"/>
          </w:rPr>
          <w:t>Endocr Rev.</w:t>
        </w:r>
      </w:hyperlink>
      <w:r w:rsidRPr="007E7407">
        <w:rPr>
          <w:rFonts w:ascii="Times New Roman" w:hAnsi="Times New Roman" w:cs="Times New Roman"/>
          <w:b w:val="0"/>
          <w:bCs w:val="0"/>
          <w:sz w:val="22"/>
          <w:szCs w:val="22"/>
          <w:lang w:val="en-GB"/>
        </w:rPr>
        <w:t xml:space="preserve"> 1986 Aug;7(3):284-301</w:t>
      </w:r>
    </w:p>
    <w:p w:rsidR="00AC113A" w:rsidRPr="007E7407" w:rsidRDefault="00AC113A">
      <w:pPr>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rPr>
      </w:pPr>
      <w:hyperlink r:id="rId199" w:history="1">
        <w:r w:rsidRPr="008B1937">
          <w:rPr>
            <w:rStyle w:val="Lienhypertexte"/>
            <w:rFonts w:ascii="Times New Roman" w:hAnsi="Times New Roman"/>
            <w:b w:val="0"/>
            <w:bCs w:val="0"/>
            <w:color w:val="auto"/>
            <w:sz w:val="22"/>
            <w:szCs w:val="22"/>
            <w:u w:val="none"/>
            <w:lang w:val="en-GB"/>
          </w:rPr>
          <w:t>Herman JP</w:t>
        </w:r>
      </w:hyperlink>
      <w:r w:rsidRPr="007E7407">
        <w:rPr>
          <w:rFonts w:ascii="Times New Roman" w:hAnsi="Times New Roman" w:cs="Times New Roman"/>
          <w:b w:val="0"/>
          <w:bCs w:val="0"/>
          <w:sz w:val="22"/>
          <w:szCs w:val="22"/>
          <w:lang w:val="en-GB"/>
        </w:rPr>
        <w:t xml:space="preserve">, </w:t>
      </w:r>
      <w:hyperlink r:id="rId200" w:history="1">
        <w:r w:rsidRPr="008B1937">
          <w:rPr>
            <w:rStyle w:val="Lienhypertexte"/>
            <w:rFonts w:ascii="Times New Roman" w:hAnsi="Times New Roman"/>
            <w:b w:val="0"/>
            <w:bCs w:val="0"/>
            <w:color w:val="auto"/>
            <w:sz w:val="22"/>
            <w:szCs w:val="22"/>
            <w:u w:val="none"/>
            <w:lang w:val="en-GB"/>
          </w:rPr>
          <w:t>Figueiredo H</w:t>
        </w:r>
      </w:hyperlink>
      <w:r w:rsidRPr="007E7407">
        <w:rPr>
          <w:rFonts w:ascii="Times New Roman" w:hAnsi="Times New Roman" w:cs="Times New Roman"/>
          <w:b w:val="0"/>
          <w:bCs w:val="0"/>
          <w:sz w:val="22"/>
          <w:szCs w:val="22"/>
          <w:lang w:val="en-GB"/>
        </w:rPr>
        <w:t xml:space="preserve">, </w:t>
      </w:r>
      <w:hyperlink r:id="rId201" w:history="1">
        <w:r w:rsidRPr="008B1937">
          <w:rPr>
            <w:rStyle w:val="Lienhypertexte"/>
            <w:rFonts w:ascii="Times New Roman" w:hAnsi="Times New Roman"/>
            <w:b w:val="0"/>
            <w:bCs w:val="0"/>
            <w:color w:val="auto"/>
            <w:sz w:val="22"/>
            <w:szCs w:val="22"/>
            <w:u w:val="none"/>
            <w:lang w:val="en-GB"/>
          </w:rPr>
          <w:t>Mueller NK</w:t>
        </w:r>
      </w:hyperlink>
      <w:r w:rsidRPr="007E7407">
        <w:rPr>
          <w:rFonts w:ascii="Times New Roman" w:hAnsi="Times New Roman" w:cs="Times New Roman"/>
          <w:b w:val="0"/>
          <w:bCs w:val="0"/>
          <w:sz w:val="22"/>
          <w:szCs w:val="22"/>
          <w:lang w:val="en-GB"/>
        </w:rPr>
        <w:t xml:space="preserve">, </w:t>
      </w:r>
      <w:hyperlink r:id="rId202" w:history="1">
        <w:r w:rsidRPr="008B1937">
          <w:rPr>
            <w:rStyle w:val="Lienhypertexte"/>
            <w:rFonts w:ascii="Times New Roman" w:hAnsi="Times New Roman"/>
            <w:b w:val="0"/>
            <w:bCs w:val="0"/>
            <w:color w:val="auto"/>
            <w:sz w:val="22"/>
            <w:szCs w:val="22"/>
            <w:u w:val="none"/>
            <w:lang w:val="en-GB"/>
          </w:rPr>
          <w:t>Ulrich-Lai Y</w:t>
        </w:r>
      </w:hyperlink>
      <w:r w:rsidRPr="007E7407">
        <w:rPr>
          <w:rFonts w:ascii="Times New Roman" w:hAnsi="Times New Roman" w:cs="Times New Roman"/>
          <w:b w:val="0"/>
          <w:bCs w:val="0"/>
          <w:sz w:val="22"/>
          <w:szCs w:val="22"/>
          <w:lang w:val="en-GB"/>
        </w:rPr>
        <w:t xml:space="preserve">, </w:t>
      </w:r>
      <w:hyperlink r:id="rId203" w:history="1">
        <w:r w:rsidRPr="008B1937">
          <w:rPr>
            <w:rStyle w:val="Lienhypertexte"/>
            <w:rFonts w:ascii="Times New Roman" w:hAnsi="Times New Roman"/>
            <w:b w:val="0"/>
            <w:bCs w:val="0"/>
            <w:color w:val="auto"/>
            <w:sz w:val="22"/>
            <w:szCs w:val="22"/>
            <w:u w:val="none"/>
            <w:lang w:val="en-GB"/>
          </w:rPr>
          <w:t>Ostrander MM</w:t>
        </w:r>
      </w:hyperlink>
      <w:r w:rsidRPr="007E7407">
        <w:rPr>
          <w:rFonts w:ascii="Times New Roman" w:hAnsi="Times New Roman" w:cs="Times New Roman"/>
          <w:b w:val="0"/>
          <w:bCs w:val="0"/>
          <w:sz w:val="22"/>
          <w:szCs w:val="22"/>
          <w:lang w:val="en-GB"/>
        </w:rPr>
        <w:t xml:space="preserve">, </w:t>
      </w:r>
      <w:hyperlink r:id="rId204" w:history="1">
        <w:r w:rsidRPr="008B1937">
          <w:rPr>
            <w:rStyle w:val="Lienhypertexte"/>
            <w:rFonts w:ascii="Times New Roman" w:hAnsi="Times New Roman"/>
            <w:b w:val="0"/>
            <w:bCs w:val="0"/>
            <w:color w:val="auto"/>
            <w:sz w:val="22"/>
            <w:szCs w:val="22"/>
            <w:u w:val="none"/>
            <w:lang w:val="en-GB"/>
          </w:rPr>
          <w:t>Choi DC</w:t>
        </w:r>
      </w:hyperlink>
      <w:r w:rsidRPr="007E7407">
        <w:rPr>
          <w:rFonts w:ascii="Times New Roman" w:hAnsi="Times New Roman" w:cs="Times New Roman"/>
          <w:b w:val="0"/>
          <w:bCs w:val="0"/>
          <w:sz w:val="22"/>
          <w:szCs w:val="22"/>
          <w:lang w:val="en-GB"/>
        </w:rPr>
        <w:t xml:space="preserve">, </w:t>
      </w:r>
      <w:hyperlink r:id="rId205" w:history="1">
        <w:r w:rsidRPr="008B1937">
          <w:rPr>
            <w:rStyle w:val="Lienhypertexte"/>
            <w:rFonts w:ascii="Times New Roman" w:hAnsi="Times New Roman"/>
            <w:b w:val="0"/>
            <w:bCs w:val="0"/>
            <w:color w:val="auto"/>
            <w:sz w:val="22"/>
            <w:szCs w:val="22"/>
            <w:u w:val="none"/>
            <w:lang w:val="en-GB"/>
          </w:rPr>
          <w:t>Cullinan WE</w:t>
        </w:r>
      </w:hyperlink>
      <w:r w:rsidRPr="007E7407">
        <w:rPr>
          <w:rFonts w:ascii="Times New Roman" w:hAnsi="Times New Roman" w:cs="Times New Roman"/>
          <w:b w:val="0"/>
          <w:bCs w:val="0"/>
          <w:sz w:val="22"/>
          <w:szCs w:val="22"/>
          <w:lang w:val="en-GB"/>
        </w:rPr>
        <w:t xml:space="preserve"> Central mechanisms of stress integration: hierarchical circuitry controlling hypothalamo-pituitary-adrenocortical responsiveness</w:t>
      </w:r>
      <w:hyperlink r:id="rId206" w:history="1">
        <w:r w:rsidRPr="008B1937">
          <w:rPr>
            <w:rStyle w:val="Lienhypertexte"/>
            <w:rFonts w:ascii="Times New Roman" w:hAnsi="Times New Roman"/>
            <w:b w:val="0"/>
            <w:bCs w:val="0"/>
            <w:color w:val="auto"/>
            <w:sz w:val="22"/>
            <w:szCs w:val="22"/>
            <w:u w:val="none"/>
            <w:lang w:val="en-GB"/>
          </w:rPr>
          <w:t>Front Neuroendocrinol.</w:t>
        </w:r>
      </w:hyperlink>
      <w:r w:rsidRPr="007E7407">
        <w:rPr>
          <w:rFonts w:ascii="Times New Roman" w:hAnsi="Times New Roman" w:cs="Times New Roman"/>
          <w:b w:val="0"/>
          <w:bCs w:val="0"/>
          <w:sz w:val="22"/>
          <w:szCs w:val="22"/>
          <w:lang w:val="en-GB"/>
        </w:rPr>
        <w:t xml:space="preserve"> </w:t>
      </w:r>
      <w:r w:rsidRPr="007E7407">
        <w:rPr>
          <w:rFonts w:ascii="Times New Roman" w:hAnsi="Times New Roman" w:cs="Times New Roman"/>
          <w:b w:val="0"/>
          <w:bCs w:val="0"/>
          <w:sz w:val="22"/>
          <w:szCs w:val="22"/>
        </w:rPr>
        <w:t>2003 Jul;24(3):151-80</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GB"/>
        </w:rPr>
      </w:pPr>
      <w:hyperlink r:id="rId207" w:history="1">
        <w:r w:rsidRPr="008B1937">
          <w:rPr>
            <w:rStyle w:val="Lienhypertexte"/>
            <w:rFonts w:ascii="Times New Roman" w:hAnsi="Times New Roman"/>
            <w:b w:val="0"/>
            <w:bCs w:val="0"/>
            <w:color w:val="auto"/>
            <w:sz w:val="22"/>
            <w:szCs w:val="22"/>
            <w:u w:val="none"/>
            <w:lang w:val="en-GB"/>
          </w:rPr>
          <w:t>Buijs RM</w:t>
        </w:r>
      </w:hyperlink>
      <w:r w:rsidRPr="007E7407">
        <w:rPr>
          <w:rFonts w:ascii="Times New Roman" w:hAnsi="Times New Roman" w:cs="Times New Roman"/>
          <w:b w:val="0"/>
          <w:bCs w:val="0"/>
          <w:sz w:val="22"/>
          <w:szCs w:val="22"/>
          <w:lang w:val="en-GB"/>
        </w:rPr>
        <w:t xml:space="preserve">, </w:t>
      </w:r>
      <w:hyperlink r:id="rId208" w:history="1">
        <w:r w:rsidRPr="008B1937">
          <w:rPr>
            <w:rStyle w:val="Lienhypertexte"/>
            <w:rFonts w:ascii="Times New Roman" w:hAnsi="Times New Roman"/>
            <w:b w:val="0"/>
            <w:bCs w:val="0"/>
            <w:color w:val="auto"/>
            <w:sz w:val="22"/>
            <w:szCs w:val="22"/>
            <w:u w:val="none"/>
            <w:lang w:val="en-GB"/>
          </w:rPr>
          <w:t>Van Eden CG</w:t>
        </w:r>
      </w:hyperlink>
      <w:r w:rsidRPr="007E7407">
        <w:rPr>
          <w:rFonts w:ascii="Times New Roman" w:hAnsi="Times New Roman" w:cs="Times New Roman"/>
          <w:b w:val="0"/>
          <w:bCs w:val="0"/>
          <w:sz w:val="22"/>
          <w:szCs w:val="22"/>
          <w:lang w:val="en-GB"/>
        </w:rPr>
        <w:t>. The integration of stress by the hypothalamus, amygdala and prefrontal cortex: balance between the autonomic nervous system and the neuroendocrine system</w:t>
      </w:r>
      <w:hyperlink r:id="rId209" w:history="1">
        <w:r w:rsidRPr="008B1937">
          <w:rPr>
            <w:rStyle w:val="Lienhypertexte"/>
            <w:rFonts w:ascii="Times New Roman" w:hAnsi="Times New Roman"/>
            <w:b w:val="0"/>
            <w:bCs w:val="0"/>
            <w:color w:val="auto"/>
            <w:sz w:val="22"/>
            <w:szCs w:val="22"/>
            <w:u w:val="none"/>
            <w:lang w:val="en-GB"/>
          </w:rPr>
          <w:t>Prog Brain Res.</w:t>
        </w:r>
      </w:hyperlink>
      <w:r w:rsidRPr="007E7407">
        <w:rPr>
          <w:rFonts w:ascii="Times New Roman" w:hAnsi="Times New Roman" w:cs="Times New Roman"/>
          <w:b w:val="0"/>
          <w:bCs w:val="0"/>
          <w:sz w:val="22"/>
          <w:szCs w:val="22"/>
          <w:lang w:val="en-GB"/>
        </w:rPr>
        <w:t xml:space="preserve"> </w:t>
      </w:r>
      <w:r w:rsidRPr="007E7407">
        <w:rPr>
          <w:rFonts w:ascii="Times New Roman" w:hAnsi="Times New Roman" w:cs="Times New Roman"/>
          <w:b w:val="0"/>
          <w:bCs w:val="0"/>
          <w:sz w:val="22"/>
          <w:szCs w:val="22"/>
        </w:rPr>
        <w:t>2000;126:117-32.</w:t>
      </w:r>
    </w:p>
    <w:p w:rsidR="00AC113A" w:rsidRPr="007E7407" w:rsidRDefault="00AC113A">
      <w:pPr>
        <w:rPr>
          <w:rFonts w:cs="Times New Roman"/>
          <w:sz w:val="22"/>
          <w:szCs w:val="22"/>
          <w:lang w:val="en-GB"/>
        </w:rPr>
      </w:pPr>
    </w:p>
    <w:p w:rsidR="00AC113A" w:rsidRPr="007E7407" w:rsidRDefault="00AC113A">
      <w:pPr>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rPr>
      </w:pPr>
      <w:hyperlink r:id="rId210" w:history="1">
        <w:r w:rsidRPr="008B1937">
          <w:rPr>
            <w:rStyle w:val="Lienhypertexte"/>
            <w:rFonts w:ascii="Times New Roman" w:hAnsi="Times New Roman"/>
            <w:b w:val="0"/>
            <w:bCs w:val="0"/>
            <w:color w:val="auto"/>
            <w:sz w:val="22"/>
            <w:szCs w:val="22"/>
            <w:u w:val="none"/>
            <w:lang w:val="en-GB"/>
          </w:rPr>
          <w:t>Sapolsky RM</w:t>
        </w:r>
      </w:hyperlink>
      <w:r w:rsidRPr="007E7407">
        <w:rPr>
          <w:rFonts w:ascii="Times New Roman" w:hAnsi="Times New Roman" w:cs="Times New Roman"/>
          <w:b w:val="0"/>
          <w:bCs w:val="0"/>
          <w:sz w:val="22"/>
          <w:szCs w:val="22"/>
          <w:lang w:val="en-US"/>
        </w:rPr>
        <w:t>.Why stress is bad for your brain.</w:t>
      </w:r>
      <w:hyperlink r:id="rId211" w:history="1">
        <w:r w:rsidRPr="007E7407">
          <w:rPr>
            <w:rStyle w:val="Lienhypertexte"/>
            <w:rFonts w:ascii="Times New Roman" w:hAnsi="Times New Roman"/>
            <w:b w:val="0"/>
            <w:bCs w:val="0"/>
            <w:color w:val="auto"/>
            <w:sz w:val="22"/>
            <w:szCs w:val="22"/>
            <w:u w:val="none"/>
          </w:rPr>
          <w:t>Science.</w:t>
        </w:r>
      </w:hyperlink>
      <w:r w:rsidRPr="007E7407">
        <w:rPr>
          <w:rFonts w:ascii="Times New Roman" w:hAnsi="Times New Roman" w:cs="Times New Roman"/>
          <w:b w:val="0"/>
          <w:bCs w:val="0"/>
          <w:sz w:val="22"/>
          <w:szCs w:val="22"/>
        </w:rPr>
        <w:t xml:space="preserve"> 1996 Aug 9;273(5276):749-50.</w:t>
      </w:r>
    </w:p>
    <w:p w:rsidR="00AC113A" w:rsidRPr="007E7407" w:rsidRDefault="00AC113A">
      <w:pPr>
        <w:jc w:val="both"/>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rPr>
      </w:pPr>
      <w:hyperlink r:id="rId212" w:history="1">
        <w:r w:rsidRPr="008B1937">
          <w:rPr>
            <w:rStyle w:val="Lienhypertexte"/>
            <w:rFonts w:ascii="Times New Roman" w:hAnsi="Times New Roman"/>
            <w:b w:val="0"/>
            <w:bCs w:val="0"/>
            <w:color w:val="auto"/>
            <w:sz w:val="22"/>
            <w:szCs w:val="22"/>
            <w:u w:val="none"/>
            <w:lang w:val="en-GB"/>
          </w:rPr>
          <w:t>Lupien SJ</w:t>
        </w:r>
      </w:hyperlink>
      <w:r w:rsidRPr="007E7407">
        <w:rPr>
          <w:rFonts w:ascii="Times New Roman" w:hAnsi="Times New Roman" w:cs="Times New Roman"/>
          <w:b w:val="0"/>
          <w:bCs w:val="0"/>
          <w:sz w:val="22"/>
          <w:szCs w:val="22"/>
          <w:lang w:val="en-US"/>
        </w:rPr>
        <w:t xml:space="preserve">, </w:t>
      </w:r>
      <w:hyperlink r:id="rId213" w:history="1">
        <w:r w:rsidRPr="008B1937">
          <w:rPr>
            <w:rStyle w:val="Lienhypertexte"/>
            <w:rFonts w:ascii="Times New Roman" w:hAnsi="Times New Roman"/>
            <w:b w:val="0"/>
            <w:bCs w:val="0"/>
            <w:color w:val="auto"/>
            <w:sz w:val="22"/>
            <w:szCs w:val="22"/>
            <w:u w:val="none"/>
            <w:lang w:val="en-GB"/>
          </w:rPr>
          <w:t>McEwen BS</w:t>
        </w:r>
      </w:hyperlink>
      <w:r w:rsidRPr="007E7407">
        <w:rPr>
          <w:rFonts w:ascii="Times New Roman" w:hAnsi="Times New Roman" w:cs="Times New Roman"/>
          <w:b w:val="0"/>
          <w:bCs w:val="0"/>
          <w:sz w:val="22"/>
          <w:szCs w:val="22"/>
          <w:lang w:val="en-US"/>
        </w:rPr>
        <w:t xml:space="preserve">, </w:t>
      </w:r>
      <w:hyperlink r:id="rId214" w:history="1">
        <w:r w:rsidRPr="008B1937">
          <w:rPr>
            <w:rStyle w:val="Lienhypertexte"/>
            <w:rFonts w:ascii="Times New Roman" w:hAnsi="Times New Roman"/>
            <w:b w:val="0"/>
            <w:bCs w:val="0"/>
            <w:color w:val="auto"/>
            <w:sz w:val="22"/>
            <w:szCs w:val="22"/>
            <w:u w:val="none"/>
            <w:lang w:val="en-GB"/>
          </w:rPr>
          <w:t>Gunnar MR</w:t>
        </w:r>
      </w:hyperlink>
      <w:r w:rsidRPr="007E7407">
        <w:rPr>
          <w:rFonts w:ascii="Times New Roman" w:hAnsi="Times New Roman" w:cs="Times New Roman"/>
          <w:b w:val="0"/>
          <w:bCs w:val="0"/>
          <w:sz w:val="22"/>
          <w:szCs w:val="22"/>
          <w:lang w:val="en-US"/>
        </w:rPr>
        <w:t xml:space="preserve">, </w:t>
      </w:r>
      <w:hyperlink r:id="rId215" w:history="1">
        <w:r w:rsidRPr="008B1937">
          <w:rPr>
            <w:rStyle w:val="Lienhypertexte"/>
            <w:rFonts w:ascii="Times New Roman" w:hAnsi="Times New Roman"/>
            <w:b w:val="0"/>
            <w:bCs w:val="0"/>
            <w:color w:val="auto"/>
            <w:sz w:val="22"/>
            <w:szCs w:val="22"/>
            <w:u w:val="none"/>
            <w:lang w:val="en-GB"/>
          </w:rPr>
          <w:t>Heim C</w:t>
        </w:r>
      </w:hyperlink>
      <w:r w:rsidRPr="007E7407">
        <w:rPr>
          <w:rFonts w:ascii="Times New Roman" w:hAnsi="Times New Roman" w:cs="Times New Roman"/>
          <w:b w:val="0"/>
          <w:bCs w:val="0"/>
          <w:sz w:val="22"/>
          <w:szCs w:val="22"/>
          <w:lang w:val="en-US"/>
        </w:rPr>
        <w:t>.Effects of stress throughout the lifespan on the brain, behaviour and cognition.</w:t>
      </w:r>
      <w:hyperlink r:id="rId216" w:history="1">
        <w:r w:rsidRPr="007E7407">
          <w:rPr>
            <w:rStyle w:val="Lienhypertexte"/>
            <w:rFonts w:ascii="Times New Roman" w:hAnsi="Times New Roman"/>
            <w:b w:val="0"/>
            <w:bCs w:val="0"/>
            <w:color w:val="auto"/>
            <w:sz w:val="22"/>
            <w:szCs w:val="22"/>
            <w:u w:val="none"/>
          </w:rPr>
          <w:t>Nat Rev Neurosci.</w:t>
        </w:r>
      </w:hyperlink>
      <w:r w:rsidRPr="007E7407">
        <w:rPr>
          <w:rFonts w:ascii="Times New Roman" w:hAnsi="Times New Roman" w:cs="Times New Roman"/>
          <w:b w:val="0"/>
          <w:bCs w:val="0"/>
          <w:sz w:val="22"/>
          <w:szCs w:val="22"/>
        </w:rPr>
        <w:t xml:space="preserve"> 2009 Jun;10(6):434-45</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rPr>
        <w:t xml:space="preserve"> Viinamäki H, Lehto SM, Palvimo JJ, Harvima I, Valkonen-Korhonen M, Koivumaa-Honkanen H, Hintikka J, Kirsi H, Niskanen L.</w:t>
      </w:r>
      <w:hyperlink r:id="rId217" w:history="1">
        <w:r w:rsidRPr="007E7407">
          <w:rPr>
            <w:rStyle w:val="Lienhypertexte"/>
            <w:rFonts w:ascii="Times New Roman" w:hAnsi="Times New Roman"/>
            <w:b w:val="0"/>
            <w:bCs w:val="0"/>
            <w:color w:val="auto"/>
            <w:sz w:val="22"/>
            <w:szCs w:val="22"/>
            <w:u w:val="none"/>
          </w:rPr>
          <w:t>[Glucocorticoids and aetiopathogenesis of depression].</w:t>
        </w:r>
      </w:hyperlink>
      <w:r w:rsidRPr="007E7407">
        <w:rPr>
          <w:rFonts w:ascii="Times New Roman" w:hAnsi="Times New Roman" w:cs="Times New Roman"/>
          <w:b w:val="0"/>
          <w:bCs w:val="0"/>
          <w:sz w:val="22"/>
          <w:szCs w:val="22"/>
          <w:lang w:val="en-US"/>
        </w:rPr>
        <w:t xml:space="preserve">Duodecim. 2012;128(10):1022-9. Review. Finnish. </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Gold PW, Chrousos GP.</w:t>
      </w:r>
      <w:hyperlink r:id="rId218" w:history="1">
        <w:r w:rsidRPr="008B1937">
          <w:rPr>
            <w:rStyle w:val="Lienhypertexte"/>
            <w:rFonts w:ascii="Times New Roman" w:hAnsi="Times New Roman"/>
            <w:b w:val="0"/>
            <w:bCs w:val="0"/>
            <w:color w:val="auto"/>
            <w:sz w:val="22"/>
            <w:szCs w:val="22"/>
            <w:u w:val="none"/>
            <w:lang w:val="en-GB"/>
          </w:rPr>
          <w:t>Organization of the stress system and its dysregulation in melancholic and atypical depression: high vs low CRH/NE states.</w:t>
        </w:r>
      </w:hyperlink>
      <w:r w:rsidRPr="007E7407">
        <w:rPr>
          <w:rFonts w:ascii="Times New Roman" w:hAnsi="Times New Roman" w:cs="Times New Roman"/>
          <w:b w:val="0"/>
          <w:bCs w:val="0"/>
          <w:sz w:val="22"/>
          <w:szCs w:val="22"/>
          <w:lang w:val="en-US"/>
        </w:rPr>
        <w:t>Mol Psychiatry. 2002;7(3):254-75. Review.</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lastRenderedPageBreak/>
        <w:t>O'Keane V, Frodl T, Dinan TG.</w:t>
      </w:r>
      <w:hyperlink r:id="rId219" w:history="1">
        <w:r w:rsidRPr="008B1937">
          <w:rPr>
            <w:rStyle w:val="Lienhypertexte"/>
            <w:rFonts w:ascii="Times New Roman" w:hAnsi="Times New Roman"/>
            <w:b w:val="0"/>
            <w:bCs w:val="0"/>
            <w:color w:val="auto"/>
            <w:sz w:val="22"/>
            <w:szCs w:val="22"/>
            <w:u w:val="none"/>
            <w:lang w:val="en-GB"/>
          </w:rPr>
          <w:t>A review of Atypical depression in relation to the course of depression and changes in HPA axis organization.</w:t>
        </w:r>
      </w:hyperlink>
      <w:r w:rsidRPr="007E7407">
        <w:rPr>
          <w:rFonts w:ascii="Times New Roman" w:hAnsi="Times New Roman" w:cs="Times New Roman"/>
          <w:b w:val="0"/>
          <w:bCs w:val="0"/>
          <w:sz w:val="22"/>
          <w:szCs w:val="22"/>
        </w:rPr>
        <w:t xml:space="preserve">Psychoneuroendocrinology. </w:t>
      </w:r>
      <w:r w:rsidRPr="007E7407">
        <w:rPr>
          <w:rFonts w:ascii="Times New Roman" w:hAnsi="Times New Roman" w:cs="Times New Roman"/>
          <w:b w:val="0"/>
          <w:bCs w:val="0"/>
          <w:sz w:val="22"/>
          <w:szCs w:val="22"/>
          <w:lang w:val="en-US"/>
        </w:rPr>
        <w:t xml:space="preserve">2012 Oct;37(10):1589-99. </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Maina G</w:t>
      </w:r>
      <w:r w:rsidRPr="007E7407">
        <w:rPr>
          <w:rFonts w:ascii="Times New Roman" w:hAnsi="Times New Roman" w:cs="Times New Roman"/>
          <w:b w:val="0"/>
          <w:bCs w:val="0"/>
          <w:sz w:val="22"/>
          <w:szCs w:val="22"/>
          <w:lang w:val="en-GB"/>
        </w:rPr>
        <w:t>.</w:t>
      </w:r>
      <w:hyperlink r:id="rId220" w:history="1">
        <w:r w:rsidRPr="008B1937">
          <w:rPr>
            <w:rStyle w:val="Lienhypertexte"/>
            <w:rFonts w:ascii="Times New Roman" w:hAnsi="Times New Roman"/>
            <w:b w:val="0"/>
            <w:bCs w:val="0"/>
            <w:color w:val="auto"/>
            <w:sz w:val="22"/>
            <w:szCs w:val="22"/>
            <w:u w:val="none"/>
            <w:lang w:val="en-GB"/>
          </w:rPr>
          <w:t>[Psychosocial factors and cardiovascular diseases: the neuroendocrine pathways].</w:t>
        </w:r>
      </w:hyperlink>
      <w:r w:rsidRPr="007E7407">
        <w:rPr>
          <w:rFonts w:ascii="Times New Roman" w:hAnsi="Times New Roman" w:cs="Times New Roman"/>
          <w:b w:val="0"/>
          <w:bCs w:val="0"/>
          <w:sz w:val="22"/>
          <w:szCs w:val="22"/>
          <w:lang w:val="en-US"/>
        </w:rPr>
        <w:t xml:space="preserve">.G Ital Med Lav Ergon. 2012 Jul-Sep;34(3 Suppl):170-3. Italian. </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Hamer M, O'Donnell K, Lahiri A, Steptoe A.</w:t>
      </w:r>
      <w:hyperlink r:id="rId221" w:history="1">
        <w:r w:rsidRPr="008B1937">
          <w:rPr>
            <w:rStyle w:val="Lienhypertexte"/>
            <w:rFonts w:ascii="Times New Roman" w:hAnsi="Times New Roman"/>
            <w:b w:val="0"/>
            <w:bCs w:val="0"/>
            <w:color w:val="auto"/>
            <w:sz w:val="22"/>
            <w:szCs w:val="22"/>
            <w:u w:val="none"/>
            <w:lang w:val="en-GB"/>
          </w:rPr>
          <w:t>Salivary cortisol responses to mental stress are associated with coronary artery calcification in healthy men and women.</w:t>
        </w:r>
      </w:hyperlink>
      <w:r w:rsidRPr="007E7407">
        <w:rPr>
          <w:rFonts w:ascii="Times New Roman" w:hAnsi="Times New Roman" w:cs="Times New Roman"/>
          <w:b w:val="0"/>
          <w:bCs w:val="0"/>
          <w:sz w:val="22"/>
          <w:szCs w:val="22"/>
          <w:lang w:val="en-US"/>
        </w:rPr>
        <w:t>Eur Heart J. 2010 Feb;31(4):424-9.</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Das S, O'Keefe JH.</w:t>
      </w:r>
      <w:hyperlink r:id="rId222" w:history="1">
        <w:r w:rsidRPr="008B1937">
          <w:rPr>
            <w:rStyle w:val="Lienhypertexte"/>
            <w:rFonts w:ascii="Times New Roman" w:hAnsi="Times New Roman"/>
            <w:b w:val="0"/>
            <w:bCs w:val="0"/>
            <w:color w:val="auto"/>
            <w:sz w:val="22"/>
            <w:szCs w:val="22"/>
            <w:u w:val="none"/>
            <w:lang w:val="en-GB"/>
          </w:rPr>
          <w:t>Behavioral cardiology: recognizing and addressing the profound impact of psychosocial stress on cardiovascular health.</w:t>
        </w:r>
      </w:hyperlink>
      <w:r w:rsidRPr="007E7407">
        <w:rPr>
          <w:rFonts w:ascii="Times New Roman" w:hAnsi="Times New Roman" w:cs="Times New Roman"/>
          <w:b w:val="0"/>
          <w:bCs w:val="0"/>
          <w:sz w:val="22"/>
          <w:szCs w:val="22"/>
          <w:lang w:val="en-US"/>
        </w:rPr>
        <w:t>Curr Hypertens Rep. 2008 Oct;10(5):374-81.</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Kivimäki M, Virtanen M, Elovainio M, Kouvonen A, Väänänen A, Vahtera J </w:t>
      </w:r>
      <w:hyperlink r:id="rId223" w:history="1">
        <w:r w:rsidRPr="008B1937">
          <w:rPr>
            <w:rStyle w:val="Lienhypertexte"/>
            <w:rFonts w:ascii="Times New Roman" w:hAnsi="Times New Roman"/>
            <w:b w:val="0"/>
            <w:bCs w:val="0"/>
            <w:color w:val="auto"/>
            <w:sz w:val="22"/>
            <w:szCs w:val="22"/>
            <w:u w:val="none"/>
            <w:lang w:val="en-GB"/>
          </w:rPr>
          <w:t>Work stress in the etiology of coronary heart disease--a meta-analysis.</w:t>
        </w:r>
      </w:hyperlink>
      <w:r w:rsidRPr="007E7407">
        <w:rPr>
          <w:rFonts w:ascii="Times New Roman" w:hAnsi="Times New Roman" w:cs="Times New Roman"/>
          <w:b w:val="0"/>
          <w:bCs w:val="0"/>
          <w:sz w:val="22"/>
          <w:szCs w:val="22"/>
          <w:lang w:val="en-US"/>
        </w:rPr>
        <w:t>Scand J Work Environ Health. 2006 Dec;32(6):431-42.</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Saner H.</w:t>
      </w:r>
      <w:hyperlink r:id="rId224" w:history="1">
        <w:r w:rsidRPr="008B1937">
          <w:rPr>
            <w:rStyle w:val="Lienhypertexte"/>
            <w:rFonts w:ascii="Times New Roman" w:hAnsi="Times New Roman"/>
            <w:b w:val="0"/>
            <w:bCs w:val="0"/>
            <w:color w:val="auto"/>
            <w:sz w:val="22"/>
            <w:szCs w:val="22"/>
            <w:u w:val="none"/>
            <w:lang w:val="en-GB"/>
          </w:rPr>
          <w:t>[Stress as a cardiovascular risk factor].</w:t>
        </w:r>
      </w:hyperlink>
      <w:r w:rsidRPr="007E7407">
        <w:rPr>
          <w:rFonts w:ascii="Times New Roman" w:hAnsi="Times New Roman" w:cs="Times New Roman"/>
          <w:b w:val="0"/>
          <w:bCs w:val="0"/>
          <w:sz w:val="22"/>
          <w:szCs w:val="22"/>
          <w:lang w:val="en-US"/>
        </w:rPr>
        <w:t xml:space="preserve">Ther Umsch. 2005 Sep;62(9):597-602. Review. German. </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Csef H, Hefner J.</w:t>
      </w:r>
      <w:hyperlink r:id="rId225" w:history="1">
        <w:r w:rsidRPr="008B1937">
          <w:rPr>
            <w:rStyle w:val="Lienhypertexte"/>
            <w:rFonts w:ascii="Times New Roman" w:hAnsi="Times New Roman"/>
            <w:b w:val="0"/>
            <w:bCs w:val="0"/>
            <w:color w:val="auto"/>
            <w:sz w:val="22"/>
            <w:szCs w:val="22"/>
            <w:u w:val="none"/>
            <w:lang w:val="en-GB"/>
          </w:rPr>
          <w:t>[Stress and myocardial infarction].</w:t>
        </w:r>
      </w:hyperlink>
      <w:r w:rsidRPr="007E7407">
        <w:rPr>
          <w:rFonts w:ascii="Times New Roman" w:hAnsi="Times New Roman" w:cs="Times New Roman"/>
          <w:b w:val="0"/>
          <w:bCs w:val="0"/>
          <w:sz w:val="22"/>
          <w:szCs w:val="22"/>
          <w:lang w:val="en-US"/>
        </w:rPr>
        <w:t xml:space="preserve">MMW Fortschr Med. 2005 Mar 31;147(13):33-5. Review. German. </w:t>
      </w:r>
    </w:p>
    <w:p w:rsidR="00AC113A" w:rsidRPr="007E7407" w:rsidRDefault="00AC113A">
      <w:pPr>
        <w:pStyle w:val="Corpsdetexte"/>
        <w:spacing w:after="0"/>
        <w:rPr>
          <w:rFonts w:cs="Times New Roman"/>
          <w:sz w:val="22"/>
          <w:szCs w:val="22"/>
          <w:lang w:val="en-US"/>
        </w:rPr>
      </w:pPr>
    </w:p>
    <w:p w:rsidR="00AC113A" w:rsidRPr="008B1937" w:rsidRDefault="00AC113A">
      <w:pPr>
        <w:pStyle w:val="Titre1"/>
        <w:spacing w:before="0" w:after="0"/>
        <w:rPr>
          <w:rFonts w:ascii="Times New Roman" w:hAnsi="Times New Roman" w:cs="Times New Roman"/>
          <w:b w:val="0"/>
          <w:bCs w:val="0"/>
          <w:sz w:val="22"/>
          <w:szCs w:val="22"/>
          <w:lang w:val="en-GB"/>
        </w:rPr>
      </w:pPr>
      <w:r w:rsidRPr="007E7407">
        <w:rPr>
          <w:rFonts w:ascii="Times New Roman" w:hAnsi="Times New Roman" w:cs="Times New Roman"/>
          <w:b w:val="0"/>
          <w:bCs w:val="0"/>
          <w:sz w:val="22"/>
          <w:szCs w:val="22"/>
        </w:rPr>
        <w:t>Chandola T, Brunner E, Marmot M.</w:t>
      </w:r>
      <w:hyperlink r:id="rId226" w:history="1">
        <w:r w:rsidRPr="008B1937">
          <w:rPr>
            <w:rStyle w:val="Lienhypertexte"/>
            <w:rFonts w:ascii="Times New Roman" w:hAnsi="Times New Roman"/>
            <w:b w:val="0"/>
            <w:bCs w:val="0"/>
            <w:color w:val="auto"/>
            <w:sz w:val="22"/>
            <w:szCs w:val="22"/>
            <w:u w:val="none"/>
            <w:lang w:val="en-GB"/>
          </w:rPr>
          <w:t>Chronic stress at work and the metabolic syndrome: prospective study.</w:t>
        </w:r>
      </w:hyperlink>
      <w:r w:rsidRPr="007E7407">
        <w:rPr>
          <w:rFonts w:ascii="Times New Roman" w:hAnsi="Times New Roman" w:cs="Times New Roman"/>
          <w:b w:val="0"/>
          <w:bCs w:val="0"/>
          <w:sz w:val="22"/>
          <w:szCs w:val="22"/>
          <w:lang w:val="en-US"/>
        </w:rPr>
        <w:t>BMJ. 2006 Mar 4;332(7540):521-5. Epub 2006 Jan 20.</w:t>
      </w:r>
    </w:p>
    <w:p w:rsidR="00AC113A" w:rsidRPr="008B1937" w:rsidRDefault="00AC113A">
      <w:pPr>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227" w:history="1">
        <w:r w:rsidRPr="008B1937">
          <w:rPr>
            <w:rStyle w:val="Lienhypertexte"/>
            <w:rFonts w:ascii="Times New Roman" w:hAnsi="Times New Roman"/>
            <w:b w:val="0"/>
            <w:bCs w:val="0"/>
            <w:color w:val="auto"/>
            <w:sz w:val="22"/>
            <w:szCs w:val="22"/>
            <w:u w:val="none"/>
            <w:lang w:val="en-GB"/>
          </w:rPr>
          <w:t>Anagnostis P</w:t>
        </w:r>
      </w:hyperlink>
      <w:r w:rsidRPr="007E7407">
        <w:rPr>
          <w:rFonts w:ascii="Times New Roman" w:hAnsi="Times New Roman" w:cs="Times New Roman"/>
          <w:b w:val="0"/>
          <w:bCs w:val="0"/>
          <w:sz w:val="22"/>
          <w:szCs w:val="22"/>
          <w:lang w:val="en-US"/>
        </w:rPr>
        <w:t xml:space="preserve">, </w:t>
      </w:r>
      <w:hyperlink r:id="rId228" w:history="1">
        <w:r w:rsidRPr="008B1937">
          <w:rPr>
            <w:rStyle w:val="Lienhypertexte"/>
            <w:rFonts w:ascii="Times New Roman" w:hAnsi="Times New Roman"/>
            <w:b w:val="0"/>
            <w:bCs w:val="0"/>
            <w:color w:val="auto"/>
            <w:sz w:val="22"/>
            <w:szCs w:val="22"/>
            <w:u w:val="none"/>
            <w:lang w:val="en-GB"/>
          </w:rPr>
          <w:t>Athyros VG</w:t>
        </w:r>
      </w:hyperlink>
      <w:r w:rsidRPr="007E7407">
        <w:rPr>
          <w:rFonts w:ascii="Times New Roman" w:hAnsi="Times New Roman" w:cs="Times New Roman"/>
          <w:b w:val="0"/>
          <w:bCs w:val="0"/>
          <w:sz w:val="22"/>
          <w:szCs w:val="22"/>
          <w:lang w:val="en-US"/>
        </w:rPr>
        <w:t xml:space="preserve">, </w:t>
      </w:r>
      <w:hyperlink r:id="rId229" w:history="1">
        <w:r w:rsidRPr="008B1937">
          <w:rPr>
            <w:rStyle w:val="Lienhypertexte"/>
            <w:rFonts w:ascii="Times New Roman" w:hAnsi="Times New Roman"/>
            <w:b w:val="0"/>
            <w:bCs w:val="0"/>
            <w:color w:val="auto"/>
            <w:sz w:val="22"/>
            <w:szCs w:val="22"/>
            <w:u w:val="none"/>
            <w:lang w:val="en-GB"/>
          </w:rPr>
          <w:t>Tziomalos K</w:t>
        </w:r>
      </w:hyperlink>
      <w:r w:rsidRPr="007E7407">
        <w:rPr>
          <w:rFonts w:ascii="Times New Roman" w:hAnsi="Times New Roman" w:cs="Times New Roman"/>
          <w:b w:val="0"/>
          <w:bCs w:val="0"/>
          <w:sz w:val="22"/>
          <w:szCs w:val="22"/>
          <w:lang w:val="en-US"/>
        </w:rPr>
        <w:t xml:space="preserve">, </w:t>
      </w:r>
      <w:hyperlink r:id="rId230" w:history="1">
        <w:r w:rsidRPr="008B1937">
          <w:rPr>
            <w:rStyle w:val="Lienhypertexte"/>
            <w:rFonts w:ascii="Times New Roman" w:hAnsi="Times New Roman"/>
            <w:b w:val="0"/>
            <w:bCs w:val="0"/>
            <w:color w:val="auto"/>
            <w:sz w:val="22"/>
            <w:szCs w:val="22"/>
            <w:u w:val="none"/>
            <w:lang w:val="en-GB"/>
          </w:rPr>
          <w:t>Karagiannis A</w:t>
        </w:r>
      </w:hyperlink>
      <w:r w:rsidRPr="007E7407">
        <w:rPr>
          <w:rFonts w:ascii="Times New Roman" w:hAnsi="Times New Roman" w:cs="Times New Roman"/>
          <w:b w:val="0"/>
          <w:bCs w:val="0"/>
          <w:sz w:val="22"/>
          <w:szCs w:val="22"/>
          <w:lang w:val="en-US"/>
        </w:rPr>
        <w:t xml:space="preserve">, </w:t>
      </w:r>
      <w:hyperlink r:id="rId231" w:history="1">
        <w:r w:rsidRPr="008B1937">
          <w:rPr>
            <w:rStyle w:val="Lienhypertexte"/>
            <w:rFonts w:ascii="Times New Roman" w:hAnsi="Times New Roman"/>
            <w:b w:val="0"/>
            <w:bCs w:val="0"/>
            <w:color w:val="auto"/>
            <w:sz w:val="22"/>
            <w:szCs w:val="22"/>
            <w:u w:val="none"/>
            <w:lang w:val="en-GB"/>
          </w:rPr>
          <w:t>Mikhailidis DP</w:t>
        </w:r>
      </w:hyperlink>
      <w:r w:rsidRPr="007E7407">
        <w:rPr>
          <w:rFonts w:ascii="Times New Roman" w:hAnsi="Times New Roman" w:cs="Times New Roman"/>
          <w:b w:val="0"/>
          <w:bCs w:val="0"/>
          <w:sz w:val="22"/>
          <w:szCs w:val="22"/>
          <w:lang w:val="en-US"/>
        </w:rPr>
        <w:t xml:space="preserve"> Clinical review: The pathogenetic role of cortisol in the metabolic syndrome: a hypothesis.. . </w:t>
      </w:r>
      <w:hyperlink r:id="rId232" w:history="1">
        <w:r w:rsidRPr="007E7407">
          <w:rPr>
            <w:rStyle w:val="Lienhypertexte"/>
            <w:rFonts w:ascii="Times New Roman" w:hAnsi="Times New Roman"/>
            <w:b w:val="0"/>
            <w:bCs w:val="0"/>
            <w:color w:val="auto"/>
            <w:sz w:val="22"/>
            <w:szCs w:val="22"/>
            <w:u w:val="none"/>
          </w:rPr>
          <w:t>J Clin Endocrinol Metab.</w:t>
        </w:r>
      </w:hyperlink>
      <w:r w:rsidRPr="007E7407">
        <w:rPr>
          <w:rFonts w:ascii="Times New Roman" w:hAnsi="Times New Roman" w:cs="Times New Roman"/>
          <w:b w:val="0"/>
          <w:bCs w:val="0"/>
          <w:sz w:val="22"/>
          <w:szCs w:val="22"/>
          <w:lang w:val="en-US"/>
        </w:rPr>
        <w:t xml:space="preserve"> 2009 Aug;94(8):2692-701.</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Petersen H, Kecklund G, D'Onofrio P, Nilsson J, Åkerstedt T.</w:t>
      </w:r>
      <w:hyperlink r:id="rId233" w:history="1">
        <w:r w:rsidRPr="008B1937">
          <w:rPr>
            <w:rStyle w:val="Lienhypertexte"/>
            <w:rFonts w:ascii="Times New Roman" w:hAnsi="Times New Roman"/>
            <w:b w:val="0"/>
            <w:bCs w:val="0"/>
            <w:color w:val="auto"/>
            <w:sz w:val="22"/>
            <w:szCs w:val="22"/>
            <w:u w:val="none"/>
            <w:lang w:val="en-GB"/>
          </w:rPr>
          <w:t>Stress vulnerability and the effects of moderate daily stress on sleep polysomnography and subjective sleepiness.</w:t>
        </w:r>
      </w:hyperlink>
      <w:r w:rsidRPr="007E7407">
        <w:rPr>
          <w:rStyle w:val="jrnl"/>
          <w:rFonts w:ascii="Times New Roman" w:hAnsi="Times New Roman"/>
          <w:b w:val="0"/>
          <w:bCs w:val="0"/>
          <w:sz w:val="22"/>
          <w:szCs w:val="22"/>
          <w:lang w:val="en-US"/>
        </w:rPr>
        <w:t>J Sleep Res</w:t>
      </w:r>
      <w:r w:rsidRPr="007E7407">
        <w:rPr>
          <w:rFonts w:ascii="Times New Roman" w:hAnsi="Times New Roman" w:cs="Times New Roman"/>
          <w:b w:val="0"/>
          <w:bCs w:val="0"/>
          <w:sz w:val="22"/>
          <w:szCs w:val="22"/>
          <w:lang w:val="en-US"/>
        </w:rPr>
        <w:t>. 2013 Feb;22(1):50-7. doi: 10.1111/j.1365-2869.2012.01034.x. Epub 2012 Jul 27.</w:t>
      </w:r>
    </w:p>
    <w:p w:rsidR="00AC113A" w:rsidRPr="007E7407" w:rsidRDefault="00AC113A">
      <w:pPr>
        <w:pStyle w:val="details"/>
        <w:spacing w:before="0"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Dahlgren A, Kecklund G, Akerstedt T.</w:t>
      </w:r>
      <w:hyperlink r:id="rId234" w:history="1">
        <w:r w:rsidRPr="008B1937">
          <w:rPr>
            <w:rStyle w:val="Lienhypertexte"/>
            <w:rFonts w:ascii="Times New Roman" w:hAnsi="Times New Roman"/>
            <w:b w:val="0"/>
            <w:bCs w:val="0"/>
            <w:color w:val="auto"/>
            <w:sz w:val="22"/>
            <w:szCs w:val="22"/>
            <w:u w:val="none"/>
            <w:lang w:val="en-GB"/>
          </w:rPr>
          <w:t>Different levels of work-related stress and the effects on sleep, fatigue and cortisol.</w:t>
        </w:r>
      </w:hyperlink>
      <w:r w:rsidRPr="007E7407">
        <w:rPr>
          <w:rStyle w:val="jrnl"/>
          <w:rFonts w:ascii="Times New Roman" w:hAnsi="Times New Roman"/>
          <w:b w:val="0"/>
          <w:bCs w:val="0"/>
          <w:sz w:val="22"/>
          <w:szCs w:val="22"/>
          <w:lang w:val="en-US"/>
        </w:rPr>
        <w:t>Scand J Work Environ Health</w:t>
      </w:r>
      <w:r w:rsidRPr="007E7407">
        <w:rPr>
          <w:rFonts w:ascii="Times New Roman" w:hAnsi="Times New Roman" w:cs="Times New Roman"/>
          <w:b w:val="0"/>
          <w:bCs w:val="0"/>
          <w:sz w:val="22"/>
          <w:szCs w:val="22"/>
          <w:lang w:val="en-US"/>
        </w:rPr>
        <w:t>. 2005 Aug;31(4):277-85.</w:t>
      </w:r>
    </w:p>
    <w:p w:rsidR="00AC113A" w:rsidRPr="007E7407" w:rsidRDefault="00AC113A">
      <w:pPr>
        <w:pStyle w:val="details"/>
        <w:spacing w:before="0"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GB"/>
        </w:rPr>
        <w:t xml:space="preserve"> Söderström M, Ekstedt M, Akerstedt T, Nilsson J, Axelsson J </w:t>
      </w:r>
      <w:hyperlink r:id="rId235" w:history="1">
        <w:r w:rsidRPr="008B1937">
          <w:rPr>
            <w:rStyle w:val="Lienhypertexte"/>
            <w:rFonts w:ascii="Times New Roman" w:hAnsi="Times New Roman"/>
            <w:b w:val="0"/>
            <w:bCs w:val="0"/>
            <w:color w:val="auto"/>
            <w:sz w:val="22"/>
            <w:szCs w:val="22"/>
            <w:u w:val="none"/>
            <w:lang w:val="en-GB"/>
          </w:rPr>
          <w:t>Sleep and sleepiness in young individuals with high burnout scores.</w:t>
        </w:r>
      </w:hyperlink>
      <w:r w:rsidRPr="007E7407">
        <w:rPr>
          <w:rFonts w:ascii="Times New Roman" w:hAnsi="Times New Roman" w:cs="Times New Roman"/>
          <w:b w:val="0"/>
          <w:bCs w:val="0"/>
          <w:sz w:val="22"/>
          <w:szCs w:val="22"/>
          <w:lang w:val="en-GB"/>
        </w:rPr>
        <w:t>.</w:t>
      </w:r>
      <w:r w:rsidRPr="007E7407">
        <w:rPr>
          <w:rStyle w:val="jrnl"/>
          <w:rFonts w:ascii="Times New Roman" w:hAnsi="Times New Roman"/>
          <w:b w:val="0"/>
          <w:bCs w:val="0"/>
          <w:sz w:val="22"/>
          <w:szCs w:val="22"/>
          <w:lang w:val="en-GB"/>
        </w:rPr>
        <w:t>Sleep</w:t>
      </w:r>
      <w:r w:rsidRPr="007E7407">
        <w:rPr>
          <w:rFonts w:ascii="Times New Roman" w:hAnsi="Times New Roman" w:cs="Times New Roman"/>
          <w:b w:val="0"/>
          <w:bCs w:val="0"/>
          <w:sz w:val="22"/>
          <w:szCs w:val="22"/>
          <w:lang w:val="en-GB"/>
        </w:rPr>
        <w:t>. 2004 Nov 1;27(7):1369-77.</w:t>
      </w:r>
    </w:p>
    <w:p w:rsidR="00AC113A" w:rsidRPr="007E7407" w:rsidRDefault="00AC113A">
      <w:pPr>
        <w:pStyle w:val="details"/>
        <w:spacing w:before="0" w:after="0"/>
        <w:rPr>
          <w:rFonts w:cs="Times New Roman"/>
          <w:sz w:val="22"/>
          <w:szCs w:val="22"/>
          <w:lang w:val="en-US"/>
        </w:rPr>
      </w:pPr>
    </w:p>
    <w:p w:rsidR="00AC113A" w:rsidRPr="008B1937" w:rsidRDefault="00AC113A">
      <w:pPr>
        <w:pStyle w:val="Titre1"/>
        <w:spacing w:before="0" w:after="0"/>
        <w:rPr>
          <w:rFonts w:ascii="Times New Roman" w:hAnsi="Times New Roman" w:cs="Times New Roman"/>
          <w:b w:val="0"/>
          <w:bCs w:val="0"/>
          <w:sz w:val="22"/>
          <w:szCs w:val="22"/>
          <w:lang w:val="en-GB"/>
        </w:rPr>
      </w:pPr>
      <w:r w:rsidRPr="007E7407">
        <w:rPr>
          <w:rFonts w:ascii="Times New Roman" w:hAnsi="Times New Roman" w:cs="Times New Roman"/>
          <w:b w:val="0"/>
          <w:bCs w:val="0"/>
          <w:sz w:val="22"/>
          <w:szCs w:val="22"/>
          <w:lang w:val="en-US"/>
        </w:rPr>
        <w:t>Kelly JJ, Mangos G, Williamson PM, Whitworth JA.</w:t>
      </w:r>
      <w:hyperlink r:id="rId236" w:history="1">
        <w:r w:rsidRPr="008B1937">
          <w:rPr>
            <w:rStyle w:val="Lienhypertexte"/>
            <w:rFonts w:ascii="Times New Roman" w:hAnsi="Times New Roman"/>
            <w:b w:val="0"/>
            <w:bCs w:val="0"/>
            <w:color w:val="auto"/>
            <w:sz w:val="22"/>
            <w:szCs w:val="22"/>
            <w:u w:val="none"/>
            <w:lang w:val="en-GB"/>
          </w:rPr>
          <w:t>Cortisol and hypertension.</w:t>
        </w:r>
      </w:hyperlink>
      <w:r w:rsidRPr="007E7407">
        <w:rPr>
          <w:rStyle w:val="jrnl"/>
          <w:rFonts w:ascii="Times New Roman" w:hAnsi="Times New Roman"/>
          <w:b w:val="0"/>
          <w:bCs w:val="0"/>
          <w:sz w:val="22"/>
          <w:szCs w:val="22"/>
          <w:lang w:val="en-US"/>
        </w:rPr>
        <w:t>Clin Exp Pharmacol Physiol Suppl</w:t>
      </w:r>
      <w:r w:rsidRPr="007E7407">
        <w:rPr>
          <w:rFonts w:ascii="Times New Roman" w:hAnsi="Times New Roman" w:cs="Times New Roman"/>
          <w:b w:val="0"/>
          <w:bCs w:val="0"/>
          <w:sz w:val="22"/>
          <w:szCs w:val="22"/>
          <w:lang w:val="en-US"/>
        </w:rPr>
        <w:t xml:space="preserve">. 1998 Nov;25:S51-6. </w:t>
      </w:r>
      <w:r w:rsidRPr="008B1937">
        <w:rPr>
          <w:rFonts w:ascii="Times New Roman" w:hAnsi="Times New Roman" w:cs="Times New Roman"/>
          <w:b w:val="0"/>
          <w:bCs w:val="0"/>
          <w:sz w:val="22"/>
          <w:szCs w:val="22"/>
          <w:lang w:val="en-GB"/>
        </w:rPr>
        <w:t>Review.</w:t>
      </w:r>
    </w:p>
    <w:p w:rsidR="00AC113A" w:rsidRPr="008B1937" w:rsidRDefault="00AC113A">
      <w:pPr>
        <w:pStyle w:val="details"/>
        <w:spacing w:before="0" w:after="0"/>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pt-BR"/>
        </w:rPr>
        <w:t xml:space="preserve"> Sajadinejad MS, Asgari K, Molavi H, Kalantari M, Adibi P.</w:t>
      </w:r>
      <w:hyperlink r:id="rId237" w:history="1">
        <w:r w:rsidRPr="008B1937">
          <w:rPr>
            <w:rStyle w:val="Lienhypertexte"/>
            <w:rFonts w:ascii="Times New Roman" w:hAnsi="Times New Roman"/>
            <w:b w:val="0"/>
            <w:bCs w:val="0"/>
            <w:color w:val="auto"/>
            <w:sz w:val="22"/>
            <w:szCs w:val="22"/>
            <w:u w:val="none"/>
            <w:lang w:val="en-GB"/>
          </w:rPr>
          <w:t>Psychological issues in inflammatory bowel disease: an overview.</w:t>
        </w:r>
      </w:hyperlink>
      <w:r w:rsidRPr="007E7407">
        <w:rPr>
          <w:rStyle w:val="jrnl"/>
          <w:rFonts w:ascii="Times New Roman" w:hAnsi="Times New Roman"/>
          <w:b w:val="0"/>
          <w:bCs w:val="0"/>
          <w:sz w:val="22"/>
          <w:szCs w:val="22"/>
          <w:lang w:val="en-US"/>
        </w:rPr>
        <w:t>Gastroenterol Res Pract</w:t>
      </w:r>
      <w:r w:rsidRPr="007E7407">
        <w:rPr>
          <w:rFonts w:ascii="Times New Roman" w:hAnsi="Times New Roman" w:cs="Times New Roman"/>
          <w:b w:val="0"/>
          <w:bCs w:val="0"/>
          <w:sz w:val="22"/>
          <w:szCs w:val="22"/>
          <w:lang w:val="en-US"/>
        </w:rPr>
        <w:t>. 2012;2012:106502. doi: 10.1155/2012/106502. Epub 2012 Jun 21.</w:t>
      </w:r>
    </w:p>
    <w:p w:rsidR="00AC113A" w:rsidRPr="007E7407" w:rsidRDefault="00AC113A">
      <w:pPr>
        <w:pStyle w:val="details"/>
        <w:spacing w:before="0"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238" w:history="1">
        <w:r w:rsidRPr="008B1937">
          <w:rPr>
            <w:rStyle w:val="Lienhypertexte"/>
            <w:rFonts w:ascii="Times New Roman" w:hAnsi="Times New Roman"/>
            <w:b w:val="0"/>
            <w:bCs w:val="0"/>
            <w:color w:val="auto"/>
            <w:sz w:val="22"/>
            <w:szCs w:val="22"/>
            <w:u w:val="none"/>
            <w:lang w:val="en-GB"/>
          </w:rPr>
          <w:t>Alhazzani W</w:t>
        </w:r>
      </w:hyperlink>
      <w:r w:rsidRPr="007E7407">
        <w:rPr>
          <w:rFonts w:ascii="Times New Roman" w:hAnsi="Times New Roman" w:cs="Times New Roman"/>
          <w:b w:val="0"/>
          <w:bCs w:val="0"/>
          <w:sz w:val="22"/>
          <w:szCs w:val="22"/>
          <w:lang w:val="en-US"/>
        </w:rPr>
        <w:t xml:space="preserve">, </w:t>
      </w:r>
      <w:hyperlink r:id="rId239" w:history="1">
        <w:r w:rsidRPr="008B1937">
          <w:rPr>
            <w:rStyle w:val="Lienhypertexte"/>
            <w:rFonts w:ascii="Times New Roman" w:hAnsi="Times New Roman"/>
            <w:b w:val="0"/>
            <w:bCs w:val="0"/>
            <w:color w:val="auto"/>
            <w:sz w:val="22"/>
            <w:szCs w:val="22"/>
            <w:u w:val="none"/>
            <w:lang w:val="en-GB"/>
          </w:rPr>
          <w:t>Alshahrani M</w:t>
        </w:r>
      </w:hyperlink>
      <w:r w:rsidRPr="007E7407">
        <w:rPr>
          <w:rFonts w:ascii="Times New Roman" w:hAnsi="Times New Roman" w:cs="Times New Roman"/>
          <w:b w:val="0"/>
          <w:bCs w:val="0"/>
          <w:sz w:val="22"/>
          <w:szCs w:val="22"/>
          <w:lang w:val="en-US"/>
        </w:rPr>
        <w:t xml:space="preserve">, </w:t>
      </w:r>
      <w:hyperlink r:id="rId240" w:history="1">
        <w:r w:rsidRPr="008B1937">
          <w:rPr>
            <w:rStyle w:val="Lienhypertexte"/>
            <w:rFonts w:ascii="Times New Roman" w:hAnsi="Times New Roman"/>
            <w:b w:val="0"/>
            <w:bCs w:val="0"/>
            <w:color w:val="auto"/>
            <w:sz w:val="22"/>
            <w:szCs w:val="22"/>
            <w:u w:val="none"/>
            <w:lang w:val="en-GB"/>
          </w:rPr>
          <w:t>Moayyedi P</w:t>
        </w:r>
      </w:hyperlink>
      <w:r w:rsidRPr="007E7407">
        <w:rPr>
          <w:rFonts w:ascii="Times New Roman" w:hAnsi="Times New Roman" w:cs="Times New Roman"/>
          <w:b w:val="0"/>
          <w:bCs w:val="0"/>
          <w:sz w:val="22"/>
          <w:szCs w:val="22"/>
          <w:lang w:val="en-US"/>
        </w:rPr>
        <w:t xml:space="preserve">, </w:t>
      </w:r>
      <w:hyperlink r:id="rId241" w:history="1">
        <w:r w:rsidRPr="008B1937">
          <w:rPr>
            <w:rStyle w:val="Lienhypertexte"/>
            <w:rFonts w:ascii="Times New Roman" w:hAnsi="Times New Roman"/>
            <w:b w:val="0"/>
            <w:bCs w:val="0"/>
            <w:color w:val="auto"/>
            <w:sz w:val="22"/>
            <w:szCs w:val="22"/>
            <w:u w:val="none"/>
            <w:lang w:val="en-GB"/>
          </w:rPr>
          <w:t>Jaeschke R</w:t>
        </w:r>
      </w:hyperlink>
      <w:r w:rsidRPr="007E7407">
        <w:rPr>
          <w:rFonts w:ascii="Times New Roman" w:hAnsi="Times New Roman" w:cs="Times New Roman"/>
          <w:b w:val="0"/>
          <w:bCs w:val="0"/>
          <w:sz w:val="22"/>
          <w:szCs w:val="22"/>
          <w:lang w:val="en-US"/>
        </w:rPr>
        <w:t>.</w:t>
      </w:r>
      <w:r w:rsidRPr="007E7407">
        <w:rPr>
          <w:rStyle w:val="highlight"/>
          <w:rFonts w:ascii="Times New Roman" w:hAnsi="Times New Roman"/>
          <w:b w:val="0"/>
          <w:bCs w:val="0"/>
          <w:sz w:val="22"/>
          <w:szCs w:val="22"/>
          <w:lang w:val="en-US"/>
        </w:rPr>
        <w:t>Stress</w:t>
      </w:r>
      <w:r w:rsidRPr="007E7407">
        <w:rPr>
          <w:rFonts w:ascii="Times New Roman" w:hAnsi="Times New Roman" w:cs="Times New Roman"/>
          <w:b w:val="0"/>
          <w:bCs w:val="0"/>
          <w:sz w:val="22"/>
          <w:szCs w:val="22"/>
          <w:lang w:val="en-US"/>
        </w:rPr>
        <w:t xml:space="preserve"> </w:t>
      </w:r>
      <w:r w:rsidRPr="007E7407">
        <w:rPr>
          <w:rStyle w:val="highlight"/>
          <w:rFonts w:ascii="Times New Roman" w:hAnsi="Times New Roman"/>
          <w:b w:val="0"/>
          <w:bCs w:val="0"/>
          <w:sz w:val="22"/>
          <w:szCs w:val="22"/>
          <w:lang w:val="en-US"/>
        </w:rPr>
        <w:t>ulcer</w:t>
      </w:r>
      <w:r w:rsidRPr="007E7407">
        <w:rPr>
          <w:rFonts w:ascii="Times New Roman" w:hAnsi="Times New Roman" w:cs="Times New Roman"/>
          <w:b w:val="0"/>
          <w:bCs w:val="0"/>
          <w:sz w:val="22"/>
          <w:szCs w:val="22"/>
          <w:lang w:val="en-US"/>
        </w:rPr>
        <w:t xml:space="preserve"> prophylaxis in critically ill patients: </w:t>
      </w:r>
      <w:r w:rsidRPr="007E7407">
        <w:rPr>
          <w:rStyle w:val="highlight"/>
          <w:rFonts w:ascii="Times New Roman" w:hAnsi="Times New Roman"/>
          <w:b w:val="0"/>
          <w:bCs w:val="0"/>
          <w:sz w:val="22"/>
          <w:szCs w:val="22"/>
          <w:lang w:val="en-US"/>
        </w:rPr>
        <w:t>review</w:t>
      </w:r>
      <w:r w:rsidRPr="007E7407">
        <w:rPr>
          <w:rFonts w:ascii="Times New Roman" w:hAnsi="Times New Roman" w:cs="Times New Roman"/>
          <w:b w:val="0"/>
          <w:bCs w:val="0"/>
          <w:sz w:val="22"/>
          <w:szCs w:val="22"/>
          <w:lang w:val="en-US"/>
        </w:rPr>
        <w:t xml:space="preserve"> of the evidence. </w:t>
      </w:r>
      <w:hyperlink r:id="rId242" w:history="1">
        <w:r w:rsidRPr="007E7407">
          <w:rPr>
            <w:rStyle w:val="Lienhypertexte"/>
            <w:rFonts w:ascii="Times New Roman" w:hAnsi="Times New Roman"/>
            <w:b w:val="0"/>
            <w:bCs w:val="0"/>
            <w:color w:val="auto"/>
            <w:sz w:val="22"/>
            <w:szCs w:val="22"/>
            <w:u w:val="none"/>
          </w:rPr>
          <w:t>Pol Arch Med Wewn.</w:t>
        </w:r>
      </w:hyperlink>
      <w:r w:rsidRPr="007E7407">
        <w:rPr>
          <w:rFonts w:ascii="Times New Roman" w:hAnsi="Times New Roman" w:cs="Times New Roman"/>
          <w:b w:val="0"/>
          <w:bCs w:val="0"/>
          <w:sz w:val="22"/>
          <w:szCs w:val="22"/>
          <w:lang w:val="en-US"/>
        </w:rPr>
        <w:t xml:space="preserve"> 2012;122(3):107-14..</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Maniam J, Morris MJ.</w:t>
      </w:r>
      <w:hyperlink r:id="rId243" w:history="1">
        <w:r w:rsidRPr="008B1937">
          <w:rPr>
            <w:rStyle w:val="Lienhypertexte"/>
            <w:rFonts w:ascii="Times New Roman" w:hAnsi="Times New Roman"/>
            <w:b w:val="0"/>
            <w:bCs w:val="0"/>
            <w:color w:val="auto"/>
            <w:sz w:val="22"/>
            <w:szCs w:val="22"/>
            <w:u w:val="none"/>
            <w:lang w:val="en-GB"/>
          </w:rPr>
          <w:t>The link between stress and feeding behaviour.</w:t>
        </w:r>
      </w:hyperlink>
      <w:r w:rsidRPr="007E7407">
        <w:rPr>
          <w:rStyle w:val="jrnl"/>
          <w:rFonts w:ascii="Times New Roman" w:hAnsi="Times New Roman"/>
          <w:b w:val="0"/>
          <w:bCs w:val="0"/>
          <w:sz w:val="22"/>
          <w:szCs w:val="22"/>
        </w:rPr>
        <w:t>Neuropharmacology</w:t>
      </w:r>
      <w:r w:rsidRPr="007E7407">
        <w:rPr>
          <w:rFonts w:ascii="Times New Roman" w:hAnsi="Times New Roman" w:cs="Times New Roman"/>
          <w:b w:val="0"/>
          <w:bCs w:val="0"/>
          <w:sz w:val="22"/>
          <w:szCs w:val="22"/>
        </w:rPr>
        <w:t xml:space="preserve">. 2012 Jul;63(1):97-110. doi: 10.1016/j.neuropharm.2012.04.017. </w:t>
      </w:r>
      <w:r w:rsidRPr="007E7407">
        <w:rPr>
          <w:rFonts w:ascii="Times New Roman" w:hAnsi="Times New Roman" w:cs="Times New Roman"/>
          <w:b w:val="0"/>
          <w:bCs w:val="0"/>
          <w:sz w:val="22"/>
          <w:szCs w:val="22"/>
          <w:lang w:val="en-US"/>
        </w:rPr>
        <w:t>Epub 2012 Apr 24. Review.</w:t>
      </w:r>
    </w:p>
    <w:p w:rsidR="00AC113A" w:rsidRPr="007E7407" w:rsidRDefault="00AC113A">
      <w:pPr>
        <w:pStyle w:val="details"/>
        <w:spacing w:before="0"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Wasser SK, Sewall G, Soules MR.</w:t>
      </w:r>
      <w:hyperlink r:id="rId244" w:history="1">
        <w:r w:rsidRPr="008B1937">
          <w:rPr>
            <w:rStyle w:val="Lienhypertexte"/>
            <w:rFonts w:ascii="Times New Roman" w:hAnsi="Times New Roman"/>
            <w:b w:val="0"/>
            <w:bCs w:val="0"/>
            <w:color w:val="auto"/>
            <w:sz w:val="22"/>
            <w:szCs w:val="22"/>
            <w:u w:val="none"/>
            <w:lang w:val="en-GB"/>
          </w:rPr>
          <w:t>Psychosocial stress as a cause of infertility.</w:t>
        </w:r>
      </w:hyperlink>
      <w:r w:rsidRPr="007E7407">
        <w:rPr>
          <w:rStyle w:val="jrnl"/>
          <w:rFonts w:ascii="Times New Roman" w:hAnsi="Times New Roman"/>
          <w:b w:val="0"/>
          <w:bCs w:val="0"/>
          <w:sz w:val="22"/>
          <w:szCs w:val="22"/>
          <w:lang w:val="en-US"/>
        </w:rPr>
        <w:t>Fertil Steril</w:t>
      </w:r>
      <w:r w:rsidRPr="007E7407">
        <w:rPr>
          <w:rFonts w:ascii="Times New Roman" w:hAnsi="Times New Roman" w:cs="Times New Roman"/>
          <w:b w:val="0"/>
          <w:bCs w:val="0"/>
          <w:sz w:val="22"/>
          <w:szCs w:val="22"/>
          <w:lang w:val="en-US"/>
        </w:rPr>
        <w:t>. 1993 Mar;59(3):685-9.</w:t>
      </w:r>
    </w:p>
    <w:p w:rsidR="00AC113A" w:rsidRPr="007E7407" w:rsidRDefault="00AC113A">
      <w:pPr>
        <w:pStyle w:val="details"/>
        <w:spacing w:before="0"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245" w:history="1">
        <w:r w:rsidRPr="008B1937">
          <w:rPr>
            <w:rStyle w:val="Lienhypertexte"/>
            <w:rFonts w:ascii="Times New Roman" w:hAnsi="Times New Roman"/>
            <w:b w:val="0"/>
            <w:bCs w:val="0"/>
            <w:color w:val="auto"/>
            <w:sz w:val="22"/>
            <w:szCs w:val="22"/>
            <w:u w:val="none"/>
            <w:lang w:val="en-GB"/>
          </w:rPr>
          <w:t>Soucek M</w:t>
        </w:r>
      </w:hyperlink>
      <w:r w:rsidRPr="007E7407">
        <w:rPr>
          <w:rFonts w:ascii="Times New Roman" w:hAnsi="Times New Roman" w:cs="Times New Roman"/>
          <w:b w:val="0"/>
          <w:bCs w:val="0"/>
          <w:sz w:val="22"/>
          <w:szCs w:val="22"/>
          <w:lang w:val="en-US"/>
        </w:rPr>
        <w:t xml:space="preserve">, </w:t>
      </w:r>
      <w:hyperlink r:id="rId246" w:history="1">
        <w:r w:rsidRPr="008B1937">
          <w:rPr>
            <w:rStyle w:val="Lienhypertexte"/>
            <w:rFonts w:ascii="Times New Roman" w:hAnsi="Times New Roman"/>
            <w:b w:val="0"/>
            <w:bCs w:val="0"/>
            <w:color w:val="auto"/>
            <w:sz w:val="22"/>
            <w:szCs w:val="22"/>
            <w:u w:val="none"/>
            <w:lang w:val="en-GB"/>
          </w:rPr>
          <w:t>Kára T</w:t>
        </w:r>
      </w:hyperlink>
      <w:r w:rsidRPr="007E7407">
        <w:rPr>
          <w:rFonts w:ascii="Times New Roman" w:hAnsi="Times New Roman" w:cs="Times New Roman"/>
          <w:b w:val="0"/>
          <w:bCs w:val="0"/>
          <w:sz w:val="22"/>
          <w:szCs w:val="22"/>
          <w:lang w:val="en-US"/>
        </w:rPr>
        <w:t xml:space="preserve">. [Stress-induced hypertension and diabetes mellitus].[Article in Czech] </w:t>
      </w:r>
      <w:hyperlink r:id="rId247" w:history="1">
        <w:r w:rsidRPr="008B1937">
          <w:rPr>
            <w:rStyle w:val="Lienhypertexte"/>
            <w:rFonts w:ascii="Times New Roman" w:hAnsi="Times New Roman"/>
            <w:b w:val="0"/>
            <w:bCs w:val="0"/>
            <w:color w:val="auto"/>
            <w:sz w:val="22"/>
            <w:szCs w:val="22"/>
            <w:u w:val="none"/>
            <w:lang w:val="en-GB"/>
          </w:rPr>
          <w:t>Vnitr Lek.</w:t>
        </w:r>
      </w:hyperlink>
      <w:r w:rsidRPr="007E7407">
        <w:rPr>
          <w:rFonts w:ascii="Times New Roman" w:hAnsi="Times New Roman" w:cs="Times New Roman"/>
          <w:b w:val="0"/>
          <w:bCs w:val="0"/>
          <w:sz w:val="22"/>
          <w:szCs w:val="22"/>
          <w:lang w:val="en-US"/>
        </w:rPr>
        <w:t xml:space="preserve"> </w:t>
      </w:r>
      <w:r w:rsidRPr="007E7407">
        <w:rPr>
          <w:rFonts w:ascii="Times New Roman" w:hAnsi="Times New Roman" w:cs="Times New Roman"/>
          <w:b w:val="0"/>
          <w:bCs w:val="0"/>
          <w:sz w:val="22"/>
          <w:szCs w:val="22"/>
          <w:lang w:val="en-GB"/>
        </w:rPr>
        <w:t>2001 May;47(5):315-9.</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w:t>
      </w:r>
      <w:hyperlink r:id="rId248" w:history="1">
        <w:r w:rsidRPr="008B1937">
          <w:rPr>
            <w:rStyle w:val="Lienhypertexte"/>
            <w:rFonts w:ascii="Times New Roman" w:hAnsi="Times New Roman"/>
            <w:b w:val="0"/>
            <w:bCs w:val="0"/>
            <w:color w:val="auto"/>
            <w:sz w:val="22"/>
            <w:szCs w:val="22"/>
            <w:u w:val="none"/>
            <w:lang w:val="en-GB"/>
          </w:rPr>
          <w:t>McCray CJ</w:t>
        </w:r>
      </w:hyperlink>
      <w:r w:rsidRPr="007E7407">
        <w:rPr>
          <w:rFonts w:ascii="Times New Roman" w:hAnsi="Times New Roman" w:cs="Times New Roman"/>
          <w:b w:val="0"/>
          <w:bCs w:val="0"/>
          <w:sz w:val="22"/>
          <w:szCs w:val="22"/>
          <w:lang w:val="en-US"/>
        </w:rPr>
        <w:t xml:space="preserve">, </w:t>
      </w:r>
      <w:hyperlink r:id="rId249" w:history="1">
        <w:r w:rsidRPr="008B1937">
          <w:rPr>
            <w:rStyle w:val="Lienhypertexte"/>
            <w:rFonts w:ascii="Times New Roman" w:hAnsi="Times New Roman"/>
            <w:b w:val="0"/>
            <w:bCs w:val="0"/>
            <w:color w:val="auto"/>
            <w:sz w:val="22"/>
            <w:szCs w:val="22"/>
            <w:u w:val="none"/>
            <w:lang w:val="en-GB"/>
          </w:rPr>
          <w:t>Agarwal SK</w:t>
        </w:r>
      </w:hyperlink>
      <w:r w:rsidRPr="007E7407">
        <w:rPr>
          <w:rFonts w:ascii="Times New Roman" w:hAnsi="Times New Roman" w:cs="Times New Roman"/>
          <w:b w:val="0"/>
          <w:bCs w:val="0"/>
          <w:sz w:val="22"/>
          <w:szCs w:val="22"/>
          <w:lang w:val="en-US"/>
        </w:rPr>
        <w:t>.Stress and autoimmunity.</w:t>
      </w:r>
      <w:hyperlink r:id="rId250" w:history="1">
        <w:r w:rsidRPr="007E7407">
          <w:rPr>
            <w:rStyle w:val="Lienhypertexte"/>
            <w:rFonts w:ascii="Times New Roman" w:hAnsi="Times New Roman"/>
            <w:b w:val="0"/>
            <w:bCs w:val="0"/>
            <w:color w:val="auto"/>
            <w:sz w:val="22"/>
            <w:szCs w:val="22"/>
            <w:u w:val="none"/>
          </w:rPr>
          <w:t>Immunol Allergy Clin North Am.</w:t>
        </w:r>
      </w:hyperlink>
      <w:r w:rsidRPr="007E7407">
        <w:rPr>
          <w:rFonts w:ascii="Times New Roman" w:hAnsi="Times New Roman" w:cs="Times New Roman"/>
          <w:b w:val="0"/>
          <w:bCs w:val="0"/>
          <w:sz w:val="22"/>
          <w:szCs w:val="22"/>
          <w:lang w:val="en-US"/>
        </w:rPr>
        <w:t xml:space="preserve"> 2011 Feb;31(1):1-</w:t>
      </w:r>
      <w:r w:rsidRPr="007E7407">
        <w:rPr>
          <w:rFonts w:ascii="Times New Roman" w:hAnsi="Times New Roman" w:cs="Times New Roman"/>
          <w:b w:val="0"/>
          <w:bCs w:val="0"/>
          <w:sz w:val="22"/>
          <w:szCs w:val="22"/>
          <w:lang w:val="en-US"/>
        </w:rPr>
        <w:lastRenderedPageBreak/>
        <w:t xml:space="preserve">18. </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Kouvonen A, Vahtera J, Oksanen T, Pentti J, Väänänen AK, Heponiemi T, Salo P, Virtanen M, Kivimäki M. </w:t>
      </w:r>
      <w:hyperlink r:id="rId251" w:history="1">
        <w:r w:rsidRPr="008B1937">
          <w:rPr>
            <w:rStyle w:val="Lienhypertexte"/>
            <w:rFonts w:ascii="Times New Roman" w:hAnsi="Times New Roman"/>
            <w:b w:val="0"/>
            <w:bCs w:val="0"/>
            <w:color w:val="auto"/>
            <w:sz w:val="22"/>
            <w:szCs w:val="22"/>
            <w:u w:val="none"/>
            <w:lang w:val="en-GB"/>
          </w:rPr>
          <w:t>Chronic workplace stress and insufficient physical activity: a cohort study.</w:t>
        </w:r>
      </w:hyperlink>
      <w:r w:rsidRPr="007E7407">
        <w:rPr>
          <w:rStyle w:val="jrnl"/>
          <w:rFonts w:ascii="Times New Roman" w:hAnsi="Times New Roman"/>
          <w:b w:val="0"/>
          <w:bCs w:val="0"/>
          <w:sz w:val="22"/>
          <w:szCs w:val="22"/>
          <w:lang w:val="en-US"/>
        </w:rPr>
        <w:t>Occup Environ Med</w:t>
      </w:r>
      <w:r w:rsidRPr="007E7407">
        <w:rPr>
          <w:rFonts w:ascii="Times New Roman" w:hAnsi="Times New Roman" w:cs="Times New Roman"/>
          <w:b w:val="0"/>
          <w:bCs w:val="0"/>
          <w:sz w:val="22"/>
          <w:szCs w:val="22"/>
          <w:lang w:val="en-US"/>
        </w:rPr>
        <w:t>. 2013 Jan;70(1):3-8</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252" w:history="1">
        <w:r w:rsidRPr="008B1937">
          <w:rPr>
            <w:rStyle w:val="Lienhypertexte"/>
            <w:rFonts w:ascii="Times New Roman" w:hAnsi="Times New Roman"/>
            <w:b w:val="0"/>
            <w:bCs w:val="0"/>
            <w:color w:val="auto"/>
            <w:sz w:val="22"/>
            <w:szCs w:val="22"/>
            <w:u w:val="none"/>
            <w:lang w:val="en-GB"/>
          </w:rPr>
          <w:t>Bauer ME</w:t>
        </w:r>
      </w:hyperlink>
      <w:r w:rsidRPr="007E7407">
        <w:rPr>
          <w:rFonts w:ascii="Times New Roman" w:hAnsi="Times New Roman" w:cs="Times New Roman"/>
          <w:b w:val="0"/>
          <w:bCs w:val="0"/>
          <w:sz w:val="22"/>
          <w:szCs w:val="22"/>
          <w:lang w:val="en-US"/>
        </w:rPr>
        <w:t xml:space="preserve"> Chronic stress and immunosenescence: a review. </w:t>
      </w:r>
      <w:hyperlink r:id="rId253" w:history="1">
        <w:r w:rsidRPr="007E7407">
          <w:rPr>
            <w:rStyle w:val="Lienhypertexte"/>
            <w:rFonts w:ascii="Times New Roman" w:hAnsi="Times New Roman"/>
            <w:b w:val="0"/>
            <w:bCs w:val="0"/>
            <w:color w:val="auto"/>
            <w:sz w:val="22"/>
            <w:szCs w:val="22"/>
            <w:u w:val="none"/>
          </w:rPr>
          <w:t>Neuroimmunomodulation.</w:t>
        </w:r>
      </w:hyperlink>
      <w:r w:rsidRPr="007E7407">
        <w:rPr>
          <w:rFonts w:ascii="Times New Roman" w:hAnsi="Times New Roman" w:cs="Times New Roman"/>
          <w:b w:val="0"/>
          <w:bCs w:val="0"/>
          <w:sz w:val="22"/>
          <w:szCs w:val="22"/>
          <w:lang w:val="en-US"/>
        </w:rPr>
        <w:t xml:space="preserve"> 2008;15(4-6):241-50</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254" w:history="1">
        <w:r w:rsidRPr="008B1937">
          <w:rPr>
            <w:rStyle w:val="Lienhypertexte"/>
            <w:rFonts w:ascii="Times New Roman" w:hAnsi="Times New Roman"/>
            <w:b w:val="0"/>
            <w:bCs w:val="0"/>
            <w:color w:val="auto"/>
            <w:sz w:val="22"/>
            <w:szCs w:val="22"/>
            <w:u w:val="none"/>
            <w:lang w:val="en-GB"/>
          </w:rPr>
          <w:t>Albanidou-Farmaki E</w:t>
        </w:r>
      </w:hyperlink>
      <w:r w:rsidRPr="007E7407">
        <w:rPr>
          <w:rFonts w:ascii="Times New Roman" w:hAnsi="Times New Roman" w:cs="Times New Roman"/>
          <w:b w:val="0"/>
          <w:bCs w:val="0"/>
          <w:sz w:val="22"/>
          <w:szCs w:val="22"/>
          <w:lang w:val="en-GB"/>
        </w:rPr>
        <w:t xml:space="preserve">, </w:t>
      </w:r>
      <w:hyperlink r:id="rId255" w:history="1">
        <w:r w:rsidRPr="008B1937">
          <w:rPr>
            <w:rStyle w:val="Lienhypertexte"/>
            <w:rFonts w:ascii="Times New Roman" w:hAnsi="Times New Roman"/>
            <w:b w:val="0"/>
            <w:bCs w:val="0"/>
            <w:color w:val="auto"/>
            <w:sz w:val="22"/>
            <w:szCs w:val="22"/>
            <w:u w:val="none"/>
            <w:lang w:val="en-GB"/>
          </w:rPr>
          <w:t>Poulopoulos AK</w:t>
        </w:r>
      </w:hyperlink>
      <w:r w:rsidRPr="007E7407">
        <w:rPr>
          <w:rFonts w:ascii="Times New Roman" w:hAnsi="Times New Roman" w:cs="Times New Roman"/>
          <w:b w:val="0"/>
          <w:bCs w:val="0"/>
          <w:sz w:val="22"/>
          <w:szCs w:val="22"/>
          <w:lang w:val="en-GB"/>
        </w:rPr>
        <w:t xml:space="preserve">, </w:t>
      </w:r>
      <w:hyperlink r:id="rId256" w:history="1">
        <w:r w:rsidRPr="008B1937">
          <w:rPr>
            <w:rStyle w:val="Lienhypertexte"/>
            <w:rFonts w:ascii="Times New Roman" w:hAnsi="Times New Roman"/>
            <w:b w:val="0"/>
            <w:bCs w:val="0"/>
            <w:color w:val="auto"/>
            <w:sz w:val="22"/>
            <w:szCs w:val="22"/>
            <w:u w:val="none"/>
            <w:lang w:val="en-GB"/>
          </w:rPr>
          <w:t>Epivatianos A</w:t>
        </w:r>
      </w:hyperlink>
      <w:r w:rsidRPr="007E7407">
        <w:rPr>
          <w:rFonts w:ascii="Times New Roman" w:hAnsi="Times New Roman" w:cs="Times New Roman"/>
          <w:b w:val="0"/>
          <w:bCs w:val="0"/>
          <w:sz w:val="22"/>
          <w:szCs w:val="22"/>
          <w:lang w:val="en-GB"/>
        </w:rPr>
        <w:t xml:space="preserve">, </w:t>
      </w:r>
      <w:hyperlink r:id="rId257" w:history="1">
        <w:r w:rsidRPr="008B1937">
          <w:rPr>
            <w:rStyle w:val="Lienhypertexte"/>
            <w:rFonts w:ascii="Times New Roman" w:hAnsi="Times New Roman"/>
            <w:b w:val="0"/>
            <w:bCs w:val="0"/>
            <w:color w:val="auto"/>
            <w:sz w:val="22"/>
            <w:szCs w:val="22"/>
            <w:u w:val="none"/>
            <w:lang w:val="en-GB"/>
          </w:rPr>
          <w:t>Farmakis K</w:t>
        </w:r>
      </w:hyperlink>
      <w:r w:rsidRPr="007E7407">
        <w:rPr>
          <w:rFonts w:ascii="Times New Roman" w:hAnsi="Times New Roman" w:cs="Times New Roman"/>
          <w:b w:val="0"/>
          <w:bCs w:val="0"/>
          <w:sz w:val="22"/>
          <w:szCs w:val="22"/>
          <w:lang w:val="en-GB"/>
        </w:rPr>
        <w:t xml:space="preserve">, </w:t>
      </w:r>
      <w:hyperlink r:id="rId258" w:history="1">
        <w:r w:rsidRPr="008B1937">
          <w:rPr>
            <w:rStyle w:val="Lienhypertexte"/>
            <w:rFonts w:ascii="Times New Roman" w:hAnsi="Times New Roman"/>
            <w:b w:val="0"/>
            <w:bCs w:val="0"/>
            <w:color w:val="auto"/>
            <w:sz w:val="22"/>
            <w:szCs w:val="22"/>
            <w:u w:val="none"/>
            <w:lang w:val="en-GB"/>
          </w:rPr>
          <w:t>Karamouzis M</w:t>
        </w:r>
      </w:hyperlink>
      <w:r w:rsidRPr="007E7407">
        <w:rPr>
          <w:rFonts w:ascii="Times New Roman" w:hAnsi="Times New Roman" w:cs="Times New Roman"/>
          <w:b w:val="0"/>
          <w:bCs w:val="0"/>
          <w:sz w:val="22"/>
          <w:szCs w:val="22"/>
          <w:lang w:val="en-GB"/>
        </w:rPr>
        <w:t xml:space="preserve">, </w:t>
      </w:r>
      <w:hyperlink r:id="rId259" w:history="1">
        <w:r w:rsidRPr="008B1937">
          <w:rPr>
            <w:rStyle w:val="Lienhypertexte"/>
            <w:rFonts w:ascii="Times New Roman" w:hAnsi="Times New Roman"/>
            <w:b w:val="0"/>
            <w:bCs w:val="0"/>
            <w:color w:val="auto"/>
            <w:sz w:val="22"/>
            <w:szCs w:val="22"/>
            <w:u w:val="none"/>
            <w:lang w:val="en-GB"/>
          </w:rPr>
          <w:t>Antoniades D</w:t>
        </w:r>
      </w:hyperlink>
      <w:r w:rsidRPr="007E7407">
        <w:rPr>
          <w:rFonts w:ascii="Times New Roman" w:hAnsi="Times New Roman" w:cs="Times New Roman"/>
          <w:b w:val="0"/>
          <w:bCs w:val="0"/>
          <w:sz w:val="22"/>
          <w:szCs w:val="22"/>
          <w:lang w:val="en-GB"/>
        </w:rPr>
        <w:t>.</w:t>
      </w:r>
      <w:r w:rsidRPr="007E7407">
        <w:rPr>
          <w:rFonts w:ascii="Times New Roman" w:hAnsi="Times New Roman" w:cs="Times New Roman"/>
          <w:b w:val="0"/>
          <w:bCs w:val="0"/>
          <w:sz w:val="22"/>
          <w:szCs w:val="22"/>
          <w:lang w:val="en-US"/>
        </w:rPr>
        <w:t>Increased anxiety level and high salivary and serum cortisol concentrations in patients with recurrent aphthous stomatitis.</w:t>
      </w:r>
      <w:hyperlink r:id="rId260" w:history="1">
        <w:r w:rsidRPr="007E7407">
          <w:rPr>
            <w:rStyle w:val="Lienhypertexte"/>
            <w:rFonts w:ascii="Times New Roman" w:hAnsi="Times New Roman"/>
            <w:b w:val="0"/>
            <w:bCs w:val="0"/>
            <w:color w:val="auto"/>
            <w:sz w:val="22"/>
            <w:szCs w:val="22"/>
            <w:u w:val="none"/>
          </w:rPr>
          <w:t>Tohoku J Exp Med.</w:t>
        </w:r>
      </w:hyperlink>
      <w:r w:rsidRPr="007E7407">
        <w:rPr>
          <w:rFonts w:ascii="Times New Roman" w:hAnsi="Times New Roman" w:cs="Times New Roman"/>
          <w:b w:val="0"/>
          <w:bCs w:val="0"/>
          <w:sz w:val="22"/>
          <w:szCs w:val="22"/>
          <w:lang w:val="en-US"/>
        </w:rPr>
        <w:t xml:space="preserve"> 2008 Apr;214(4):291-6.</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w:t>
      </w:r>
      <w:r w:rsidRPr="007E7407">
        <w:rPr>
          <w:rFonts w:ascii="Times New Roman" w:hAnsi="Times New Roman" w:cs="Times New Roman"/>
          <w:b w:val="0"/>
          <w:bCs w:val="0"/>
          <w:sz w:val="22"/>
          <w:szCs w:val="22"/>
          <w:lang w:val="pt-BR"/>
        </w:rPr>
        <w:t xml:space="preserve">Homann D, Stefanello JM, Góes SM, Breda CA, Paiva Edos S, Leite N. </w:t>
      </w:r>
      <w:hyperlink r:id="rId261" w:history="1">
        <w:r w:rsidRPr="008B1937">
          <w:rPr>
            <w:rStyle w:val="Lienhypertexte"/>
            <w:rFonts w:ascii="Times New Roman" w:hAnsi="Times New Roman"/>
            <w:b w:val="0"/>
            <w:bCs w:val="0"/>
            <w:color w:val="auto"/>
            <w:sz w:val="22"/>
            <w:szCs w:val="22"/>
            <w:u w:val="none"/>
            <w:lang w:val="en-GB"/>
          </w:rPr>
          <w:t>Stress perception and depressive symptoms: functionality and impact on the quality of life of women with fibromyalgia.</w:t>
        </w:r>
      </w:hyperlink>
      <w:r w:rsidRPr="007E7407">
        <w:rPr>
          <w:rStyle w:val="jrnl"/>
          <w:rFonts w:ascii="Times New Roman" w:hAnsi="Times New Roman"/>
          <w:b w:val="0"/>
          <w:bCs w:val="0"/>
          <w:sz w:val="22"/>
          <w:szCs w:val="22"/>
          <w:lang w:val="en-US"/>
        </w:rPr>
        <w:t>Rev Bras Reumatol</w:t>
      </w:r>
      <w:r w:rsidRPr="007E7407">
        <w:rPr>
          <w:rFonts w:ascii="Times New Roman" w:hAnsi="Times New Roman" w:cs="Times New Roman"/>
          <w:b w:val="0"/>
          <w:bCs w:val="0"/>
          <w:sz w:val="22"/>
          <w:szCs w:val="22"/>
          <w:lang w:val="en-US"/>
        </w:rPr>
        <w:t xml:space="preserve">. 2012 May-Jun;52(3):319-30. English, Portuguese. </w:t>
      </w:r>
    </w:p>
    <w:p w:rsidR="00AC113A" w:rsidRPr="007E7407" w:rsidRDefault="00AC113A">
      <w:pPr>
        <w:pStyle w:val="details"/>
        <w:spacing w:before="0"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GB"/>
        </w:rPr>
      </w:pPr>
      <w:r w:rsidRPr="007E7407">
        <w:rPr>
          <w:rFonts w:ascii="Times New Roman" w:hAnsi="Times New Roman" w:cs="Times New Roman"/>
          <w:b w:val="0"/>
          <w:bCs w:val="0"/>
          <w:sz w:val="22"/>
          <w:szCs w:val="22"/>
        </w:rPr>
        <w:t xml:space="preserve"> Menzies V, Lyon DE, Elswick RK Jr, Montpetit AJ, McCain NL. </w:t>
      </w:r>
      <w:hyperlink r:id="rId262" w:history="1">
        <w:r w:rsidRPr="008B1937">
          <w:rPr>
            <w:rStyle w:val="Lienhypertexte"/>
            <w:rFonts w:ascii="Times New Roman" w:hAnsi="Times New Roman"/>
            <w:b w:val="0"/>
            <w:bCs w:val="0"/>
            <w:color w:val="auto"/>
            <w:sz w:val="22"/>
            <w:szCs w:val="22"/>
            <w:u w:val="none"/>
            <w:lang w:val="en-GB"/>
          </w:rPr>
          <w:t>Psychoneuroimmunological relationships in women with fibromyalgia.</w:t>
        </w:r>
      </w:hyperlink>
      <w:r w:rsidRPr="007E7407">
        <w:rPr>
          <w:rStyle w:val="jrnl"/>
          <w:rFonts w:ascii="Times New Roman" w:hAnsi="Times New Roman"/>
          <w:b w:val="0"/>
          <w:bCs w:val="0"/>
          <w:sz w:val="22"/>
          <w:szCs w:val="22"/>
          <w:lang w:val="en-US"/>
        </w:rPr>
        <w:t>Biol Res Nurs</w:t>
      </w:r>
      <w:r w:rsidRPr="007E7407">
        <w:rPr>
          <w:rFonts w:ascii="Times New Roman" w:hAnsi="Times New Roman" w:cs="Times New Roman"/>
          <w:b w:val="0"/>
          <w:bCs w:val="0"/>
          <w:sz w:val="22"/>
          <w:szCs w:val="22"/>
          <w:lang w:val="en-US"/>
        </w:rPr>
        <w:t>. 2013 Apr;15(2):219-25. doi: 10.1177/1099800411424204. Epub 2011 Dec 15.</w:t>
      </w:r>
    </w:p>
    <w:p w:rsidR="00AC113A" w:rsidRPr="007E7407" w:rsidRDefault="00AC113A">
      <w:pPr>
        <w:pStyle w:val="details"/>
        <w:spacing w:before="0" w:after="0"/>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Godbout JP, Glaser R.</w:t>
      </w:r>
      <w:hyperlink r:id="rId263" w:history="1">
        <w:r w:rsidRPr="008B1937">
          <w:rPr>
            <w:rStyle w:val="Lienhypertexte"/>
            <w:rFonts w:ascii="Times New Roman" w:hAnsi="Times New Roman"/>
            <w:b w:val="0"/>
            <w:bCs w:val="0"/>
            <w:color w:val="auto"/>
            <w:sz w:val="22"/>
            <w:szCs w:val="22"/>
            <w:u w:val="none"/>
            <w:lang w:val="en-GB"/>
          </w:rPr>
          <w:t>Stress-induced immune dysregulation: implications for wound healing, infectious disease and cancer.</w:t>
        </w:r>
      </w:hyperlink>
      <w:r w:rsidRPr="007E7407">
        <w:rPr>
          <w:rStyle w:val="jrnl"/>
          <w:rFonts w:ascii="Times New Roman" w:hAnsi="Times New Roman"/>
          <w:b w:val="0"/>
          <w:bCs w:val="0"/>
          <w:sz w:val="22"/>
          <w:szCs w:val="22"/>
        </w:rPr>
        <w:t>J Neuroimmune Pharmacol</w:t>
      </w:r>
      <w:r w:rsidRPr="007E7407">
        <w:rPr>
          <w:rFonts w:ascii="Times New Roman" w:hAnsi="Times New Roman" w:cs="Times New Roman"/>
          <w:b w:val="0"/>
          <w:bCs w:val="0"/>
          <w:sz w:val="22"/>
          <w:szCs w:val="22"/>
        </w:rPr>
        <w:t xml:space="preserve">. 2006 Dec;1(4):421-7. Epub 2006 Aug 10. </w:t>
      </w:r>
      <w:r w:rsidRPr="007E7407">
        <w:rPr>
          <w:rFonts w:ascii="Times New Roman" w:hAnsi="Times New Roman" w:cs="Times New Roman"/>
          <w:b w:val="0"/>
          <w:bCs w:val="0"/>
          <w:sz w:val="22"/>
          <w:szCs w:val="22"/>
          <w:lang w:val="en-US"/>
        </w:rPr>
        <w:t>Review.</w:t>
      </w:r>
    </w:p>
    <w:p w:rsidR="00AC113A" w:rsidRPr="007E7407" w:rsidRDefault="00AC113A">
      <w:pPr>
        <w:pStyle w:val="details"/>
        <w:spacing w:before="0"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Glaser R, Kiecolt-Glaser JK.</w:t>
      </w:r>
      <w:hyperlink r:id="rId264" w:history="1">
        <w:r w:rsidRPr="008B1937">
          <w:rPr>
            <w:rStyle w:val="Lienhypertexte"/>
            <w:rFonts w:ascii="Times New Roman" w:hAnsi="Times New Roman"/>
            <w:b w:val="0"/>
            <w:bCs w:val="0"/>
            <w:color w:val="auto"/>
            <w:sz w:val="22"/>
            <w:szCs w:val="22"/>
            <w:u w:val="none"/>
            <w:lang w:val="en-GB"/>
          </w:rPr>
          <w:t>Stress-induced immune dysfunction: implications for health.</w:t>
        </w:r>
      </w:hyperlink>
      <w:r w:rsidRPr="007E7407">
        <w:rPr>
          <w:rStyle w:val="jrnl"/>
          <w:rFonts w:ascii="Times New Roman" w:hAnsi="Times New Roman"/>
          <w:b w:val="0"/>
          <w:bCs w:val="0"/>
          <w:sz w:val="22"/>
          <w:szCs w:val="22"/>
          <w:lang w:val="en-US"/>
        </w:rPr>
        <w:t>Nat Rev Immunol</w:t>
      </w:r>
      <w:r w:rsidRPr="007E7407">
        <w:rPr>
          <w:rFonts w:ascii="Times New Roman" w:hAnsi="Times New Roman" w:cs="Times New Roman"/>
          <w:b w:val="0"/>
          <w:bCs w:val="0"/>
          <w:sz w:val="22"/>
          <w:szCs w:val="22"/>
          <w:lang w:val="en-US"/>
        </w:rPr>
        <w:t>. 2005 Mar;5(3):243-51.</w:t>
      </w:r>
    </w:p>
    <w:p w:rsidR="00AC113A" w:rsidRPr="007E7407" w:rsidRDefault="00AC113A">
      <w:pPr>
        <w:pStyle w:val="details"/>
        <w:spacing w:before="0"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lang w:val="en-US"/>
        </w:rPr>
        <w:t>. Felton JS.</w:t>
      </w:r>
      <w:hyperlink r:id="rId265" w:history="1">
        <w:r w:rsidRPr="008B1937">
          <w:rPr>
            <w:rStyle w:val="Lienhypertexte"/>
            <w:rFonts w:ascii="Times New Roman" w:hAnsi="Times New Roman"/>
            <w:b w:val="0"/>
            <w:bCs w:val="0"/>
            <w:color w:val="auto"/>
            <w:sz w:val="22"/>
            <w:szCs w:val="22"/>
            <w:u w:val="none"/>
            <w:lang w:val="en-GB"/>
          </w:rPr>
          <w:t>Burnout as a clinical entity--its importance in health care workers.</w:t>
        </w:r>
      </w:hyperlink>
      <w:r w:rsidRPr="007E7407">
        <w:rPr>
          <w:rStyle w:val="jrnl"/>
          <w:rFonts w:ascii="Times New Roman" w:hAnsi="Times New Roman"/>
          <w:b w:val="0"/>
          <w:bCs w:val="0"/>
          <w:sz w:val="22"/>
          <w:szCs w:val="22"/>
          <w:lang w:val="en-US"/>
        </w:rPr>
        <w:t>Occup Med (Lond)</w:t>
      </w:r>
      <w:r w:rsidRPr="007E7407">
        <w:rPr>
          <w:rFonts w:ascii="Times New Roman" w:hAnsi="Times New Roman" w:cs="Times New Roman"/>
          <w:b w:val="0"/>
          <w:bCs w:val="0"/>
          <w:sz w:val="22"/>
          <w:szCs w:val="22"/>
          <w:lang w:val="en-US"/>
        </w:rPr>
        <w:t>. 1998 May;48(4):237-50. Review.</w:t>
      </w:r>
      <w:hyperlink r:id="rId266" w:history="1">
        <w:r w:rsidRPr="007E7407">
          <w:rPr>
            <w:rStyle w:val="Lienhypertexte"/>
            <w:rFonts w:ascii="Times New Roman" w:hAnsi="Times New Roman"/>
            <w:b w:val="0"/>
            <w:bCs w:val="0"/>
            <w:color w:val="auto"/>
            <w:sz w:val="22"/>
            <w:szCs w:val="22"/>
            <w:u w:val="none"/>
          </w:rPr>
          <w:t>Methods Mol Biol.</w:t>
        </w:r>
      </w:hyperlink>
      <w:r w:rsidRPr="007E7407">
        <w:rPr>
          <w:rFonts w:ascii="Times New Roman" w:hAnsi="Times New Roman" w:cs="Times New Roman"/>
          <w:b w:val="0"/>
          <w:bCs w:val="0"/>
          <w:sz w:val="22"/>
          <w:szCs w:val="22"/>
        </w:rPr>
        <w:t xml:space="preserve"> 2012;934:39-75</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lang w:val="en-US"/>
        </w:rPr>
      </w:pPr>
      <w:hyperlink r:id="rId267" w:history="1">
        <w:r w:rsidRPr="008B1937">
          <w:rPr>
            <w:rStyle w:val="Lienhypertexte"/>
            <w:rFonts w:ascii="Times New Roman" w:hAnsi="Times New Roman"/>
            <w:b w:val="0"/>
            <w:bCs w:val="0"/>
            <w:color w:val="auto"/>
            <w:sz w:val="22"/>
            <w:szCs w:val="22"/>
            <w:u w:val="none"/>
            <w:lang w:val="en-GB"/>
          </w:rPr>
          <w:t>Nakata A</w:t>
        </w:r>
      </w:hyperlink>
      <w:r w:rsidRPr="007E7407">
        <w:rPr>
          <w:rFonts w:ascii="Times New Roman" w:hAnsi="Times New Roman" w:cs="Times New Roman"/>
          <w:b w:val="0"/>
          <w:bCs w:val="0"/>
          <w:sz w:val="22"/>
          <w:szCs w:val="22"/>
          <w:lang w:val="en-US"/>
        </w:rPr>
        <w:t>.Psychosocial job stress and immunity: a systematic review.</w:t>
      </w:r>
      <w:hyperlink r:id="rId268" w:history="1">
        <w:r w:rsidRPr="007E7407">
          <w:rPr>
            <w:rStyle w:val="Lienhypertexte"/>
            <w:rFonts w:ascii="Times New Roman" w:hAnsi="Times New Roman"/>
            <w:b w:val="0"/>
            <w:bCs w:val="0"/>
            <w:color w:val="auto"/>
            <w:sz w:val="22"/>
            <w:szCs w:val="22"/>
            <w:u w:val="none"/>
          </w:rPr>
          <w:t>Methods Mol Biol.</w:t>
        </w:r>
      </w:hyperlink>
      <w:r w:rsidRPr="007E7407">
        <w:rPr>
          <w:rFonts w:ascii="Times New Roman" w:hAnsi="Times New Roman" w:cs="Times New Roman"/>
          <w:b w:val="0"/>
          <w:bCs w:val="0"/>
          <w:sz w:val="22"/>
          <w:szCs w:val="22"/>
          <w:lang w:val="en-US"/>
        </w:rPr>
        <w:t xml:space="preserve"> 2012;934:39-75</w:t>
      </w:r>
    </w:p>
    <w:p w:rsidR="00AC113A" w:rsidRPr="007E7407" w:rsidRDefault="00AC113A">
      <w:pPr>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w:t>
      </w:r>
      <w:hyperlink r:id="rId269" w:history="1">
        <w:r w:rsidRPr="008B1937">
          <w:rPr>
            <w:rStyle w:val="Lienhypertexte"/>
            <w:rFonts w:ascii="Times New Roman" w:hAnsi="Times New Roman"/>
            <w:b w:val="0"/>
            <w:bCs w:val="0"/>
            <w:color w:val="auto"/>
            <w:sz w:val="22"/>
            <w:szCs w:val="22"/>
            <w:u w:val="none"/>
            <w:lang w:val="en-GB"/>
          </w:rPr>
          <w:t>Verhaeghe J</w:t>
        </w:r>
      </w:hyperlink>
      <w:r w:rsidRPr="007E7407">
        <w:rPr>
          <w:rFonts w:ascii="Times New Roman" w:hAnsi="Times New Roman" w:cs="Times New Roman"/>
          <w:b w:val="0"/>
          <w:bCs w:val="0"/>
          <w:sz w:val="22"/>
          <w:szCs w:val="22"/>
          <w:lang w:val="en-US"/>
        </w:rPr>
        <w:t xml:space="preserve">, </w:t>
      </w:r>
      <w:hyperlink r:id="rId270" w:history="1">
        <w:r w:rsidRPr="008B1937">
          <w:rPr>
            <w:rStyle w:val="Lienhypertexte"/>
            <w:rFonts w:ascii="Times New Roman" w:hAnsi="Times New Roman"/>
            <w:b w:val="0"/>
            <w:bCs w:val="0"/>
            <w:color w:val="auto"/>
            <w:sz w:val="22"/>
            <w:szCs w:val="22"/>
            <w:u w:val="none"/>
            <w:lang w:val="en-GB"/>
          </w:rPr>
          <w:t>Van Den Eede F</w:t>
        </w:r>
      </w:hyperlink>
      <w:r w:rsidRPr="007E7407">
        <w:rPr>
          <w:rFonts w:ascii="Times New Roman" w:hAnsi="Times New Roman" w:cs="Times New Roman"/>
          <w:b w:val="0"/>
          <w:bCs w:val="0"/>
          <w:sz w:val="22"/>
          <w:szCs w:val="22"/>
          <w:lang w:val="en-US"/>
        </w:rPr>
        <w:t xml:space="preserve">, </w:t>
      </w:r>
      <w:hyperlink r:id="rId271" w:history="1">
        <w:r w:rsidRPr="008B1937">
          <w:rPr>
            <w:rStyle w:val="Lienhypertexte"/>
            <w:rFonts w:ascii="Times New Roman" w:hAnsi="Times New Roman"/>
            <w:b w:val="0"/>
            <w:bCs w:val="0"/>
            <w:color w:val="auto"/>
            <w:sz w:val="22"/>
            <w:szCs w:val="22"/>
            <w:u w:val="none"/>
            <w:lang w:val="en-GB"/>
          </w:rPr>
          <w:t>Van Den Ameele H</w:t>
        </w:r>
      </w:hyperlink>
      <w:r w:rsidRPr="007E7407">
        <w:rPr>
          <w:rFonts w:ascii="Times New Roman" w:hAnsi="Times New Roman" w:cs="Times New Roman"/>
          <w:b w:val="0"/>
          <w:bCs w:val="0"/>
          <w:sz w:val="22"/>
          <w:szCs w:val="22"/>
          <w:lang w:val="en-US"/>
        </w:rPr>
        <w:t xml:space="preserve">, </w:t>
      </w:r>
      <w:hyperlink r:id="rId272" w:history="1">
        <w:r w:rsidRPr="008B1937">
          <w:rPr>
            <w:rStyle w:val="Lienhypertexte"/>
            <w:rFonts w:ascii="Times New Roman" w:hAnsi="Times New Roman"/>
            <w:b w:val="0"/>
            <w:bCs w:val="0"/>
            <w:color w:val="auto"/>
            <w:sz w:val="22"/>
            <w:szCs w:val="22"/>
            <w:u w:val="none"/>
            <w:lang w:val="en-GB"/>
          </w:rPr>
          <w:t>Sabbe BG</w:t>
        </w:r>
      </w:hyperlink>
      <w:r w:rsidRPr="007E7407">
        <w:rPr>
          <w:rFonts w:ascii="Times New Roman" w:hAnsi="Times New Roman" w:cs="Times New Roman"/>
          <w:b w:val="0"/>
          <w:bCs w:val="0"/>
          <w:sz w:val="22"/>
          <w:szCs w:val="22"/>
          <w:lang w:val="en-US"/>
        </w:rPr>
        <w:t>.[Neuro-endocrine correlates of burnout].</w:t>
      </w:r>
      <w:hyperlink r:id="rId273" w:history="1">
        <w:r w:rsidRPr="007E7407">
          <w:rPr>
            <w:rStyle w:val="Lienhypertexte"/>
            <w:rFonts w:ascii="Times New Roman" w:hAnsi="Times New Roman"/>
            <w:b w:val="0"/>
            <w:bCs w:val="0"/>
            <w:color w:val="auto"/>
            <w:sz w:val="22"/>
            <w:szCs w:val="22"/>
            <w:u w:val="none"/>
          </w:rPr>
          <w:t>Tijdschr Psychiatr.</w:t>
        </w:r>
      </w:hyperlink>
      <w:r w:rsidRPr="007E7407">
        <w:rPr>
          <w:rFonts w:ascii="Times New Roman" w:hAnsi="Times New Roman" w:cs="Times New Roman"/>
          <w:b w:val="0"/>
          <w:bCs w:val="0"/>
          <w:sz w:val="22"/>
          <w:szCs w:val="22"/>
          <w:lang w:val="en-US"/>
        </w:rPr>
        <w:t xml:space="preserve"> 2012;54(6):517-26.</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lang w:val="en-US"/>
        </w:rPr>
        <w:t xml:space="preserve"> </w:t>
      </w:r>
      <w:hyperlink r:id="rId274" w:history="1">
        <w:r w:rsidRPr="008B1937">
          <w:rPr>
            <w:rStyle w:val="Lienhypertexte"/>
            <w:rFonts w:ascii="Times New Roman" w:hAnsi="Times New Roman"/>
            <w:b w:val="0"/>
            <w:bCs w:val="0"/>
            <w:color w:val="auto"/>
            <w:sz w:val="22"/>
            <w:szCs w:val="22"/>
            <w:u w:val="none"/>
            <w:lang w:val="en-GB"/>
          </w:rPr>
          <w:t>Ricou B</w:t>
        </w:r>
      </w:hyperlink>
      <w:r w:rsidRPr="007E7407">
        <w:rPr>
          <w:rFonts w:ascii="Times New Roman" w:hAnsi="Times New Roman" w:cs="Times New Roman"/>
          <w:b w:val="0"/>
          <w:bCs w:val="0"/>
          <w:sz w:val="22"/>
          <w:szCs w:val="22"/>
          <w:lang w:val="en-US"/>
        </w:rPr>
        <w:t xml:space="preserve">, </w:t>
      </w:r>
      <w:hyperlink r:id="rId275" w:history="1">
        <w:r w:rsidRPr="008B1937">
          <w:rPr>
            <w:rStyle w:val="Lienhypertexte"/>
            <w:rFonts w:ascii="Times New Roman" w:hAnsi="Times New Roman"/>
            <w:b w:val="0"/>
            <w:bCs w:val="0"/>
            <w:color w:val="auto"/>
            <w:sz w:val="22"/>
            <w:szCs w:val="22"/>
            <w:u w:val="none"/>
            <w:lang w:val="en-GB"/>
          </w:rPr>
          <w:t>Merlani P</w:t>
        </w:r>
      </w:hyperlink>
      <w:r w:rsidRPr="007E7407">
        <w:rPr>
          <w:rFonts w:ascii="Times New Roman" w:hAnsi="Times New Roman" w:cs="Times New Roman"/>
          <w:b w:val="0"/>
          <w:bCs w:val="0"/>
          <w:sz w:val="22"/>
          <w:szCs w:val="22"/>
          <w:lang w:val="en-US"/>
        </w:rPr>
        <w:t xml:space="preserve"> [Burnout in intensive care units].. </w:t>
      </w:r>
      <w:hyperlink r:id="rId276" w:history="1">
        <w:r w:rsidRPr="007E7407">
          <w:rPr>
            <w:rStyle w:val="Lienhypertexte"/>
            <w:rFonts w:ascii="Times New Roman" w:hAnsi="Times New Roman"/>
            <w:b w:val="0"/>
            <w:bCs w:val="0"/>
            <w:color w:val="auto"/>
            <w:sz w:val="22"/>
            <w:szCs w:val="22"/>
            <w:u w:val="none"/>
          </w:rPr>
          <w:t>Rev Med Suisse.</w:t>
        </w:r>
      </w:hyperlink>
      <w:r w:rsidRPr="007E7407">
        <w:rPr>
          <w:rFonts w:ascii="Times New Roman" w:hAnsi="Times New Roman" w:cs="Times New Roman"/>
          <w:b w:val="0"/>
          <w:bCs w:val="0"/>
          <w:sz w:val="22"/>
          <w:szCs w:val="22"/>
          <w:lang w:val="en-GB"/>
        </w:rPr>
        <w:t xml:space="preserve"> 2012 Dec 12;8(366):2400-2, 2404.</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lang w:val="en-GB"/>
        </w:rPr>
      </w:pPr>
      <w:hyperlink r:id="rId277" w:history="1">
        <w:r w:rsidRPr="008B1937">
          <w:rPr>
            <w:rStyle w:val="Lienhypertexte"/>
            <w:rFonts w:ascii="Times New Roman" w:hAnsi="Times New Roman"/>
            <w:b w:val="0"/>
            <w:bCs w:val="0"/>
            <w:color w:val="auto"/>
            <w:sz w:val="22"/>
            <w:szCs w:val="22"/>
            <w:u w:val="none"/>
            <w:lang w:val="en-GB"/>
          </w:rPr>
          <w:t>Ronda E</w:t>
        </w:r>
      </w:hyperlink>
      <w:r w:rsidRPr="007E7407">
        <w:rPr>
          <w:rFonts w:ascii="Times New Roman" w:hAnsi="Times New Roman" w:cs="Times New Roman"/>
          <w:b w:val="0"/>
          <w:bCs w:val="0"/>
          <w:sz w:val="22"/>
          <w:szCs w:val="22"/>
          <w:lang w:val="en-US"/>
        </w:rPr>
        <w:t xml:space="preserve">, </w:t>
      </w:r>
      <w:hyperlink r:id="rId278" w:history="1">
        <w:r w:rsidRPr="008B1937">
          <w:rPr>
            <w:rStyle w:val="Lienhypertexte"/>
            <w:rFonts w:ascii="Times New Roman" w:hAnsi="Times New Roman"/>
            <w:b w:val="0"/>
            <w:bCs w:val="0"/>
            <w:color w:val="auto"/>
            <w:sz w:val="22"/>
            <w:szCs w:val="22"/>
            <w:u w:val="none"/>
            <w:lang w:val="en-GB"/>
          </w:rPr>
          <w:t>Alvarez-Dardet C</w:t>
        </w:r>
      </w:hyperlink>
      <w:r w:rsidRPr="007E7407">
        <w:rPr>
          <w:rFonts w:ascii="Times New Roman" w:hAnsi="Times New Roman" w:cs="Times New Roman"/>
          <w:b w:val="0"/>
          <w:bCs w:val="0"/>
          <w:sz w:val="22"/>
          <w:szCs w:val="22"/>
          <w:lang w:val="en-US"/>
        </w:rPr>
        <w:t xml:space="preserve"> </w:t>
      </w:r>
      <w:r w:rsidRPr="007E7407">
        <w:rPr>
          <w:rStyle w:val="highlight"/>
          <w:rFonts w:ascii="Times New Roman" w:hAnsi="Times New Roman"/>
          <w:b w:val="0"/>
          <w:bCs w:val="0"/>
          <w:sz w:val="22"/>
          <w:szCs w:val="22"/>
          <w:lang w:val="en-US"/>
        </w:rPr>
        <w:t>Work</w:t>
      </w:r>
      <w:r w:rsidRPr="007E7407">
        <w:rPr>
          <w:rFonts w:ascii="Times New Roman" w:hAnsi="Times New Roman" w:cs="Times New Roman"/>
          <w:b w:val="0"/>
          <w:bCs w:val="0"/>
          <w:sz w:val="22"/>
          <w:szCs w:val="22"/>
          <w:lang w:val="en-US"/>
        </w:rPr>
        <w:t xml:space="preserve"> and </w:t>
      </w:r>
      <w:r w:rsidRPr="007E7407">
        <w:rPr>
          <w:rStyle w:val="highlight"/>
          <w:rFonts w:ascii="Times New Roman" w:hAnsi="Times New Roman"/>
          <w:b w:val="0"/>
          <w:bCs w:val="0"/>
          <w:sz w:val="22"/>
          <w:szCs w:val="22"/>
          <w:lang w:val="en-US"/>
        </w:rPr>
        <w:t>health</w:t>
      </w:r>
      <w:r w:rsidRPr="007E7407">
        <w:rPr>
          <w:rFonts w:ascii="Times New Roman" w:hAnsi="Times New Roman" w:cs="Times New Roman"/>
          <w:b w:val="0"/>
          <w:bCs w:val="0"/>
          <w:sz w:val="22"/>
          <w:szCs w:val="22"/>
          <w:lang w:val="en-US"/>
        </w:rPr>
        <w:t xml:space="preserve">: a </w:t>
      </w:r>
      <w:r w:rsidRPr="007E7407">
        <w:rPr>
          <w:rStyle w:val="highlight"/>
          <w:rFonts w:ascii="Times New Roman" w:hAnsi="Times New Roman"/>
          <w:b w:val="0"/>
          <w:bCs w:val="0"/>
          <w:sz w:val="22"/>
          <w:szCs w:val="22"/>
          <w:lang w:val="en-US"/>
        </w:rPr>
        <w:t>call</w:t>
      </w:r>
      <w:r w:rsidRPr="007E7407">
        <w:rPr>
          <w:rFonts w:ascii="Times New Roman" w:hAnsi="Times New Roman" w:cs="Times New Roman"/>
          <w:b w:val="0"/>
          <w:bCs w:val="0"/>
          <w:sz w:val="22"/>
          <w:szCs w:val="22"/>
          <w:lang w:val="en-US"/>
        </w:rPr>
        <w:t xml:space="preserve"> for </w:t>
      </w:r>
      <w:r w:rsidRPr="007E7407">
        <w:rPr>
          <w:rStyle w:val="highlight"/>
          <w:rFonts w:ascii="Times New Roman" w:hAnsi="Times New Roman"/>
          <w:b w:val="0"/>
          <w:bCs w:val="0"/>
          <w:sz w:val="22"/>
          <w:szCs w:val="22"/>
          <w:lang w:val="en-US"/>
        </w:rPr>
        <w:t>action</w:t>
      </w:r>
      <w:r w:rsidRPr="007E7407">
        <w:rPr>
          <w:rFonts w:ascii="Times New Roman" w:hAnsi="Times New Roman" w:cs="Times New Roman"/>
          <w:b w:val="0"/>
          <w:bCs w:val="0"/>
          <w:sz w:val="22"/>
          <w:szCs w:val="22"/>
          <w:lang w:val="en-US"/>
        </w:rPr>
        <w:t>.</w:t>
      </w:r>
      <w:hyperlink r:id="rId279" w:history="1">
        <w:r w:rsidRPr="007E7407">
          <w:rPr>
            <w:rStyle w:val="Lienhypertexte"/>
            <w:rFonts w:ascii="Times New Roman" w:hAnsi="Times New Roman"/>
            <w:b w:val="0"/>
            <w:bCs w:val="0"/>
            <w:color w:val="auto"/>
            <w:sz w:val="22"/>
            <w:szCs w:val="22"/>
            <w:u w:val="none"/>
          </w:rPr>
          <w:t xml:space="preserve">J Epidemiol Community </w:t>
        </w:r>
      </w:hyperlink>
      <w:hyperlink r:id="rId280" w:history="1">
        <w:r w:rsidRPr="007E7407">
          <w:rPr>
            <w:rStyle w:val="Lienhypertexte"/>
            <w:rFonts w:ascii="Times New Roman" w:hAnsi="Times New Roman"/>
            <w:b w:val="0"/>
            <w:bCs w:val="0"/>
            <w:color w:val="auto"/>
            <w:sz w:val="22"/>
            <w:szCs w:val="22"/>
            <w:u w:val="none"/>
          </w:rPr>
          <w:t>Health</w:t>
        </w:r>
      </w:hyperlink>
      <w:hyperlink r:id="rId281" w:history="1">
        <w:r w:rsidRPr="007E7407">
          <w:rPr>
            <w:rStyle w:val="Lienhypertexte"/>
            <w:rFonts w:ascii="Times New Roman" w:hAnsi="Times New Roman"/>
            <w:b w:val="0"/>
            <w:bCs w:val="0"/>
            <w:color w:val="auto"/>
            <w:sz w:val="22"/>
            <w:szCs w:val="22"/>
            <w:u w:val="none"/>
          </w:rPr>
          <w:t>.</w:t>
        </w:r>
      </w:hyperlink>
      <w:r w:rsidRPr="007E7407">
        <w:rPr>
          <w:rFonts w:ascii="Times New Roman" w:hAnsi="Times New Roman" w:cs="Times New Roman"/>
          <w:b w:val="0"/>
          <w:bCs w:val="0"/>
          <w:sz w:val="22"/>
          <w:szCs w:val="22"/>
          <w:lang w:val="en-US"/>
        </w:rPr>
        <w:t xml:space="preserve"> 2000 Jul;54(7):481.</w:t>
      </w:r>
    </w:p>
    <w:p w:rsidR="00AC113A" w:rsidRPr="007E7407" w:rsidRDefault="00AC113A">
      <w:pPr>
        <w:rPr>
          <w:rFonts w:cs="Times New Roman"/>
          <w:sz w:val="22"/>
          <w:szCs w:val="22"/>
          <w:lang w:val="en-GB"/>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rPr>
        <w:t xml:space="preserve"> CHAMOUX A, PARIS C, MERLE JL, Regeard Evaluation du stress professionnel par échelle visuelle analogiqueArch mal prof 2000 61, (7) : 524</w:t>
      </w:r>
    </w:p>
    <w:p w:rsidR="00AC113A" w:rsidRPr="007E7407" w:rsidRDefault="00AC113A">
      <w:pPr>
        <w:pStyle w:val="Corpsdetexte"/>
        <w:spacing w:after="0"/>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rPr>
        <w:t xml:space="preserve"> Lesage FX, Chamoux AUtilisation de l’echelle visuelle analogique dans l’évaluation du stress au travail : limites et perspevtives. Revue de la littératureArch mal prof environ 2008 69 (6-7)</w:t>
      </w:r>
    </w:p>
    <w:p w:rsidR="00AC113A" w:rsidRPr="007E7407" w:rsidRDefault="00AC113A">
      <w:pPr>
        <w:pStyle w:val="Corpsdetexte"/>
        <w:spacing w:after="0"/>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rPr>
        <w:t xml:space="preserve"> Lesage FX, Chamoux A, Beriot S.Stabilité de l’EVA dans l’évaluation du stress au travailArch mal prof environ. 2009 (70) 6</w:t>
      </w:r>
    </w:p>
    <w:p w:rsidR="00AC113A" w:rsidRPr="007E7407" w:rsidRDefault="00AC113A">
      <w:pPr>
        <w:pStyle w:val="Corpsdetexte"/>
        <w:spacing w:after="0"/>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rPr>
        <w:t xml:space="preserve"> LESAGE FX, LESAGE S, BERIOT S, Chamoux Mesure du stress par échelle visuelle analogique EVA : validité externe versus le modèle de karasek et le modèle de stress perçu PSS14Arch Mal Prof Environ 2010 71 (3)</w:t>
      </w:r>
    </w:p>
    <w:p w:rsidR="00AC113A" w:rsidRPr="007E7407" w:rsidRDefault="00AC113A">
      <w:pPr>
        <w:pStyle w:val="Corpsdetexte"/>
        <w:spacing w:after="0"/>
        <w:rPr>
          <w:rFonts w:cs="Times New Roman"/>
          <w:sz w:val="22"/>
          <w:szCs w:val="22"/>
        </w:rPr>
      </w:pPr>
    </w:p>
    <w:p w:rsidR="00AC113A" w:rsidRPr="007E7407" w:rsidRDefault="00AC113A">
      <w:pPr>
        <w:pStyle w:val="Titre1"/>
        <w:spacing w:before="0" w:after="0"/>
        <w:ind w:left="420"/>
        <w:rPr>
          <w:rFonts w:ascii="Times New Roman" w:hAnsi="Times New Roman" w:cs="Times New Roman"/>
          <w:b w:val="0"/>
          <w:bCs w:val="0"/>
          <w:sz w:val="22"/>
          <w:szCs w:val="22"/>
          <w:lang w:val="en-US"/>
        </w:rPr>
      </w:pPr>
      <w:r w:rsidRPr="007E7407">
        <w:rPr>
          <w:rFonts w:ascii="Times New Roman" w:hAnsi="Times New Roman" w:cs="Times New Roman"/>
          <w:b w:val="0"/>
          <w:bCs w:val="0"/>
          <w:sz w:val="22"/>
          <w:szCs w:val="22"/>
        </w:rPr>
        <w:lastRenderedPageBreak/>
        <w:t xml:space="preserve"> </w:t>
      </w:r>
      <w:r w:rsidRPr="007E7407">
        <w:rPr>
          <w:rFonts w:ascii="Times New Roman" w:hAnsi="Times New Roman" w:cs="Times New Roman"/>
          <w:b w:val="0"/>
          <w:bCs w:val="0"/>
          <w:sz w:val="22"/>
          <w:szCs w:val="22"/>
          <w:lang w:val="en-US"/>
        </w:rPr>
        <w:t>Lesage FX, Beriot S. Validity of occupational stress assessment using a visual scale analogue OCCup Med 2011 61 (6)</w:t>
      </w:r>
    </w:p>
    <w:p w:rsidR="00AC113A" w:rsidRPr="007E7407" w:rsidRDefault="00AC113A">
      <w:pPr>
        <w:pStyle w:val="Corpsdetexte"/>
        <w:spacing w:after="0"/>
        <w:rPr>
          <w:rFonts w:cs="Times New Roman"/>
          <w:sz w:val="22"/>
          <w:szCs w:val="22"/>
          <w:lang w:val="en-US"/>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rPr>
        <w:t>Hansez I.Evaluation des outils : stress perçu positif et negative (SPPN) INRS : documenst pour le médecin du travail deuxième trimestre 2011 N°126, p.209</w:t>
      </w:r>
    </w:p>
    <w:p w:rsidR="00AC113A" w:rsidRPr="007E7407" w:rsidRDefault="00AC113A">
      <w:pPr>
        <w:rPr>
          <w:rFonts w:cs="Times New Roman"/>
          <w:sz w:val="22"/>
          <w:szCs w:val="22"/>
        </w:rPr>
      </w:pPr>
    </w:p>
    <w:p w:rsidR="00AC113A" w:rsidRPr="007E7407"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rPr>
        <w:t>De KEYSER V., Hansez I.Vers une perspective transactionnelle du stress au travail : pistes d’évaluation méthodologiques Cah. Med. Travail 1996 33(3)</w:t>
      </w:r>
    </w:p>
    <w:p w:rsidR="00AC113A" w:rsidRPr="007E7407" w:rsidRDefault="00AC113A">
      <w:pPr>
        <w:rPr>
          <w:rFonts w:cs="Times New Roman"/>
          <w:sz w:val="22"/>
          <w:szCs w:val="22"/>
        </w:rPr>
      </w:pPr>
    </w:p>
    <w:p w:rsidR="00AC113A" w:rsidRDefault="00AC113A">
      <w:pPr>
        <w:pStyle w:val="Titre1"/>
        <w:spacing w:before="0" w:after="0"/>
        <w:rPr>
          <w:rFonts w:ascii="Times New Roman" w:hAnsi="Times New Roman" w:cs="Times New Roman"/>
          <w:b w:val="0"/>
          <w:bCs w:val="0"/>
          <w:sz w:val="22"/>
          <w:szCs w:val="22"/>
        </w:rPr>
      </w:pPr>
      <w:r w:rsidRPr="007E7407">
        <w:rPr>
          <w:rFonts w:ascii="Times New Roman" w:hAnsi="Times New Roman" w:cs="Times New Roman"/>
          <w:b w:val="0"/>
          <w:bCs w:val="0"/>
          <w:sz w:val="22"/>
          <w:szCs w:val="22"/>
        </w:rPr>
        <w:t>Barbier M., Hansez I. Le questionnaire de stress positif et négatif : évaluation statistique et structurelle.</w:t>
      </w:r>
      <w:r w:rsidRPr="007E7407">
        <w:rPr>
          <w:rFonts w:ascii="Times New Roman" w:hAnsi="Times New Roman"/>
          <w:b w:val="0"/>
          <w:bCs w:val="0"/>
          <w:sz w:val="22"/>
          <w:szCs w:val="22"/>
        </w:rPr>
        <w:t xml:space="preserve"> </w:t>
      </w:r>
      <w:r w:rsidRPr="007E7407">
        <w:rPr>
          <w:rFonts w:ascii="Times New Roman" w:hAnsi="Times New Roman" w:cs="Times New Roman"/>
          <w:b w:val="0"/>
          <w:bCs w:val="0"/>
          <w:sz w:val="22"/>
          <w:szCs w:val="22"/>
        </w:rPr>
        <w:t>Actes du 15ème congres de psychologie du travail et des organisations de langue française</w:t>
      </w:r>
    </w:p>
    <w:p w:rsidR="006E3C55" w:rsidRDefault="006E3C55" w:rsidP="006E3C55"/>
    <w:p w:rsidR="006E3C55" w:rsidRDefault="006E3C55" w:rsidP="006E3C55">
      <w:pPr>
        <w:pStyle w:val="Titre1"/>
        <w:spacing w:before="0" w:after="0"/>
        <w:rPr>
          <w:rFonts w:ascii="Times New Roman" w:hAnsi="Times New Roman" w:cs="Times New Roman"/>
          <w:b w:val="0"/>
          <w:bCs w:val="0"/>
          <w:sz w:val="22"/>
          <w:szCs w:val="22"/>
        </w:rPr>
      </w:pPr>
      <w:r w:rsidRPr="006E3C55">
        <w:rPr>
          <w:rFonts w:ascii="Times New Roman" w:hAnsi="Times New Roman" w:cs="Times New Roman"/>
          <w:b w:val="0"/>
          <w:bCs w:val="0"/>
          <w:sz w:val="22"/>
          <w:szCs w:val="22"/>
          <w:lang w:val="en-GB"/>
        </w:rPr>
        <w:t xml:space="preserve">Costa, P.T., McCrae, R.R., &amp; Rolland, J-P. </w:t>
      </w:r>
      <w:r w:rsidRPr="006E3C55">
        <w:rPr>
          <w:rFonts w:ascii="Times New Roman" w:hAnsi="Times New Roman" w:cs="Times New Roman"/>
          <w:b w:val="0"/>
          <w:bCs w:val="0"/>
          <w:sz w:val="22"/>
          <w:szCs w:val="22"/>
        </w:rPr>
        <w:t>(1998). Inventaire de Personnalité Révisé. Paris : Les Éditions du Centre de Psychologie Appliquée (ECPA).</w:t>
      </w:r>
    </w:p>
    <w:p w:rsidR="006E3C55" w:rsidRPr="006E3C55" w:rsidRDefault="006E3C55" w:rsidP="006E3C55"/>
    <w:p w:rsidR="006E3C55" w:rsidRPr="006E3C55" w:rsidRDefault="006E3C55" w:rsidP="006E3C55"/>
    <w:p w:rsidR="006E3C55" w:rsidRPr="006E3C55" w:rsidRDefault="006E3C55" w:rsidP="006E3C55"/>
    <w:p w:rsidR="00AC113A" w:rsidRPr="007E7407" w:rsidRDefault="00AC113A">
      <w:pPr>
        <w:rPr>
          <w:sz w:val="22"/>
          <w:szCs w:val="22"/>
        </w:rPr>
      </w:pPr>
    </w:p>
    <w:sectPr w:rsidR="00AC113A" w:rsidRPr="007E7407">
      <w:headerReference w:type="default" r:id="rId282"/>
      <w:footerReference w:type="default" r:id="rId283"/>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E5C" w:rsidRDefault="00FB7E5C">
      <w:r>
        <w:separator/>
      </w:r>
    </w:p>
  </w:endnote>
  <w:endnote w:type="continuationSeparator" w:id="0">
    <w:p w:rsidR="00FB7E5C" w:rsidRDefault="00FB7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A53" w:rsidRPr="00805E96" w:rsidRDefault="00921A53">
    <w:pPr>
      <w:pStyle w:val="Pieddepage"/>
      <w:rPr>
        <w:i/>
      </w:rPr>
    </w:pPr>
    <w:r w:rsidRPr="00805E96">
      <w:rPr>
        <w:i/>
      </w:rPr>
      <w:t>étude RégulStress 2013-02-CHRMT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E5C" w:rsidRDefault="00FB7E5C">
      <w:r>
        <w:separator/>
      </w:r>
    </w:p>
  </w:footnote>
  <w:footnote w:type="continuationSeparator" w:id="0">
    <w:p w:rsidR="00FB7E5C" w:rsidRDefault="00FB7E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A53" w:rsidRDefault="00921A53">
    <w:pPr>
      <w:pStyle w:val="En-tte"/>
    </w:pPr>
    <w:r w:rsidRPr="00D0708D">
      <w:rPr>
        <w:sz w:val="16"/>
        <w:szCs w:val="16"/>
        <w:highlight w:val="lightGray"/>
      </w:rPr>
      <w:t xml:space="preserve">V2. du </w:t>
    </w:r>
    <w:r>
      <w:rPr>
        <w:sz w:val="16"/>
        <w:szCs w:val="16"/>
        <w:highlight w:val="lightGray"/>
      </w:rPr>
      <w:t>13/03</w:t>
    </w:r>
    <w:r w:rsidRPr="00D0708D">
      <w:rPr>
        <w:sz w:val="16"/>
        <w:szCs w:val="16"/>
        <w:highlight w:val="lightGray"/>
      </w:rPr>
      <w:t>/2014</w:t>
    </w:r>
    <w:r>
      <w:rPr>
        <w:sz w:val="16"/>
        <w:szCs w:val="16"/>
      </w:rPr>
      <w:t xml:space="preserve"> </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sidR="00A17D42">
      <w:rPr>
        <w:noProof/>
        <w:sz w:val="16"/>
        <w:szCs w:val="16"/>
      </w:rPr>
      <w:t>46</w:t>
    </w:r>
    <w:r>
      <w:rPr>
        <w:sz w:val="16"/>
        <w:szCs w:val="16"/>
      </w:rPr>
      <w:fldChar w:fldCharType="end"/>
    </w:r>
    <w:r>
      <w:rPr>
        <w:sz w:val="16"/>
        <w:szCs w:val="16"/>
      </w:rPr>
      <w:t xml:space="preserve"> sur </w:t>
    </w:r>
    <w:r>
      <w:rPr>
        <w:sz w:val="16"/>
        <w:szCs w:val="16"/>
      </w:rPr>
      <w:fldChar w:fldCharType="begin"/>
    </w:r>
    <w:r>
      <w:rPr>
        <w:sz w:val="16"/>
        <w:szCs w:val="16"/>
      </w:rPr>
      <w:instrText xml:space="preserve"> NUMPAGES \*Arabic </w:instrText>
    </w:r>
    <w:r>
      <w:rPr>
        <w:sz w:val="16"/>
        <w:szCs w:val="16"/>
      </w:rPr>
      <w:fldChar w:fldCharType="separate"/>
    </w:r>
    <w:r w:rsidR="00A17D42">
      <w:rPr>
        <w:noProof/>
        <w:sz w:val="16"/>
        <w:szCs w:val="16"/>
      </w:rPr>
      <w:t>46</w:t>
    </w:r>
    <w:r>
      <w:rPr>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Times New Roman"/>
        <w:i/>
      </w:rPr>
    </w:lvl>
  </w:abstractNum>
  <w:abstractNum w:abstractNumId="2" w15:restartNumberingAfterBreak="0">
    <w:nsid w:val="00000003"/>
    <w:multiLevelType w:val="singleLevel"/>
    <w:tmpl w:val="00000003"/>
    <w:name w:val="WW8Num4"/>
    <w:lvl w:ilvl="0">
      <w:start w:val="1"/>
      <w:numFmt w:val="upperLetter"/>
      <w:lvlText w:val="%1."/>
      <w:lvlJc w:val="left"/>
      <w:pPr>
        <w:tabs>
          <w:tab w:val="num" w:pos="0"/>
        </w:tabs>
        <w:ind w:left="2148" w:hanging="360"/>
      </w:pPr>
      <w:rPr>
        <w:rFonts w:ascii="Wingdings" w:hAnsi="Wingdings" w:cs="Wingdings"/>
      </w:rPr>
    </w:lvl>
  </w:abstractNum>
  <w:abstractNum w:abstractNumId="3" w15:restartNumberingAfterBreak="0">
    <w:nsid w:val="00000004"/>
    <w:multiLevelType w:val="singleLevel"/>
    <w:tmpl w:val="00000004"/>
    <w:name w:val="WW8Num8"/>
    <w:lvl w:ilvl="0">
      <w:start w:val="1"/>
      <w:numFmt w:val="lowerLetter"/>
      <w:lvlText w:val="%1."/>
      <w:lvlJc w:val="left"/>
      <w:pPr>
        <w:tabs>
          <w:tab w:val="num" w:pos="0"/>
        </w:tabs>
        <w:ind w:left="1944" w:hanging="360"/>
      </w:pPr>
      <w:rPr>
        <w:rFonts w:ascii="Symbol" w:hAnsi="Symbol" w:cs="Symbol"/>
      </w:rPr>
    </w:lvl>
  </w:abstractNum>
  <w:abstractNum w:abstractNumId="4" w15:restartNumberingAfterBreak="0">
    <w:nsid w:val="00000005"/>
    <w:multiLevelType w:val="singleLevel"/>
    <w:tmpl w:val="00000005"/>
    <w:name w:val="WW8Num9"/>
    <w:lvl w:ilvl="0">
      <w:start w:val="1"/>
      <w:numFmt w:val="bullet"/>
      <w:lvlText w:val="-"/>
      <w:lvlJc w:val="left"/>
      <w:pPr>
        <w:tabs>
          <w:tab w:val="num" w:pos="0"/>
        </w:tabs>
        <w:ind w:left="1767" w:hanging="360"/>
      </w:pPr>
      <w:rPr>
        <w:rFonts w:ascii="Times New Roman" w:hAnsi="Times New Roman" w:cs="Symbol"/>
        <w:sz w:val="20"/>
      </w:rPr>
    </w:lvl>
  </w:abstractNum>
  <w:abstractNum w:abstractNumId="5" w15:restartNumberingAfterBreak="0">
    <w:nsid w:val="00000006"/>
    <w:multiLevelType w:val="singleLevel"/>
    <w:tmpl w:val="00000006"/>
    <w:name w:val="WW8Num12"/>
    <w:lvl w:ilvl="0">
      <w:start w:val="1"/>
      <w:numFmt w:val="bullet"/>
      <w:lvlText w:val=""/>
      <w:lvlJc w:val="left"/>
      <w:pPr>
        <w:tabs>
          <w:tab w:val="num" w:pos="2140"/>
        </w:tabs>
        <w:ind w:left="2140" w:hanging="360"/>
      </w:pPr>
      <w:rPr>
        <w:rFonts w:ascii="Symbol" w:hAnsi="Symbol" w:cs="Wingdings"/>
      </w:rPr>
    </w:lvl>
  </w:abstractNum>
  <w:abstractNum w:abstractNumId="6" w15:restartNumberingAfterBreak="0">
    <w:nsid w:val="00000007"/>
    <w:multiLevelType w:val="singleLevel"/>
    <w:tmpl w:val="00000007"/>
    <w:name w:val="WW8Num13"/>
    <w:lvl w:ilvl="0">
      <w:start w:val="1"/>
      <w:numFmt w:val="upperLetter"/>
      <w:lvlText w:val="%1."/>
      <w:lvlJc w:val="left"/>
      <w:pPr>
        <w:tabs>
          <w:tab w:val="num" w:pos="0"/>
        </w:tabs>
        <w:ind w:left="2496" w:hanging="360"/>
      </w:pPr>
      <w:rPr>
        <w:rFonts w:cs="Times New Roman"/>
      </w:rPr>
    </w:lvl>
  </w:abstractNum>
  <w:abstractNum w:abstractNumId="7" w15:restartNumberingAfterBreak="0">
    <w:nsid w:val="00000008"/>
    <w:multiLevelType w:val="singleLevel"/>
    <w:tmpl w:val="00000008"/>
    <w:name w:val="WW8Num14"/>
    <w:lvl w:ilvl="0">
      <w:start w:val="1"/>
      <w:numFmt w:val="upperLetter"/>
      <w:lvlText w:val="%1."/>
      <w:lvlJc w:val="left"/>
      <w:pPr>
        <w:tabs>
          <w:tab w:val="num" w:pos="0"/>
        </w:tabs>
        <w:ind w:left="2496" w:hanging="360"/>
      </w:pPr>
      <w:rPr>
        <w:rFonts w:ascii="Wingdings" w:hAnsi="Wingdings" w:cs="Wingdings"/>
      </w:rPr>
    </w:lvl>
  </w:abstractNum>
  <w:abstractNum w:abstractNumId="8" w15:restartNumberingAfterBreak="0">
    <w:nsid w:val="00000009"/>
    <w:multiLevelType w:val="singleLevel"/>
    <w:tmpl w:val="00000009"/>
    <w:name w:val="WW8Num15"/>
    <w:lvl w:ilvl="0">
      <w:start w:val="1"/>
      <w:numFmt w:val="decimal"/>
      <w:lvlText w:val="%1."/>
      <w:lvlJc w:val="left"/>
      <w:pPr>
        <w:tabs>
          <w:tab w:val="num" w:pos="0"/>
        </w:tabs>
        <w:ind w:left="1770" w:hanging="360"/>
      </w:pPr>
      <w:rPr>
        <w:rFonts w:ascii="Calibri" w:hAnsi="Calibri" w:cs="Calibri"/>
      </w:rPr>
    </w:lvl>
  </w:abstractNum>
  <w:abstractNum w:abstractNumId="9" w15:restartNumberingAfterBreak="0">
    <w:nsid w:val="0000000A"/>
    <w:multiLevelType w:val="multilevel"/>
    <w:tmpl w:val="0000000A"/>
    <w:name w:val="WW8Num1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1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name w:val="WW8Num1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D"/>
    <w:multiLevelType w:val="singleLevel"/>
    <w:tmpl w:val="0000000D"/>
    <w:name w:val="WW8Num20"/>
    <w:lvl w:ilvl="0">
      <w:start w:val="1"/>
      <w:numFmt w:val="bullet"/>
      <w:lvlText w:val=""/>
      <w:lvlJc w:val="left"/>
      <w:pPr>
        <w:tabs>
          <w:tab w:val="num" w:pos="1425"/>
        </w:tabs>
        <w:ind w:left="1425" w:hanging="360"/>
      </w:pPr>
      <w:rPr>
        <w:rFonts w:ascii="Symbol" w:hAnsi="Symbol" w:cs="Symbol"/>
      </w:rPr>
    </w:lvl>
  </w:abstractNum>
  <w:abstractNum w:abstractNumId="13" w15:restartNumberingAfterBreak="0">
    <w:nsid w:val="0000000E"/>
    <w:multiLevelType w:val="singleLevel"/>
    <w:tmpl w:val="0000000E"/>
    <w:name w:val="WW8Num21"/>
    <w:lvl w:ilvl="0">
      <w:start w:val="1"/>
      <w:numFmt w:val="bullet"/>
      <w:lvlText w:val=""/>
      <w:lvlJc w:val="left"/>
      <w:pPr>
        <w:tabs>
          <w:tab w:val="num" w:pos="1146"/>
        </w:tabs>
        <w:ind w:left="1146" w:hanging="360"/>
      </w:pPr>
      <w:rPr>
        <w:rFonts w:ascii="Symbol" w:hAnsi="Symbol" w:cs="Wingdings"/>
      </w:rPr>
    </w:lvl>
  </w:abstractNum>
  <w:abstractNum w:abstractNumId="14" w15:restartNumberingAfterBreak="0">
    <w:nsid w:val="0000000F"/>
    <w:multiLevelType w:val="singleLevel"/>
    <w:tmpl w:val="0000000F"/>
    <w:name w:val="WW8Num22"/>
    <w:lvl w:ilvl="0">
      <w:start w:val="1"/>
      <w:numFmt w:val="bullet"/>
      <w:lvlText w:val="-"/>
      <w:lvlJc w:val="left"/>
      <w:pPr>
        <w:tabs>
          <w:tab w:val="num" w:pos="720"/>
        </w:tabs>
        <w:ind w:left="890" w:hanging="170"/>
      </w:pPr>
      <w:rPr>
        <w:rFonts w:ascii="Courier New" w:hAnsi="Courier New" w:cs="Times New Roman"/>
        <w:sz w:val="36"/>
      </w:rPr>
    </w:lvl>
  </w:abstractNum>
  <w:abstractNum w:abstractNumId="15" w15:restartNumberingAfterBreak="0">
    <w:nsid w:val="00000010"/>
    <w:multiLevelType w:val="singleLevel"/>
    <w:tmpl w:val="00000010"/>
    <w:name w:val="WW8Num23"/>
    <w:lvl w:ilvl="0">
      <w:start w:val="1"/>
      <w:numFmt w:val="bullet"/>
      <w:lvlText w:val=""/>
      <w:lvlJc w:val="left"/>
      <w:pPr>
        <w:tabs>
          <w:tab w:val="num" w:pos="0"/>
        </w:tabs>
        <w:ind w:left="0" w:firstLine="0"/>
      </w:pPr>
      <w:rPr>
        <w:rFonts w:ascii="Wingdings" w:hAnsi="Wingdings" w:cs="Symbol"/>
        <w:sz w:val="20"/>
      </w:rPr>
    </w:lvl>
  </w:abstractNum>
  <w:abstractNum w:abstractNumId="16" w15:restartNumberingAfterBreak="0">
    <w:nsid w:val="00000011"/>
    <w:multiLevelType w:val="singleLevel"/>
    <w:tmpl w:val="00000011"/>
    <w:name w:val="WW8Num24"/>
    <w:lvl w:ilvl="0">
      <w:start w:val="1"/>
      <w:numFmt w:val="bullet"/>
      <w:lvlText w:val="-"/>
      <w:lvlJc w:val="left"/>
      <w:pPr>
        <w:tabs>
          <w:tab w:val="num" w:pos="0"/>
        </w:tabs>
        <w:ind w:left="1068" w:hanging="360"/>
      </w:pPr>
      <w:rPr>
        <w:rFonts w:ascii="Calibri" w:hAnsi="Calibri" w:cs="Times New Roman"/>
      </w:rPr>
    </w:lvl>
  </w:abstractNum>
  <w:abstractNum w:abstractNumId="17" w15:restartNumberingAfterBreak="0">
    <w:nsid w:val="00000012"/>
    <w:multiLevelType w:val="singleLevel"/>
    <w:tmpl w:val="00000012"/>
    <w:name w:val="WW8Num25"/>
    <w:lvl w:ilvl="0">
      <w:start w:val="1"/>
      <w:numFmt w:val="bullet"/>
      <w:lvlText w:val="-"/>
      <w:lvlJc w:val="left"/>
      <w:pPr>
        <w:tabs>
          <w:tab w:val="num" w:pos="0"/>
        </w:tabs>
        <w:ind w:left="1068" w:hanging="360"/>
      </w:pPr>
      <w:rPr>
        <w:rFonts w:ascii="Calibri" w:hAnsi="Calibri" w:cs="Symbol"/>
      </w:rPr>
    </w:lvl>
  </w:abstractNum>
  <w:abstractNum w:abstractNumId="18" w15:restartNumberingAfterBreak="0">
    <w:nsid w:val="00000013"/>
    <w:multiLevelType w:val="singleLevel"/>
    <w:tmpl w:val="00000013"/>
    <w:name w:val="WW8Num26"/>
    <w:lvl w:ilvl="0">
      <w:start w:val="1"/>
      <w:numFmt w:val="bullet"/>
      <w:lvlText w:val=""/>
      <w:lvlJc w:val="left"/>
      <w:pPr>
        <w:tabs>
          <w:tab w:val="num" w:pos="0"/>
        </w:tabs>
        <w:ind w:left="720" w:hanging="360"/>
      </w:pPr>
      <w:rPr>
        <w:rFonts w:ascii="Symbol" w:hAnsi="Symbol" w:cs="Times New Roman"/>
        <w:sz w:val="36"/>
      </w:rPr>
    </w:lvl>
  </w:abstractNum>
  <w:abstractNum w:abstractNumId="19" w15:restartNumberingAfterBreak="0">
    <w:nsid w:val="00000014"/>
    <w:multiLevelType w:val="singleLevel"/>
    <w:tmpl w:val="00000014"/>
    <w:name w:val="WW8Num27"/>
    <w:lvl w:ilvl="0">
      <w:start w:val="1"/>
      <w:numFmt w:val="bullet"/>
      <w:lvlText w:val=""/>
      <w:lvlJc w:val="left"/>
      <w:pPr>
        <w:tabs>
          <w:tab w:val="num" w:pos="2084"/>
        </w:tabs>
        <w:ind w:left="2084" w:hanging="360"/>
      </w:pPr>
      <w:rPr>
        <w:rFonts w:ascii="Symbol" w:hAnsi="Symbol" w:cs="OpenSymbol"/>
      </w:rPr>
    </w:lvl>
  </w:abstractNum>
  <w:abstractNum w:abstractNumId="20" w15:restartNumberingAfterBreak="0">
    <w:nsid w:val="00000015"/>
    <w:multiLevelType w:val="singleLevel"/>
    <w:tmpl w:val="00000015"/>
    <w:name w:val="WW8Num28"/>
    <w:lvl w:ilvl="0">
      <w:start w:val="1"/>
      <w:numFmt w:val="bullet"/>
      <w:lvlText w:val=""/>
      <w:lvlJc w:val="left"/>
      <w:pPr>
        <w:tabs>
          <w:tab w:val="num" w:pos="720"/>
        </w:tabs>
        <w:ind w:left="720" w:hanging="360"/>
      </w:pPr>
      <w:rPr>
        <w:rFonts w:ascii="Symbol" w:hAnsi="Symbol" w:cs="OpenSymbol"/>
      </w:rPr>
    </w:lvl>
  </w:abstractNum>
  <w:abstractNum w:abstractNumId="21" w15:restartNumberingAfterBreak="0">
    <w:nsid w:val="00000016"/>
    <w:multiLevelType w:val="multilevel"/>
    <w:tmpl w:val="00000016"/>
    <w:name w:val="WW8Num30"/>
    <w:lvl w:ilvl="0">
      <w:start w:val="8"/>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15:restartNumberingAfterBreak="0">
    <w:nsid w:val="0F056224"/>
    <w:multiLevelType w:val="multilevel"/>
    <w:tmpl w:val="AE8CB922"/>
    <w:lvl w:ilvl="0">
      <w:start w:val="2"/>
      <w:numFmt w:val="decimal"/>
      <w:lvlText w:val="%1"/>
      <w:lvlJc w:val="left"/>
      <w:pPr>
        <w:tabs>
          <w:tab w:val="num" w:pos="360"/>
        </w:tabs>
        <w:ind w:left="360" w:hanging="360"/>
      </w:pPr>
      <w:rPr>
        <w:rFonts w:hint="default"/>
        <w:b/>
        <w:sz w:val="24"/>
        <w:u w:val="single"/>
      </w:rPr>
    </w:lvl>
    <w:lvl w:ilvl="1">
      <w:start w:val="3"/>
      <w:numFmt w:val="decimal"/>
      <w:lvlText w:val="%1.%2"/>
      <w:lvlJc w:val="left"/>
      <w:pPr>
        <w:tabs>
          <w:tab w:val="num" w:pos="2148"/>
        </w:tabs>
        <w:ind w:left="2148" w:hanging="360"/>
      </w:pPr>
      <w:rPr>
        <w:rFonts w:hint="default"/>
        <w:b/>
        <w:sz w:val="24"/>
        <w:u w:val="single"/>
      </w:rPr>
    </w:lvl>
    <w:lvl w:ilvl="2">
      <w:start w:val="1"/>
      <w:numFmt w:val="decimal"/>
      <w:lvlText w:val="%1.%2.%3"/>
      <w:lvlJc w:val="left"/>
      <w:pPr>
        <w:tabs>
          <w:tab w:val="num" w:pos="4296"/>
        </w:tabs>
        <w:ind w:left="4296" w:hanging="720"/>
      </w:pPr>
      <w:rPr>
        <w:rFonts w:hint="default"/>
        <w:b/>
        <w:sz w:val="24"/>
        <w:u w:val="single"/>
      </w:rPr>
    </w:lvl>
    <w:lvl w:ilvl="3">
      <w:start w:val="1"/>
      <w:numFmt w:val="decimal"/>
      <w:lvlText w:val="%1.%2.%3.%4"/>
      <w:lvlJc w:val="left"/>
      <w:pPr>
        <w:tabs>
          <w:tab w:val="num" w:pos="6084"/>
        </w:tabs>
        <w:ind w:left="6084" w:hanging="720"/>
      </w:pPr>
      <w:rPr>
        <w:rFonts w:hint="default"/>
        <w:b/>
        <w:sz w:val="24"/>
        <w:u w:val="single"/>
      </w:rPr>
    </w:lvl>
    <w:lvl w:ilvl="4">
      <w:start w:val="1"/>
      <w:numFmt w:val="decimal"/>
      <w:lvlText w:val="%1.%2.%3.%4.%5"/>
      <w:lvlJc w:val="left"/>
      <w:pPr>
        <w:tabs>
          <w:tab w:val="num" w:pos="8232"/>
        </w:tabs>
        <w:ind w:left="8232" w:hanging="1080"/>
      </w:pPr>
      <w:rPr>
        <w:rFonts w:hint="default"/>
        <w:b/>
        <w:sz w:val="24"/>
        <w:u w:val="single"/>
      </w:rPr>
    </w:lvl>
    <w:lvl w:ilvl="5">
      <w:start w:val="1"/>
      <w:numFmt w:val="decimal"/>
      <w:lvlText w:val="%1.%2.%3.%4.%5.%6"/>
      <w:lvlJc w:val="left"/>
      <w:pPr>
        <w:tabs>
          <w:tab w:val="num" w:pos="10020"/>
        </w:tabs>
        <w:ind w:left="10020" w:hanging="1080"/>
      </w:pPr>
      <w:rPr>
        <w:rFonts w:hint="default"/>
        <w:b/>
        <w:sz w:val="24"/>
        <w:u w:val="single"/>
      </w:rPr>
    </w:lvl>
    <w:lvl w:ilvl="6">
      <w:start w:val="1"/>
      <w:numFmt w:val="decimal"/>
      <w:lvlText w:val="%1.%2.%3.%4.%5.%6.%7"/>
      <w:lvlJc w:val="left"/>
      <w:pPr>
        <w:tabs>
          <w:tab w:val="num" w:pos="12168"/>
        </w:tabs>
        <w:ind w:left="12168" w:hanging="1440"/>
      </w:pPr>
      <w:rPr>
        <w:rFonts w:hint="default"/>
        <w:b/>
        <w:sz w:val="24"/>
        <w:u w:val="single"/>
      </w:rPr>
    </w:lvl>
    <w:lvl w:ilvl="7">
      <w:start w:val="1"/>
      <w:numFmt w:val="decimal"/>
      <w:lvlText w:val="%1.%2.%3.%4.%5.%6.%7.%8"/>
      <w:lvlJc w:val="left"/>
      <w:pPr>
        <w:tabs>
          <w:tab w:val="num" w:pos="13956"/>
        </w:tabs>
        <w:ind w:left="13956" w:hanging="1440"/>
      </w:pPr>
      <w:rPr>
        <w:rFonts w:hint="default"/>
        <w:b/>
        <w:sz w:val="24"/>
        <w:u w:val="single"/>
      </w:rPr>
    </w:lvl>
    <w:lvl w:ilvl="8">
      <w:start w:val="1"/>
      <w:numFmt w:val="decimal"/>
      <w:lvlText w:val="%1.%2.%3.%4.%5.%6.%7.%8.%9"/>
      <w:lvlJc w:val="left"/>
      <w:pPr>
        <w:tabs>
          <w:tab w:val="num" w:pos="15744"/>
        </w:tabs>
        <w:ind w:left="15744" w:hanging="1440"/>
      </w:pPr>
      <w:rPr>
        <w:rFonts w:hint="default"/>
        <w:b/>
        <w:sz w:val="24"/>
        <w:u w:val="singl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B16"/>
    <w:rsid w:val="000B2D50"/>
    <w:rsid w:val="000D1B1C"/>
    <w:rsid w:val="000E75A0"/>
    <w:rsid w:val="00115193"/>
    <w:rsid w:val="001272B1"/>
    <w:rsid w:val="001941AC"/>
    <w:rsid w:val="001A0DEB"/>
    <w:rsid w:val="002524F5"/>
    <w:rsid w:val="00264D00"/>
    <w:rsid w:val="0028552B"/>
    <w:rsid w:val="002F3417"/>
    <w:rsid w:val="00304B16"/>
    <w:rsid w:val="00334EFC"/>
    <w:rsid w:val="00367B71"/>
    <w:rsid w:val="003B0AF0"/>
    <w:rsid w:val="00416D7F"/>
    <w:rsid w:val="004413B5"/>
    <w:rsid w:val="0044158F"/>
    <w:rsid w:val="00446D85"/>
    <w:rsid w:val="00455FC7"/>
    <w:rsid w:val="004D4254"/>
    <w:rsid w:val="00514992"/>
    <w:rsid w:val="00545849"/>
    <w:rsid w:val="005A552D"/>
    <w:rsid w:val="00640271"/>
    <w:rsid w:val="006A0ECA"/>
    <w:rsid w:val="006E08E6"/>
    <w:rsid w:val="006E3C55"/>
    <w:rsid w:val="006F1B87"/>
    <w:rsid w:val="006F5DF3"/>
    <w:rsid w:val="0072248D"/>
    <w:rsid w:val="0072347D"/>
    <w:rsid w:val="007756AA"/>
    <w:rsid w:val="007B32D8"/>
    <w:rsid w:val="007E7407"/>
    <w:rsid w:val="00805E96"/>
    <w:rsid w:val="00846065"/>
    <w:rsid w:val="008715AF"/>
    <w:rsid w:val="00876C59"/>
    <w:rsid w:val="00892900"/>
    <w:rsid w:val="008B1937"/>
    <w:rsid w:val="00912109"/>
    <w:rsid w:val="00921A53"/>
    <w:rsid w:val="00927683"/>
    <w:rsid w:val="00936D1F"/>
    <w:rsid w:val="00A17D42"/>
    <w:rsid w:val="00AA539A"/>
    <w:rsid w:val="00AC113A"/>
    <w:rsid w:val="00B10E28"/>
    <w:rsid w:val="00B53F96"/>
    <w:rsid w:val="00BD250C"/>
    <w:rsid w:val="00CE6DCA"/>
    <w:rsid w:val="00D0708D"/>
    <w:rsid w:val="00D179C2"/>
    <w:rsid w:val="00D207E2"/>
    <w:rsid w:val="00DA4A83"/>
    <w:rsid w:val="00E5764F"/>
    <w:rsid w:val="00E976F1"/>
    <w:rsid w:val="00EE54B7"/>
    <w:rsid w:val="00F81378"/>
    <w:rsid w:val="00FB0094"/>
    <w:rsid w:val="00FB4B59"/>
    <w:rsid w:val="00FB7E5C"/>
    <w:rsid w:val="00FC1F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7712F804-EC70-4026-9721-59CC2FB36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Titre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Titre2">
    <w:name w:val="heading 2"/>
    <w:basedOn w:val="Normal"/>
    <w:next w:val="Normal"/>
    <w:qFormat/>
    <w:pPr>
      <w:keepNext/>
      <w:spacing w:before="240" w:after="60"/>
      <w:outlineLvl w:val="1"/>
    </w:pPr>
    <w:rPr>
      <w:rFonts w:ascii="Arial" w:hAnsi="Arial" w:cs="Arial"/>
      <w:b/>
      <w:bCs/>
      <w:i/>
      <w:iCs/>
      <w:sz w:val="28"/>
      <w:szCs w:val="28"/>
    </w:rPr>
  </w:style>
  <w:style w:type="paragraph" w:styleId="Titre3">
    <w:name w:val="heading 3"/>
    <w:basedOn w:val="Normal"/>
    <w:next w:val="Normal"/>
    <w:qFormat/>
    <w:pPr>
      <w:keepNext/>
      <w:spacing w:before="240" w:after="60"/>
      <w:outlineLvl w:val="2"/>
    </w:pPr>
    <w:rPr>
      <w:rFonts w:ascii="Arial" w:hAnsi="Arial" w:cs="Arial"/>
      <w:b/>
      <w:bCs/>
      <w:sz w:val="26"/>
      <w:szCs w:val="26"/>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character" w:customStyle="1" w:styleId="WW8Num2z0">
    <w:name w:val="WW8Num2z0"/>
    <w:rPr>
      <w:rFonts w:ascii="Times New Roman" w:hAnsi="Times New Roman" w:cs="Times New Roman"/>
      <w:i/>
    </w:rPr>
  </w:style>
  <w:style w:type="character" w:customStyle="1" w:styleId="WW8Num3z0">
    <w:name w:val="WW8Num3z0"/>
    <w:rPr>
      <w:rFonts w:ascii="Symbol" w:hAnsi="Symbol" w:cs="Symbol"/>
    </w:rPr>
  </w:style>
  <w:style w:type="character" w:customStyle="1" w:styleId="WW8Num4z0">
    <w:name w:val="WW8Num4z0"/>
    <w:rPr>
      <w:rFonts w:ascii="Wingdings" w:hAnsi="Wingdings" w:cs="Wingdings"/>
    </w:rPr>
  </w:style>
  <w:style w:type="character" w:customStyle="1" w:styleId="WW8Num5z0">
    <w:name w:val="WW8Num5z0"/>
    <w:rPr>
      <w:rFonts w:ascii="Symbol" w:hAnsi="Symbol" w:cs="Symbol"/>
      <w:sz w:val="20"/>
    </w:rPr>
  </w:style>
  <w:style w:type="character" w:customStyle="1" w:styleId="WW8Num6z0">
    <w:name w:val="WW8Num6z0"/>
    <w:rPr>
      <w:rFonts w:ascii="Symbol" w:hAnsi="Symbol" w:cs="Symbol"/>
    </w:rPr>
  </w:style>
  <w:style w:type="character" w:customStyle="1" w:styleId="WW8Num7z0">
    <w:name w:val="WW8Num7z0"/>
    <w:rPr>
      <w:rFonts w:ascii="Wingdings" w:hAnsi="Wingdings" w:cs="Wingdings"/>
    </w:rPr>
  </w:style>
  <w:style w:type="character" w:customStyle="1" w:styleId="WW8Num8z0">
    <w:name w:val="WW8Num8z0"/>
    <w:rPr>
      <w:rFonts w:ascii="Symbol" w:hAnsi="Symbol" w:cs="Symbol"/>
    </w:rPr>
  </w:style>
  <w:style w:type="character" w:customStyle="1" w:styleId="WW8Num9z0">
    <w:name w:val="WW8Num9z0"/>
    <w:rPr>
      <w:rFonts w:ascii="Symbol" w:hAnsi="Symbol" w:cs="Symbol"/>
      <w:sz w:val="20"/>
    </w:rPr>
  </w:style>
  <w:style w:type="character" w:customStyle="1" w:styleId="WW8Num10z0">
    <w:name w:val="WW8Num10z0"/>
    <w:rPr>
      <w:rFonts w:ascii="Symbol" w:hAnsi="Symbol" w:cs="Symbol"/>
    </w:rPr>
  </w:style>
  <w:style w:type="character" w:customStyle="1" w:styleId="WW8Num11z0">
    <w:name w:val="WW8Num11z0"/>
    <w:rPr>
      <w:rFonts w:cs="Times New Roman"/>
      <w:color w:val="000000"/>
    </w:rPr>
  </w:style>
  <w:style w:type="character" w:customStyle="1" w:styleId="WW8Num12z0">
    <w:name w:val="WW8Num12z0"/>
    <w:rPr>
      <w:rFonts w:ascii="Symbol" w:hAnsi="Symbol" w:cs="Wingdings"/>
    </w:rPr>
  </w:style>
  <w:style w:type="character" w:customStyle="1" w:styleId="WW8Num13z0">
    <w:name w:val="WW8Num13z0"/>
    <w:rPr>
      <w:rFonts w:cs="Times New Roman"/>
    </w:rPr>
  </w:style>
  <w:style w:type="character" w:customStyle="1" w:styleId="WW8Num14z0">
    <w:name w:val="WW8Num14z0"/>
    <w:rPr>
      <w:rFonts w:ascii="Wingdings" w:hAnsi="Wingdings" w:cs="Wingdings"/>
    </w:rPr>
  </w:style>
  <w:style w:type="character" w:customStyle="1" w:styleId="WW8Num15z0">
    <w:name w:val="WW8Num15z0"/>
    <w:rPr>
      <w:rFonts w:ascii="Calibri" w:hAnsi="Calibri" w:cs="Calibri"/>
    </w:rPr>
  </w:style>
  <w:style w:type="character" w:customStyle="1" w:styleId="WW8Num17z0">
    <w:name w:val="WW8Num17z0"/>
    <w:rPr>
      <w:rFonts w:ascii="Times New Roman" w:hAnsi="Times New Roman" w:cs="Times New Roman"/>
    </w:rPr>
  </w:style>
  <w:style w:type="character" w:customStyle="1" w:styleId="WW8Num17z1">
    <w:name w:val="WW8Num17z1"/>
    <w:rPr>
      <w:rFonts w:ascii="OpenSymbol" w:hAnsi="OpenSymbol" w:cs="OpenSymbol"/>
    </w:rPr>
  </w:style>
  <w:style w:type="character" w:customStyle="1" w:styleId="WW8Num18z0">
    <w:name w:val="WW8Num18z0"/>
    <w:rPr>
      <w:rFonts w:cs="Times New Roman"/>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Symbol"/>
    </w:rPr>
  </w:style>
  <w:style w:type="character" w:customStyle="1" w:styleId="WW8Num21z0">
    <w:name w:val="WW8Num21z0"/>
    <w:rPr>
      <w:rFonts w:ascii="Wingdings" w:hAnsi="Wingdings" w:cs="Wingdings"/>
    </w:rPr>
  </w:style>
  <w:style w:type="character" w:customStyle="1" w:styleId="WW8Num22z0">
    <w:name w:val="WW8Num22z0"/>
    <w:rPr>
      <w:rFonts w:cs="Times New Roman"/>
      <w:sz w:val="36"/>
    </w:rPr>
  </w:style>
  <w:style w:type="character" w:customStyle="1" w:styleId="WW8Num23z0">
    <w:name w:val="WW8Num23z0"/>
    <w:rPr>
      <w:rFonts w:ascii="Symbol" w:hAnsi="Symbol" w:cs="Symbol"/>
      <w:sz w:val="20"/>
    </w:rPr>
  </w:style>
  <w:style w:type="character" w:customStyle="1" w:styleId="WW8Num24z0">
    <w:name w:val="WW8Num24z0"/>
    <w:rPr>
      <w:rFonts w:ascii="Times New Roman" w:hAnsi="Times New Roman" w:cs="Times New Roman"/>
    </w:rPr>
  </w:style>
  <w:style w:type="character" w:customStyle="1" w:styleId="WW8Num25z0">
    <w:name w:val="WW8Num25z0"/>
    <w:rPr>
      <w:rFonts w:ascii="Symbol" w:hAnsi="Symbol" w:cs="Symbol"/>
    </w:rPr>
  </w:style>
  <w:style w:type="character" w:customStyle="1" w:styleId="WW8Num26z0">
    <w:name w:val="WW8Num26z0"/>
    <w:rPr>
      <w:rFonts w:ascii="Symbol" w:hAnsi="Symbol" w:cs="Times New Roman"/>
      <w:sz w:val="36"/>
    </w:rPr>
  </w:style>
  <w:style w:type="character" w:customStyle="1" w:styleId="WW8Num27z0">
    <w:name w:val="WW8Num27z0"/>
    <w:rPr>
      <w:rFonts w:ascii="Symbol" w:hAnsi="Symbol" w:cs="OpenSymbol"/>
    </w:rPr>
  </w:style>
  <w:style w:type="character" w:customStyle="1" w:styleId="WW8Num28z0">
    <w:name w:val="WW8Num28z0"/>
    <w:rPr>
      <w:rFonts w:ascii="Symbol" w:hAnsi="Symbol" w:cs="OpenSymbol"/>
    </w:rPr>
  </w:style>
  <w:style w:type="character" w:customStyle="1" w:styleId="Policepardfaut3">
    <w:name w:val="Police par défaut3"/>
  </w:style>
  <w:style w:type="character" w:customStyle="1" w:styleId="Policepardfaut2">
    <w:name w:val="Police par défaut2"/>
  </w:style>
  <w:style w:type="character" w:customStyle="1" w:styleId="Marquedecommentaire2">
    <w:name w:val="Marque de commentaire2"/>
    <w:rPr>
      <w:sz w:val="16"/>
      <w:szCs w:val="16"/>
    </w:rPr>
  </w:style>
  <w:style w:type="character" w:customStyle="1" w:styleId="Policepardfaut1">
    <w:name w:val="Police par défaut1"/>
  </w:style>
  <w:style w:type="character" w:customStyle="1" w:styleId="Marquedecommentaire1">
    <w:name w:val="Marque de commentaire1"/>
    <w:rPr>
      <w:sz w:val="16"/>
      <w:szCs w:val="16"/>
    </w:rPr>
  </w:style>
  <w:style w:type="character" w:customStyle="1" w:styleId="lang-en">
    <w:name w:val="lang-en"/>
    <w:rPr>
      <w:rFonts w:cs="Times New Roman"/>
    </w:rPr>
  </w:style>
  <w:style w:type="character" w:customStyle="1" w:styleId="WW8Num27z1">
    <w:name w:val="WW8Num27z1"/>
    <w:rPr>
      <w:rFonts w:ascii="OpenSymbol" w:hAnsi="OpenSymbol" w:cs="OpenSymbol"/>
    </w:rPr>
  </w:style>
  <w:style w:type="character" w:customStyle="1" w:styleId="WW8Num28z1">
    <w:name w:val="WW8Num28z1"/>
    <w:rPr>
      <w:rFonts w:ascii="OpenSymbol" w:hAnsi="OpenSymbol" w:cs="OpenSymbol"/>
    </w:rPr>
  </w:style>
  <w:style w:type="character" w:customStyle="1" w:styleId="WW8Num29z0">
    <w:name w:val="WW8Num29z0"/>
    <w:rPr>
      <w:rFonts w:ascii="Symbol" w:hAnsi="Symbol" w:cs="OpenSymbol"/>
    </w:rPr>
  </w:style>
  <w:style w:type="character" w:customStyle="1" w:styleId="WW8Num29z1">
    <w:name w:val="WW8Num29z1"/>
    <w:rPr>
      <w:rFonts w:ascii="OpenSymbol" w:hAnsi="OpenSymbol" w:cs="OpenSymbol"/>
    </w:rPr>
  </w:style>
  <w:style w:type="character" w:customStyle="1" w:styleId="WW8Num16z0">
    <w:name w:val="WW8Num16z0"/>
    <w:rPr>
      <w:rFonts w:cs="Times New Roman"/>
      <w:sz w:val="36"/>
    </w:rPr>
  </w:style>
  <w:style w:type="character" w:styleId="lev">
    <w:name w:val="Strong"/>
    <w:qFormat/>
    <w:rPr>
      <w:rFonts w:cs="Times New Roman"/>
      <w:b/>
      <w:bCs/>
    </w:rPr>
  </w:style>
  <w:style w:type="character" w:customStyle="1" w:styleId="CarCar1">
    <w:name w:val="Car Car1"/>
    <w:rPr>
      <w:rFonts w:ascii="Arial" w:hAnsi="Arial" w:cs="Arial"/>
      <w:b/>
      <w:bCs/>
      <w:i/>
      <w:iCs/>
      <w:sz w:val="28"/>
      <w:szCs w:val="28"/>
      <w:lang w:val="fr-FR" w:eastAsia="ar-SA" w:bidi="ar-SA"/>
    </w:rPr>
  </w:style>
  <w:style w:type="character" w:customStyle="1" w:styleId="CarCar2">
    <w:name w:val="Car Car2"/>
    <w:rPr>
      <w:rFonts w:ascii="Arial" w:hAnsi="Arial" w:cs="Arial"/>
      <w:b/>
      <w:bCs/>
      <w:kern w:val="1"/>
      <w:sz w:val="32"/>
      <w:szCs w:val="32"/>
      <w:lang w:val="fr-FR" w:eastAsia="ar-SA" w:bidi="ar-SA"/>
    </w:rPr>
  </w:style>
  <w:style w:type="character" w:styleId="Lienhypertexte">
    <w:name w:val="Hyperlink"/>
    <w:rPr>
      <w:rFonts w:cs="Times New Roman"/>
      <w:color w:val="0000FF"/>
      <w:u w:val="single"/>
    </w:rPr>
  </w:style>
  <w:style w:type="character" w:customStyle="1" w:styleId="jrnl">
    <w:name w:val="jrnl"/>
    <w:rPr>
      <w:rFonts w:cs="Times New Roman"/>
    </w:rPr>
  </w:style>
  <w:style w:type="character" w:customStyle="1" w:styleId="highlight">
    <w:name w:val="highlight"/>
    <w:rPr>
      <w:rFonts w:cs="Times New Roman"/>
    </w:rPr>
  </w:style>
  <w:style w:type="character" w:customStyle="1" w:styleId="Caractresdenumrotation">
    <w:name w:val="Caractères de numérotation"/>
  </w:style>
  <w:style w:type="paragraph" w:customStyle="1" w:styleId="Titre20">
    <w:name w:val="Titre2"/>
    <w:basedOn w:val="Normal"/>
    <w:next w:val="Corpsdetexte"/>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2">
    <w:name w:val="Légende2"/>
    <w:basedOn w:val="Normal"/>
    <w:pPr>
      <w:suppressLineNumbers/>
      <w:spacing w:before="120" w:after="120"/>
    </w:pPr>
    <w:rPr>
      <w:i/>
      <w:iCs/>
    </w:rPr>
  </w:style>
  <w:style w:type="paragraph" w:customStyle="1" w:styleId="Index">
    <w:name w:val="Index"/>
    <w:basedOn w:val="Normal"/>
    <w:pPr>
      <w:suppressLineNumbers/>
    </w:pPr>
  </w:style>
  <w:style w:type="paragraph" w:customStyle="1" w:styleId="Titre10">
    <w:name w:val="Titre1"/>
    <w:basedOn w:val="Normal"/>
    <w:next w:val="Corpsdetexte"/>
    <w:pPr>
      <w:keepNext/>
      <w:spacing w:before="240" w:after="120"/>
    </w:pPr>
    <w:rPr>
      <w:rFonts w:ascii="Arial" w:eastAsia="Microsoft YaHei" w:hAnsi="Arial"/>
      <w:sz w:val="28"/>
      <w:szCs w:val="28"/>
    </w:rPr>
  </w:style>
  <w:style w:type="paragraph" w:customStyle="1" w:styleId="Lgende1">
    <w:name w:val="Légende1"/>
    <w:basedOn w:val="Normal"/>
    <w:pPr>
      <w:suppressLineNumbers/>
      <w:spacing w:before="120" w:after="120"/>
    </w:pPr>
    <w:rPr>
      <w:i/>
      <w:iCs/>
    </w:rPr>
  </w:style>
  <w:style w:type="paragraph" w:styleId="Titre">
    <w:name w:val="Title"/>
    <w:basedOn w:val="Normal"/>
    <w:next w:val="Corpsdetexte"/>
    <w:qFormat/>
    <w:pPr>
      <w:jc w:val="center"/>
    </w:pPr>
    <w:rPr>
      <w:b/>
      <w:sz w:val="28"/>
      <w:szCs w:val="20"/>
    </w:rPr>
  </w:style>
  <w:style w:type="paragraph" w:styleId="Sous-titre">
    <w:name w:val="Subtitle"/>
    <w:basedOn w:val="Titre20"/>
    <w:next w:val="Corpsdetexte"/>
    <w:qFormat/>
    <w:pPr>
      <w:jc w:val="center"/>
    </w:pPr>
    <w:rPr>
      <w:i/>
      <w:iCs/>
    </w:rPr>
  </w:style>
  <w:style w:type="paragraph" w:customStyle="1" w:styleId="ListParagraph">
    <w:name w:val="List Paragraph"/>
    <w:basedOn w:val="Normal"/>
    <w:pPr>
      <w:spacing w:after="200" w:line="276" w:lineRule="auto"/>
      <w:ind w:left="720"/>
    </w:pPr>
    <w:rPr>
      <w:rFonts w:ascii="Calibri" w:eastAsia="Times New Roman" w:hAnsi="Calibri" w:cs="Calibri"/>
      <w:sz w:val="22"/>
      <w:szCs w:val="22"/>
    </w:rPr>
  </w:style>
  <w:style w:type="paragraph" w:customStyle="1" w:styleId="prototypetitre2">
    <w:name w:val="proto type titre 2"/>
    <w:basedOn w:val="Titre2"/>
    <w:pPr>
      <w:numPr>
        <w:ilvl w:val="1"/>
        <w:numId w:val="1"/>
      </w:numPr>
      <w:spacing w:before="360" w:after="120"/>
      <w:jc w:val="both"/>
    </w:pPr>
    <w:rPr>
      <w:rFonts w:ascii="Times New Roman" w:hAnsi="Times New Roman" w:cs="Times New Roman"/>
      <w:bCs w:val="0"/>
      <w:i w:val="0"/>
      <w:iCs w:val="0"/>
      <w:caps/>
      <w:sz w:val="22"/>
      <w:szCs w:val="22"/>
    </w:rPr>
  </w:style>
  <w:style w:type="paragraph" w:customStyle="1" w:styleId="Sousnumrotation">
    <w:name w:val="Sous  numérotation"/>
    <w:basedOn w:val="Normal"/>
    <w:pPr>
      <w:ind w:left="482" w:hanging="482"/>
      <w:jc w:val="both"/>
    </w:pPr>
    <w:rPr>
      <w:sz w:val="22"/>
    </w:rPr>
  </w:style>
  <w:style w:type="paragraph" w:customStyle="1" w:styleId="prototypecorpsdetexte">
    <w:name w:val="proto type corps de texte"/>
    <w:basedOn w:val="Normal"/>
    <w:pPr>
      <w:spacing w:before="60"/>
      <w:ind w:firstLine="567"/>
      <w:jc w:val="both"/>
    </w:pPr>
    <w:rPr>
      <w:rFonts w:ascii="Times" w:hAnsi="Times" w:cs="Times"/>
      <w:sz w:val="22"/>
      <w:szCs w:val="22"/>
    </w:rPr>
  </w:style>
  <w:style w:type="paragraph" w:customStyle="1" w:styleId="prototypeticcorpsdutexte">
    <w:name w:val="proto type tic corps du texte"/>
    <w:basedOn w:val="prototypecorpsdetexte"/>
    <w:pPr>
      <w:numPr>
        <w:numId w:val="15"/>
      </w:numPr>
      <w:tabs>
        <w:tab w:val="left" w:pos="720"/>
      </w:tabs>
      <w:spacing w:before="0"/>
    </w:pPr>
    <w:rPr>
      <w:rFonts w:ascii="Times New Roman" w:hAnsi="Times New Roman" w:cs="Times New Roman"/>
    </w:rPr>
  </w:style>
  <w:style w:type="paragraph" w:styleId="NormalWeb">
    <w:name w:val="Normal (Web)"/>
    <w:basedOn w:val="Normal"/>
    <w:pPr>
      <w:spacing w:before="280" w:after="280"/>
    </w:pPr>
    <w:rPr>
      <w:rFonts w:ascii="Arial" w:hAnsi="Arial" w:cs="Arial"/>
      <w:color w:val="000000"/>
      <w:sz w:val="18"/>
      <w:szCs w:val="18"/>
    </w:rPr>
  </w:style>
  <w:style w:type="paragraph" w:customStyle="1" w:styleId="a">
    <w:name w:val="a"/>
    <w:basedOn w:val="Normal"/>
    <w:pPr>
      <w:spacing w:before="240" w:line="360" w:lineRule="atLeast"/>
      <w:ind w:left="840" w:right="320"/>
      <w:jc w:val="both"/>
    </w:pPr>
    <w:rPr>
      <w:rFonts w:ascii="Verdana" w:hAnsi="Verdana" w:cs="Verdana"/>
      <w:sz w:val="22"/>
      <w:szCs w:val="20"/>
    </w:rPr>
  </w:style>
  <w:style w:type="paragraph" w:styleId="Retraitcorpsdetexte">
    <w:name w:val="Body Text Indent"/>
    <w:basedOn w:val="Normal"/>
    <w:pPr>
      <w:spacing w:after="120"/>
      <w:ind w:left="283"/>
    </w:pPr>
  </w:style>
  <w:style w:type="paragraph" w:customStyle="1" w:styleId="CorpsdetexteCorpsdetexte1">
    <w:name w:val="Corps de texte.Corps de texte1"/>
    <w:basedOn w:val="Normal"/>
    <w:pPr>
      <w:jc w:val="both"/>
    </w:pPr>
  </w:style>
  <w:style w:type="paragraph" w:customStyle="1" w:styleId="Texte">
    <w:name w:val="Texte"/>
    <w:basedOn w:val="Normal"/>
    <w:pPr>
      <w:spacing w:after="120" w:line="360" w:lineRule="atLeast"/>
      <w:jc w:val="both"/>
    </w:pPr>
    <w:rPr>
      <w:sz w:val="22"/>
      <w:szCs w:val="20"/>
    </w:rPr>
  </w:style>
  <w:style w:type="paragraph" w:customStyle="1" w:styleId="details">
    <w:name w:val="details"/>
    <w:basedOn w:val="Normal"/>
    <w:pPr>
      <w:spacing w:before="280" w:after="280"/>
    </w:pPr>
    <w:rPr>
      <w:rFonts w:eastAsia="MS Mincho"/>
    </w:rPr>
  </w:style>
  <w:style w:type="paragraph" w:customStyle="1" w:styleId="desc">
    <w:name w:val="desc"/>
    <w:basedOn w:val="Normal"/>
    <w:pPr>
      <w:spacing w:before="280" w:after="280"/>
    </w:pPr>
    <w:rPr>
      <w:rFonts w:eastAsia="MS Mincho"/>
      <w:lang w:val="en-US"/>
    </w:rPr>
  </w:style>
  <w:style w:type="paragraph" w:customStyle="1" w:styleId="title">
    <w:name w:val="title"/>
    <w:basedOn w:val="Normal"/>
    <w:pPr>
      <w:spacing w:before="280" w:after="280"/>
    </w:pPr>
    <w:rPr>
      <w:rFonts w:eastAsia="MS Mincho"/>
    </w:rPr>
  </w:style>
  <w:style w:type="paragraph" w:styleId="Textedebulles">
    <w:name w:val="Balloon Text"/>
    <w:basedOn w:val="Normal"/>
    <w:rPr>
      <w:rFonts w:ascii="Tahoma" w:hAnsi="Tahoma" w:cs="Tahoma"/>
      <w:sz w:val="16"/>
      <w:szCs w:val="16"/>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Marquedecommentaire">
    <w:name w:val="annotation reference"/>
    <w:semiHidden/>
    <w:rsid w:val="008B1937"/>
    <w:rPr>
      <w:sz w:val="16"/>
      <w:szCs w:val="16"/>
    </w:rPr>
  </w:style>
  <w:style w:type="paragraph" w:styleId="Commentaire">
    <w:name w:val="annotation text"/>
    <w:basedOn w:val="Normal"/>
    <w:semiHidden/>
    <w:rsid w:val="008B1937"/>
    <w:rPr>
      <w:sz w:val="20"/>
      <w:szCs w:val="20"/>
    </w:rPr>
  </w:style>
  <w:style w:type="paragraph" w:styleId="Objetducommentaire">
    <w:name w:val="annotation subject"/>
    <w:basedOn w:val="Commentaire"/>
    <w:next w:val="Commentaire"/>
    <w:semiHidden/>
    <w:rsid w:val="008B19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pubmed?term=Baram%20TZ%5BAuthor%5D&amp;cauthor=true&amp;cauthor_uid=19339973" TargetMode="External"/><Relationship Id="rId21" Type="http://schemas.openxmlformats.org/officeDocument/2006/relationships/hyperlink" Target="http://www.ncbi.nlm.nih.gov/pubmed?term=Grayham%20DA%5BAuthor%5D&amp;cauthor=true&amp;cauthor_uid=9223846" TargetMode="External"/><Relationship Id="rId42" Type="http://schemas.openxmlformats.org/officeDocument/2006/relationships/hyperlink" Target="http://www.ncbi.nlm.nih.gov/pubmed?term=Nenadovi&#263;%20N%5BAuthor%5D&amp;cauthor=true&amp;cauthor_uid=20954413" TargetMode="External"/><Relationship Id="rId63" Type="http://schemas.openxmlformats.org/officeDocument/2006/relationships/hyperlink" Target="http://www.ncbi.nlm.nih.gov/pubmed/16337291" TargetMode="External"/><Relationship Id="rId84" Type="http://schemas.openxmlformats.org/officeDocument/2006/relationships/hyperlink" Target="http://www.ncbi.nlm.nih.gov/pubmed?term=Hansen%20AM%5BAuthor%5D&amp;cauthor=true&amp;cauthor_uid=16824664" TargetMode="External"/><Relationship Id="rId138" Type="http://schemas.openxmlformats.org/officeDocument/2006/relationships/hyperlink" Target="http://www.ncbi.nlm.nih.gov/pubmed?term=Kumari%20M%5BAuthor%5D&amp;cauthor=true&amp;cauthor_uid=19647372" TargetMode="External"/><Relationship Id="rId159" Type="http://schemas.openxmlformats.org/officeDocument/2006/relationships/hyperlink" Target="http://www.ncbi.nlm.nih.gov/pubmed?term=Follenius%20M%5BAuthor%5D&amp;cauthor=true&amp;cauthor_uid=8928766" TargetMode="External"/><Relationship Id="rId170" Type="http://schemas.openxmlformats.org/officeDocument/2006/relationships/hyperlink" Target="http://www.ncbi.nlm.nih.gov/pubmed/16916429" TargetMode="External"/><Relationship Id="rId191" Type="http://schemas.openxmlformats.org/officeDocument/2006/relationships/hyperlink" Target="http://www.ncbi.nlm.nih.gov/pubmed/10808656" TargetMode="External"/><Relationship Id="rId205" Type="http://schemas.openxmlformats.org/officeDocument/2006/relationships/hyperlink" Target="http://www.ncbi.nlm.nih.gov/pubmed?term=Cullinan%20WE%5BAuthor%5D&amp;cauthor=true&amp;cauthor_uid=14596810" TargetMode="External"/><Relationship Id="rId226" Type="http://schemas.openxmlformats.org/officeDocument/2006/relationships/hyperlink" Target="http://www.ncbi.nlm.nih.gov/pubmed/16428252" TargetMode="External"/><Relationship Id="rId247" Type="http://schemas.openxmlformats.org/officeDocument/2006/relationships/hyperlink" Target="http://www.ncbi.nlm.nih.gov/pubmed?cmd=historysearch&amp;querykey=17" TargetMode="External"/><Relationship Id="rId107" Type="http://schemas.openxmlformats.org/officeDocument/2006/relationships/hyperlink" Target="http://www.ncbi.nlm.nih.gov/pubmed?term=Stiedl%20O%5BAuthor%5D&amp;cauthor=true&amp;cauthor_uid=21316391" TargetMode="External"/><Relationship Id="rId268" Type="http://schemas.openxmlformats.org/officeDocument/2006/relationships/hyperlink" Target="http://www.ncbi.nlm.nih.gov/pubmed?cmd=historysearch&amp;querykey=32" TargetMode="External"/><Relationship Id="rId11" Type="http://schemas.openxmlformats.org/officeDocument/2006/relationships/image" Target="media/image5.emf"/><Relationship Id="rId32" Type="http://schemas.openxmlformats.org/officeDocument/2006/relationships/hyperlink" Target="http://www.ncbi.nlm.nih.gov/pubmed/22080787" TargetMode="External"/><Relationship Id="rId53" Type="http://schemas.openxmlformats.org/officeDocument/2006/relationships/hyperlink" Target="http://www.ncbi.nlm.nih.gov/pubmed?term=Laggner%20AN%5BAuthor%5D&amp;cauthor=true&amp;cauthor_uid=12394962" TargetMode="External"/><Relationship Id="rId74" Type="http://schemas.openxmlformats.org/officeDocument/2006/relationships/hyperlink" Target="http://www.ncbi.nlm.nih.gov/pubmed/11227756" TargetMode="External"/><Relationship Id="rId128" Type="http://schemas.openxmlformats.org/officeDocument/2006/relationships/hyperlink" Target="http://www.ncbi.nlm.nih.gov/pubmed?term=HECHTER%20O%5BAuthor%5D&amp;cauthor=true&amp;cauthor_uid=13092959" TargetMode="External"/><Relationship Id="rId149" Type="http://schemas.openxmlformats.org/officeDocument/2006/relationships/hyperlink" Target="http://www.ncbi.nlm.nih.gov/pubmed/20134204" TargetMode="External"/><Relationship Id="rId5" Type="http://schemas.openxmlformats.org/officeDocument/2006/relationships/footnotes" Target="footnotes.xml"/><Relationship Id="rId95" Type="http://schemas.openxmlformats.org/officeDocument/2006/relationships/hyperlink" Target="http://www.ncbi.nlm.nih.gov/pubmed?term=Bartolomucci%20A%5BAuthor%5D&amp;cauthor=true&amp;cauthor_uid=21316391" TargetMode="External"/><Relationship Id="rId160" Type="http://schemas.openxmlformats.org/officeDocument/2006/relationships/hyperlink" Target="http://www.ncbi.nlm.nih.gov/pubmed?term=Ehrhart%20J%5BAuthor%5D&amp;cauthor=true&amp;cauthor_uid=8928766" TargetMode="External"/><Relationship Id="rId181" Type="http://schemas.openxmlformats.org/officeDocument/2006/relationships/hyperlink" Target="http://www.ncbi.nlm.nih.gov/pubmed?term=Hellhammer%20DH%5BAuthor%5D&amp;cauthor=true&amp;cauthor_uid=19041187" TargetMode="External"/><Relationship Id="rId216" Type="http://schemas.openxmlformats.org/officeDocument/2006/relationships/hyperlink" Target="http://www.ncbi.nlm.nih.gov/pubmed/19401723" TargetMode="External"/><Relationship Id="rId237" Type="http://schemas.openxmlformats.org/officeDocument/2006/relationships/hyperlink" Target="http://www.ncbi.nlm.nih.gov/pubmed/22778720" TargetMode="External"/><Relationship Id="rId258" Type="http://schemas.openxmlformats.org/officeDocument/2006/relationships/hyperlink" Target="http://www.ncbi.nlm.nih.gov/pubmed?term=Karamouzis%20M%5BAuthor%5D&amp;cauthor=true&amp;cauthor_uid=18441503" TargetMode="External"/><Relationship Id="rId279" Type="http://schemas.openxmlformats.org/officeDocument/2006/relationships/hyperlink" Target="http://www.ncbi.nlm.nih.gov/pubmed/10846188" TargetMode="External"/><Relationship Id="rId22" Type="http://schemas.openxmlformats.org/officeDocument/2006/relationships/hyperlink" Target="http://www.ncbi.nlm.nih.gov/pubmed/9223846" TargetMode="External"/><Relationship Id="rId43" Type="http://schemas.openxmlformats.org/officeDocument/2006/relationships/hyperlink" Target="http://www.ncbi.nlm.nih.gov/pubmed/20954413" TargetMode="External"/><Relationship Id="rId64" Type="http://schemas.openxmlformats.org/officeDocument/2006/relationships/hyperlink" Target="http://www.ncbi.nlm.nih.gov/pubmed/22350686" TargetMode="External"/><Relationship Id="rId118" Type="http://schemas.openxmlformats.org/officeDocument/2006/relationships/hyperlink" Target="http://www.ncbi.nlm.nih.gov/pubmed?term=Sapolsky%20RM%5BAuthor%5D&amp;cauthor=true&amp;cauthor_uid=3527687" TargetMode="External"/><Relationship Id="rId139" Type="http://schemas.openxmlformats.org/officeDocument/2006/relationships/hyperlink" Target="http://www.ncbi.nlm.nih.gov/pubmed/19647372" TargetMode="External"/><Relationship Id="rId85" Type="http://schemas.openxmlformats.org/officeDocument/2006/relationships/hyperlink" Target="http://www.ncbi.nlm.nih.gov/pubmed/16824664" TargetMode="External"/><Relationship Id="rId150" Type="http://schemas.openxmlformats.org/officeDocument/2006/relationships/hyperlink" Target="http://www.ncbi.nlm.nih.gov/pubmed?term=Kirschbaum%20C%5BAuthor%5D&amp;cauthor=true&amp;cauthor_uid=8047637" TargetMode="External"/><Relationship Id="rId171" Type="http://schemas.openxmlformats.org/officeDocument/2006/relationships/hyperlink" Target="http://www.ncbi.nlm.nih.gov/pubmed/16631247" TargetMode="External"/><Relationship Id="rId192" Type="http://schemas.openxmlformats.org/officeDocument/2006/relationships/hyperlink" Target="http://www.ncbi.nlm.nih.gov/pubmed/19833145" TargetMode="External"/><Relationship Id="rId206" Type="http://schemas.openxmlformats.org/officeDocument/2006/relationships/hyperlink" Target="http://www.ncbi.nlm.nih.gov/pubmed/14596810" TargetMode="External"/><Relationship Id="rId227" Type="http://schemas.openxmlformats.org/officeDocument/2006/relationships/hyperlink" Target="http://www.ncbi.nlm.nih.gov/pubmed?term=Anagnostis%20P%5BAuthor%5D&amp;cauthor=true&amp;cauthor_uid=19470627" TargetMode="External"/><Relationship Id="rId248" Type="http://schemas.openxmlformats.org/officeDocument/2006/relationships/hyperlink" Target="http://www.ncbi.nlm.nih.gov/pubmed?term=McCray%20CJ%5BAuthor%5D&amp;cauthor=true&amp;cauthor_uid=21094920" TargetMode="External"/><Relationship Id="rId269" Type="http://schemas.openxmlformats.org/officeDocument/2006/relationships/hyperlink" Target="http://www.ncbi.nlm.nih.gov/pubmed?term=Verhaeghe%20J%5BAuthor%5D&amp;cauthor=true&amp;cauthor_uid=22753184" TargetMode="External"/><Relationship Id="rId12" Type="http://schemas.openxmlformats.org/officeDocument/2006/relationships/image" Target="media/image6.png"/><Relationship Id="rId33" Type="http://schemas.openxmlformats.org/officeDocument/2006/relationships/hyperlink" Target="http://www.ncbi.nlm.nih.gov/pubmed/18325655" TargetMode="External"/><Relationship Id="rId108" Type="http://schemas.openxmlformats.org/officeDocument/2006/relationships/hyperlink" Target="http://www.ncbi.nlm.nih.gov/pubmed?term=van%20Dijk%20G%5BAuthor%5D&amp;cauthor=true&amp;cauthor_uid=21316391" TargetMode="External"/><Relationship Id="rId129" Type="http://schemas.openxmlformats.org/officeDocument/2006/relationships/hyperlink" Target="http://www.ncbi.nlm.nih.gov/pubmed?term=SOLOMON%20MM%5BAuthor%5D&amp;cauthor=true&amp;cauthor_uid=13092959" TargetMode="External"/><Relationship Id="rId280" Type="http://schemas.openxmlformats.org/officeDocument/2006/relationships/hyperlink" Target="http://www.ncbi.nlm.nih.gov/pubmed/10846188" TargetMode="External"/><Relationship Id="rId54" Type="http://schemas.openxmlformats.org/officeDocument/2006/relationships/hyperlink" Target="http://www.ncbi.nlm.nih.gov/pubmed/12394962" TargetMode="External"/><Relationship Id="rId75" Type="http://schemas.openxmlformats.org/officeDocument/2006/relationships/hyperlink" Target="http://www.ncbi.nlm.nih.gov/pubmed?term=Mason%20JW%5BAuthor%5D&amp;cauthor=true&amp;cauthor_uid=4331538" TargetMode="External"/><Relationship Id="rId96" Type="http://schemas.openxmlformats.org/officeDocument/2006/relationships/hyperlink" Target="http://www.ncbi.nlm.nih.gov/pubmed?term=Buwalda%20B%5BAuthor%5D&amp;cauthor=true&amp;cauthor_uid=21316391" TargetMode="External"/><Relationship Id="rId140" Type="http://schemas.openxmlformats.org/officeDocument/2006/relationships/hyperlink" Target="http://www.ncbi.nlm.nih.gov/pubmed/19095358" TargetMode="External"/><Relationship Id="rId161" Type="http://schemas.openxmlformats.org/officeDocument/2006/relationships/hyperlink" Target="http://www.ncbi.nlm.nih.gov/pubmed?term=Brandenberger%20G%5BAuthor%5D&amp;cauthor=true&amp;cauthor_uid=8928766" TargetMode="External"/><Relationship Id="rId182" Type="http://schemas.openxmlformats.org/officeDocument/2006/relationships/hyperlink" Target="http://www.ncbi.nlm.nih.gov/pubmed?term=W&#252;st%20S%5BAuthor%5D&amp;cauthor=true&amp;cauthor_uid=19041187" TargetMode="External"/><Relationship Id="rId217" Type="http://schemas.openxmlformats.org/officeDocument/2006/relationships/hyperlink" Target="http://www.ncbi.nlm.nih.gov/pubmed/22724317" TargetMode="External"/><Relationship Id="rId6" Type="http://schemas.openxmlformats.org/officeDocument/2006/relationships/endnotes" Target="endnotes.xml"/><Relationship Id="rId238" Type="http://schemas.openxmlformats.org/officeDocument/2006/relationships/hyperlink" Target="http://www.ncbi.nlm.nih.gov/pubmed?term=Alhazzani%20W%5BAuthor%5D&amp;cauthor=true&amp;cauthor_uid=22354363" TargetMode="External"/><Relationship Id="rId259" Type="http://schemas.openxmlformats.org/officeDocument/2006/relationships/hyperlink" Target="http://www.ncbi.nlm.nih.gov/pubmed?term=Antoniades%20D%5BAuthor%5D&amp;cauthor=true&amp;cauthor_uid=18441503" TargetMode="External"/><Relationship Id="rId23" Type="http://schemas.openxmlformats.org/officeDocument/2006/relationships/hyperlink" Target="http://www.ncbi.nlm.nih.gov/pubmed?term=Cooper%20CL%5BAuthor%5D&amp;cauthor=true&amp;cauthor_uid=4026744" TargetMode="External"/><Relationship Id="rId119" Type="http://schemas.openxmlformats.org/officeDocument/2006/relationships/hyperlink" Target="http://www.ncbi.nlm.nih.gov/pubmed?term=Krey%20LC%5BAuthor%5D&amp;cauthor=true&amp;cauthor_uid=3527687" TargetMode="External"/><Relationship Id="rId270" Type="http://schemas.openxmlformats.org/officeDocument/2006/relationships/hyperlink" Target="http://www.ncbi.nlm.nih.gov/pubmed?term=Van%20Den%20Eede%20F%5BAuthor%5D&amp;cauthor=true&amp;cauthor_uid=22753184" TargetMode="External"/><Relationship Id="rId44" Type="http://schemas.openxmlformats.org/officeDocument/2006/relationships/hyperlink" Target="http://www.ncbi.nlm.nih.gov/pubmed/12658250" TargetMode="External"/><Relationship Id="rId65" Type="http://schemas.openxmlformats.org/officeDocument/2006/relationships/hyperlink" Target="http://www.ncbi.nlm.nih.gov/pubmed/22350686" TargetMode="External"/><Relationship Id="rId86" Type="http://schemas.openxmlformats.org/officeDocument/2006/relationships/hyperlink" Target="http://www.ncbi.nlm.nih.gov/pubmed/19455174" TargetMode="External"/><Relationship Id="rId130" Type="http://schemas.openxmlformats.org/officeDocument/2006/relationships/hyperlink" Target="http://www.ncbi.nlm.nih.gov/pubmed?term=ZAFFARONI%20A%5BAuthor%5D&amp;cauthor=true&amp;cauthor_uid=13092959" TargetMode="External"/><Relationship Id="rId151" Type="http://schemas.openxmlformats.org/officeDocument/2006/relationships/hyperlink" Target="http://www.ncbi.nlm.nih.gov/pubmed?term=Hellhammer%20DH%5BAuthor%5D&amp;cauthor=true&amp;cauthor_uid=8047637" TargetMode="External"/><Relationship Id="rId172" Type="http://schemas.openxmlformats.org/officeDocument/2006/relationships/hyperlink" Target="http://www.ncbi.nlm.nih.gov/pubmed/16337291" TargetMode="External"/><Relationship Id="rId193" Type="http://schemas.openxmlformats.org/officeDocument/2006/relationships/hyperlink" Target="http://www.ncbi.nlm.nih.gov/pubmed/21129038" TargetMode="External"/><Relationship Id="rId207" Type="http://schemas.openxmlformats.org/officeDocument/2006/relationships/hyperlink" Target="http://www.ncbi.nlm.nih.gov/pubmed?term=Buijs%20RM%5BAuthor%5D&amp;cauthor=true&amp;cauthor_uid=11105644" TargetMode="External"/><Relationship Id="rId228" Type="http://schemas.openxmlformats.org/officeDocument/2006/relationships/hyperlink" Target="http://www.ncbi.nlm.nih.gov/pubmed?term=Athyros%20VG%5BAuthor%5D&amp;cauthor=true&amp;cauthor_uid=19470627" TargetMode="External"/><Relationship Id="rId249" Type="http://schemas.openxmlformats.org/officeDocument/2006/relationships/hyperlink" Target="http://www.ncbi.nlm.nih.gov/pubmed?term=Agarwal%20SK%5BAuthor%5D&amp;cauthor=true&amp;cauthor_uid=21094920" TargetMode="External"/><Relationship Id="rId13" Type="http://schemas.openxmlformats.org/officeDocument/2006/relationships/image" Target="media/image7.png"/><Relationship Id="rId18" Type="http://schemas.openxmlformats.org/officeDocument/2006/relationships/hyperlink" Target="http://www.ncbi.nlm.nih.gov/pubmed?term=Stansfeld%20SA%5BAuthor%5D&amp;cauthor=true&amp;cauthor_uid=22496705" TargetMode="External"/><Relationship Id="rId39" Type="http://schemas.openxmlformats.org/officeDocument/2006/relationships/hyperlink" Target="http://www.ncbi.nlm.nih.gov/pubmed?term=Dunji&#263;%20B%5BAuthor%5D&amp;cauthor=true&amp;cauthor_uid=20954413" TargetMode="External"/><Relationship Id="rId109" Type="http://schemas.openxmlformats.org/officeDocument/2006/relationships/hyperlink" Target="http://www.ncbi.nlm.nih.gov/pubmed?term=W&#246;hr%20M%5BAuthor%5D&amp;cauthor=true&amp;cauthor_uid=21316391" TargetMode="External"/><Relationship Id="rId260" Type="http://schemas.openxmlformats.org/officeDocument/2006/relationships/hyperlink" Target="http://www.ncbi.nlm.nih.gov/pubmed/?term=1.%09Increased+anxiety+level+and+high+salivary+and+serum+cortisol+concentrations+in+patients+with+recurrent+aphthous+stomatitis" TargetMode="External"/><Relationship Id="rId265" Type="http://schemas.openxmlformats.org/officeDocument/2006/relationships/hyperlink" Target="http://www.ncbi.nlm.nih.gov/pubmed/9800422" TargetMode="External"/><Relationship Id="rId281" Type="http://schemas.openxmlformats.org/officeDocument/2006/relationships/hyperlink" Target="http://www.ncbi.nlm.nih.gov/pubmed/10846188" TargetMode="External"/><Relationship Id="rId34" Type="http://schemas.openxmlformats.org/officeDocument/2006/relationships/hyperlink" Target="http://www.ncbi.nlm.nih.gov/pubmed/17380949" TargetMode="External"/><Relationship Id="rId50" Type="http://schemas.openxmlformats.org/officeDocument/2006/relationships/hyperlink" Target="http://www.ncbi.nlm.nih.gov/pubmed?term=Anderer%20P%5BAuthor%5D&amp;cauthor=true&amp;cauthor_uid=12394962" TargetMode="External"/><Relationship Id="rId55" Type="http://schemas.openxmlformats.org/officeDocument/2006/relationships/hyperlink" Target="http://www.ncbi.nlm.nih.gov/pubmed/11765672" TargetMode="External"/><Relationship Id="rId76" Type="http://schemas.openxmlformats.org/officeDocument/2006/relationships/hyperlink" Target="http://www.ncbi.nlm.nih.gov/pubmed?cmd=historysearch&amp;querykey=19" TargetMode="External"/><Relationship Id="rId97" Type="http://schemas.openxmlformats.org/officeDocument/2006/relationships/hyperlink" Target="http://www.ncbi.nlm.nih.gov/pubmed?term=de%20Boer%20SF%5BAuthor%5D&amp;cauthor=true&amp;cauthor_uid=21316391" TargetMode="External"/><Relationship Id="rId104" Type="http://schemas.openxmlformats.org/officeDocument/2006/relationships/hyperlink" Target="http://www.ncbi.nlm.nih.gov/pubmed?term=Richter-Levin%20G%5BAuthor%5D&amp;cauthor=true&amp;cauthor_uid=21316391" TargetMode="External"/><Relationship Id="rId120" Type="http://schemas.openxmlformats.org/officeDocument/2006/relationships/hyperlink" Target="http://www.ncbi.nlm.nih.gov/pubmed?term=McEwen%20BS%5BAuthor%5D&amp;cauthor=true&amp;cauthor_uid=3527687" TargetMode="External"/><Relationship Id="rId125" Type="http://schemas.openxmlformats.org/officeDocument/2006/relationships/hyperlink" Target="http://www.ncbi.nlm.nih.gov/pubmed?term=Carvalho-Netto%20E%5BAuthor%5D&amp;cauthor=true&amp;cauthor_uid=22450375" TargetMode="External"/><Relationship Id="rId141" Type="http://schemas.openxmlformats.org/officeDocument/2006/relationships/hyperlink" Target="http://www.ncbi.nlm.nih.gov/pubmed/19095358" TargetMode="External"/><Relationship Id="rId146" Type="http://schemas.openxmlformats.org/officeDocument/2006/relationships/hyperlink" Target="http://www.ncbi.nlm.nih.gov/pubmed/11087962" TargetMode="External"/><Relationship Id="rId167" Type="http://schemas.openxmlformats.org/officeDocument/2006/relationships/hyperlink" Target="http://www.ncbi.nlm.nih.gov/pubmed/18787373" TargetMode="External"/><Relationship Id="rId188" Type="http://schemas.openxmlformats.org/officeDocument/2006/relationships/hyperlink" Target="http://www.ncbi.nlm.nih.gov/pubmed/19538960" TargetMode="External"/><Relationship Id="rId7" Type="http://schemas.openxmlformats.org/officeDocument/2006/relationships/image" Target="media/image1.png"/><Relationship Id="rId71" Type="http://schemas.openxmlformats.org/officeDocument/2006/relationships/hyperlink" Target="http://www.ncbi.nlm.nih.gov/pubmed/22350686" TargetMode="External"/><Relationship Id="rId92" Type="http://schemas.openxmlformats.org/officeDocument/2006/relationships/hyperlink" Target="http://www.ncbi.nlm.nih.gov/pubmed/15958281" TargetMode="External"/><Relationship Id="rId162" Type="http://schemas.openxmlformats.org/officeDocument/2006/relationships/hyperlink" Target="http://www.ncbi.nlm.nih.gov/pubmed?cmd=historysearch&amp;querykey=11" TargetMode="External"/><Relationship Id="rId183" Type="http://schemas.openxmlformats.org/officeDocument/2006/relationships/hyperlink" Target="http://www.ncbi.nlm.nih.gov/pubmed/19041187" TargetMode="External"/><Relationship Id="rId213" Type="http://schemas.openxmlformats.org/officeDocument/2006/relationships/hyperlink" Target="http://www.ncbi.nlm.nih.gov/pubmed?term=McEwen%20BS%5BAuthor%5D&amp;cauthor=true&amp;cauthor_uid=19401723" TargetMode="External"/><Relationship Id="rId218" Type="http://schemas.openxmlformats.org/officeDocument/2006/relationships/hyperlink" Target="http://www.ncbi.nlm.nih.gov/pubmed/11920153" TargetMode="External"/><Relationship Id="rId234" Type="http://schemas.openxmlformats.org/officeDocument/2006/relationships/hyperlink" Target="http://www.ncbi.nlm.nih.gov/pubmed/16161710" TargetMode="External"/><Relationship Id="rId239" Type="http://schemas.openxmlformats.org/officeDocument/2006/relationships/hyperlink" Target="http://www.ncbi.nlm.nih.gov/pubmed?term=Alshahrani%20M%5BAuthor%5D&amp;cauthor=true&amp;cauthor_uid=22354363" TargetMode="External"/><Relationship Id="rId2" Type="http://schemas.openxmlformats.org/officeDocument/2006/relationships/styles" Target="styles.xml"/><Relationship Id="rId29" Type="http://schemas.openxmlformats.org/officeDocument/2006/relationships/hyperlink" Target="http://www.ncbi.nlm.nih.gov/pubmed?term=Kantermann%20T%5BAuthor%5D&amp;cauthor=true&amp;cauthor_uid=22080787" TargetMode="External"/><Relationship Id="rId250" Type="http://schemas.openxmlformats.org/officeDocument/2006/relationships/hyperlink" Target="http://www.ncbi.nlm.nih.gov/pubmed?cmd=historysearch&amp;querykey=24" TargetMode="External"/><Relationship Id="rId255" Type="http://schemas.openxmlformats.org/officeDocument/2006/relationships/hyperlink" Target="http://www.ncbi.nlm.nih.gov/pubmed?term=Poulopoulos%20AK%5BAuthor%5D&amp;cauthor=true&amp;cauthor_uid=18441503" TargetMode="External"/><Relationship Id="rId271" Type="http://schemas.openxmlformats.org/officeDocument/2006/relationships/hyperlink" Target="http://www.ncbi.nlm.nih.gov/pubmed?term=Van%20Den%20Ameele%20H%5BAuthor%5D&amp;cauthor=true&amp;cauthor_uid=22753184" TargetMode="External"/><Relationship Id="rId276" Type="http://schemas.openxmlformats.org/officeDocument/2006/relationships/hyperlink" Target="http://www.ncbi.nlm.nih.gov/pubmed/23346676" TargetMode="External"/><Relationship Id="rId24" Type="http://schemas.openxmlformats.org/officeDocument/2006/relationships/hyperlink" Target="http://www.ncbi.nlm.nih.gov/pubmed/4026744" TargetMode="External"/><Relationship Id="rId40" Type="http://schemas.openxmlformats.org/officeDocument/2006/relationships/hyperlink" Target="http://www.ncbi.nlm.nih.gov/pubmed?term=Pavlovi&#263;%20Z%5BAuthor%5D&amp;cauthor=true&amp;cauthor_uid=20954413" TargetMode="External"/><Relationship Id="rId45" Type="http://schemas.openxmlformats.org/officeDocument/2006/relationships/hyperlink" Target="http://www.ncbi.nlm.nih.gov/pubmed?term=Frey%20R%5BAuthor%5D&amp;cauthor=true&amp;cauthor_uid=12394962" TargetMode="External"/><Relationship Id="rId66" Type="http://schemas.openxmlformats.org/officeDocument/2006/relationships/hyperlink" Target="http://www.ncbi.nlm.nih.gov/pubmed/22350686" TargetMode="External"/><Relationship Id="rId87" Type="http://schemas.openxmlformats.org/officeDocument/2006/relationships/hyperlink" Target="http://www.ncbi.nlm.nih.gov/pubmed?term=Miller%20GE%5BAuthor%5D&amp;cauthor=true&amp;cauthor_uid=17201569" TargetMode="External"/><Relationship Id="rId110" Type="http://schemas.openxmlformats.org/officeDocument/2006/relationships/hyperlink" Target="http://www.ncbi.nlm.nih.gov/pubmed?term=Fuchs%20E%5BAuthor%5D&amp;cauthor=true&amp;cauthor_uid=21316391" TargetMode="External"/><Relationship Id="rId115" Type="http://schemas.openxmlformats.org/officeDocument/2006/relationships/hyperlink" Target="http://www.ncbi.nlm.nih.gov/pubmed/19469025" TargetMode="External"/><Relationship Id="rId131" Type="http://schemas.openxmlformats.org/officeDocument/2006/relationships/hyperlink" Target="http://www.ncbi.nlm.nih.gov/pubmed?term=PINCUS%20G%5BAuthor%5D&amp;cauthor=true&amp;cauthor_uid=13092959" TargetMode="External"/><Relationship Id="rId136" Type="http://schemas.openxmlformats.org/officeDocument/2006/relationships/hyperlink" Target="http://www.ncbi.nlm.nih.gov/pubmed/13092959" TargetMode="External"/><Relationship Id="rId157" Type="http://schemas.openxmlformats.org/officeDocument/2006/relationships/hyperlink" Target="http://www.ncbi.nlm.nih.gov/pubmed?term=Weibel%20L%5BAuthor%5D&amp;cauthor=true&amp;cauthor_uid=8928766" TargetMode="External"/><Relationship Id="rId178" Type="http://schemas.openxmlformats.org/officeDocument/2006/relationships/hyperlink" Target="http://www.ncbi.nlm.nih.gov/pubmed/20447770" TargetMode="External"/><Relationship Id="rId61" Type="http://schemas.openxmlformats.org/officeDocument/2006/relationships/hyperlink" Target="http://www.ncbi.nlm.nih.gov/pubmed/23414106" TargetMode="External"/><Relationship Id="rId82" Type="http://schemas.openxmlformats.org/officeDocument/2006/relationships/hyperlink" Target="http://www.ncbi.nlm.nih.gov/pubmed?term=Eller%20NH%5BAuthor%5D&amp;cauthor=true&amp;cauthor_uid=16824664" TargetMode="External"/><Relationship Id="rId152" Type="http://schemas.openxmlformats.org/officeDocument/2006/relationships/hyperlink" Target="http://www.ncbi.nlm.nih.gov/pubmed?cmd=historysearch&amp;querykey=7" TargetMode="External"/><Relationship Id="rId173" Type="http://schemas.openxmlformats.org/officeDocument/2006/relationships/hyperlink" Target="http://www.ncbi.nlm.nih.gov/pubmed/11231993" TargetMode="External"/><Relationship Id="rId194" Type="http://schemas.openxmlformats.org/officeDocument/2006/relationships/hyperlink" Target="http://www.ncbi.nlm.nih.gov/pubmed/20447770" TargetMode="External"/><Relationship Id="rId199" Type="http://schemas.openxmlformats.org/officeDocument/2006/relationships/hyperlink" Target="http://www.ncbi.nlm.nih.gov/pubmed?term=Herman%20JP%5BAuthor%5D&amp;cauthor=true&amp;cauthor_uid=14596810" TargetMode="External"/><Relationship Id="rId203" Type="http://schemas.openxmlformats.org/officeDocument/2006/relationships/hyperlink" Target="http://www.ncbi.nlm.nih.gov/pubmed?term=Ostrander%20MM%5BAuthor%5D&amp;cauthor=true&amp;cauthor_uid=14596810" TargetMode="External"/><Relationship Id="rId208" Type="http://schemas.openxmlformats.org/officeDocument/2006/relationships/hyperlink" Target="http://www.ncbi.nlm.nih.gov/pubmed?term=Van%20Eden%20CG%5BAuthor%5D&amp;cauthor=true&amp;cauthor_uid=11105644" TargetMode="External"/><Relationship Id="rId229" Type="http://schemas.openxmlformats.org/officeDocument/2006/relationships/hyperlink" Target="http://www.ncbi.nlm.nih.gov/pubmed?term=Tziomalos%20K%5BAuthor%5D&amp;cauthor=true&amp;cauthor_uid=19470627" TargetMode="External"/><Relationship Id="rId19" Type="http://schemas.openxmlformats.org/officeDocument/2006/relationships/hyperlink" Target="http://www.ncbi.nlm.nih.gov/pubmed?term=White%20PD%5BAuthor%5D&amp;cauthor=true&amp;cauthor_uid=22496705" TargetMode="External"/><Relationship Id="rId224" Type="http://schemas.openxmlformats.org/officeDocument/2006/relationships/hyperlink" Target="http://www.ncbi.nlm.nih.gov/pubmed/16218493" TargetMode="External"/><Relationship Id="rId240" Type="http://schemas.openxmlformats.org/officeDocument/2006/relationships/hyperlink" Target="http://www.ncbi.nlm.nih.gov/pubmed?term=Moayyedi%20P%5BAuthor%5D&amp;cauthor=true&amp;cauthor_uid=22354363" TargetMode="External"/><Relationship Id="rId245" Type="http://schemas.openxmlformats.org/officeDocument/2006/relationships/hyperlink" Target="http://www.ncbi.nlm.nih.gov/pubmed?term=Soucek%20M%5BAuthor%5D&amp;cauthor=true&amp;cauthor_uid=11395876" TargetMode="External"/><Relationship Id="rId261" Type="http://schemas.openxmlformats.org/officeDocument/2006/relationships/hyperlink" Target="http://www.ncbi.nlm.nih.gov/pubmed/22641587" TargetMode="External"/><Relationship Id="rId266" Type="http://schemas.openxmlformats.org/officeDocument/2006/relationships/hyperlink" Target="http://www.ncbi.nlm.nih.gov/pubmed?cmd=historysearch&amp;querykey=32" TargetMode="External"/><Relationship Id="rId14" Type="http://schemas.openxmlformats.org/officeDocument/2006/relationships/image" Target="media/image8.png"/><Relationship Id="rId30" Type="http://schemas.openxmlformats.org/officeDocument/2006/relationships/hyperlink" Target="http://www.ncbi.nlm.nih.gov/pubmed?term=Skene%20D%5BAuthor%5D&amp;cauthor=true&amp;cauthor_uid=22080787" TargetMode="External"/><Relationship Id="rId35" Type="http://schemas.openxmlformats.org/officeDocument/2006/relationships/hyperlink" Target="http://www.ncbi.nlm.nih.gov/pubmed/23346676" TargetMode="External"/><Relationship Id="rId56" Type="http://schemas.openxmlformats.org/officeDocument/2006/relationships/hyperlink" Target="http://www.ncbi.nlm.nih.gov/pubmed/23414106" TargetMode="External"/><Relationship Id="rId77" Type="http://schemas.openxmlformats.org/officeDocument/2006/relationships/hyperlink" Target="http://www.ncbi.nlm.nih.gov/pubmed?cmd=historysearch&amp;querykey=24" TargetMode="External"/><Relationship Id="rId100" Type="http://schemas.openxmlformats.org/officeDocument/2006/relationships/hyperlink" Target="http://www.ncbi.nlm.nih.gov/pubmed?term=Meerlo%20P%5BAuthor%5D&amp;cauthor=true&amp;cauthor_uid=21316391" TargetMode="External"/><Relationship Id="rId105" Type="http://schemas.openxmlformats.org/officeDocument/2006/relationships/hyperlink" Target="http://www.ncbi.nlm.nih.gov/pubmed?term=Sgoifo%20A%5BAuthor%5D&amp;cauthor=true&amp;cauthor_uid=21316391" TargetMode="External"/><Relationship Id="rId126" Type="http://schemas.openxmlformats.org/officeDocument/2006/relationships/hyperlink" Target="http://www.ncbi.nlm.nih.gov/pubmed?term=Myers%20B%5BAuthor%5D&amp;cauthor=true&amp;cauthor_uid=22450375" TargetMode="External"/><Relationship Id="rId147" Type="http://schemas.openxmlformats.org/officeDocument/2006/relationships/hyperlink" Target="http://www.ncbi.nlm.nih.gov/pubmed/12651822" TargetMode="External"/><Relationship Id="rId168" Type="http://schemas.openxmlformats.org/officeDocument/2006/relationships/hyperlink" Target="http://www.ncbi.nlm.nih.gov/pubmed/17483007" TargetMode="External"/><Relationship Id="rId282"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www.ncbi.nlm.nih.gov/pubmed?term=Semlitsch%20HV%5BAuthor%5D&amp;cauthor=true&amp;cauthor_uid=12394962" TargetMode="External"/><Relationship Id="rId72" Type="http://schemas.openxmlformats.org/officeDocument/2006/relationships/hyperlink" Target="http://www.ncbi.nlm.nih.gov/pubmed/22350686" TargetMode="External"/><Relationship Id="rId93" Type="http://schemas.openxmlformats.org/officeDocument/2006/relationships/hyperlink" Target="http://www.ncbi.nlm.nih.gov/pubmed/22958817" TargetMode="External"/><Relationship Id="rId98" Type="http://schemas.openxmlformats.org/officeDocument/2006/relationships/hyperlink" Target="http://www.ncbi.nlm.nih.gov/pubmed?term=Fl&#252;gge%20G%5BAuthor%5D&amp;cauthor=true&amp;cauthor_uid=21316391" TargetMode="External"/><Relationship Id="rId121" Type="http://schemas.openxmlformats.org/officeDocument/2006/relationships/hyperlink" Target="http://www.ncbi.nlm.nih.gov/pubmed?cmd=historysearch&amp;querykey=5" TargetMode="External"/><Relationship Id="rId142" Type="http://schemas.openxmlformats.org/officeDocument/2006/relationships/hyperlink" Target="http://www.ncbi.nlm.nih.gov/pubmed/22323845" TargetMode="External"/><Relationship Id="rId163" Type="http://schemas.openxmlformats.org/officeDocument/2006/relationships/hyperlink" Target="http://www.ncbi.nlm.nih.gov/pubmed/15204030" TargetMode="External"/><Relationship Id="rId184" Type="http://schemas.openxmlformats.org/officeDocument/2006/relationships/hyperlink" Target="http://www.ncbi.nlm.nih.gov/pubmed/19995885" TargetMode="External"/><Relationship Id="rId189" Type="http://schemas.openxmlformats.org/officeDocument/2006/relationships/hyperlink" Target="http://www.ncbi.nlm.nih.gov/pubmed/10204967" TargetMode="External"/><Relationship Id="rId219" Type="http://schemas.openxmlformats.org/officeDocument/2006/relationships/hyperlink" Target="http://www.ncbi.nlm.nih.gov/pubmed/22497986" TargetMode="External"/><Relationship Id="rId3" Type="http://schemas.openxmlformats.org/officeDocument/2006/relationships/settings" Target="settings.xml"/><Relationship Id="rId214" Type="http://schemas.openxmlformats.org/officeDocument/2006/relationships/hyperlink" Target="http://www.ncbi.nlm.nih.gov/pubmed?term=Gunnar%20MR%5BAuthor%5D&amp;cauthor=true&amp;cauthor_uid=19401723" TargetMode="External"/><Relationship Id="rId230" Type="http://schemas.openxmlformats.org/officeDocument/2006/relationships/hyperlink" Target="http://www.ncbi.nlm.nih.gov/pubmed?term=Karagiannis%20A%5BAuthor%5D&amp;cauthor=true&amp;cauthor_uid=19470627" TargetMode="External"/><Relationship Id="rId235" Type="http://schemas.openxmlformats.org/officeDocument/2006/relationships/hyperlink" Target="http://www.ncbi.nlm.nih.gov/pubmed/15586790" TargetMode="External"/><Relationship Id="rId251" Type="http://schemas.openxmlformats.org/officeDocument/2006/relationships/hyperlink" Target="http://www.ncbi.nlm.nih.gov/pubmed/23014593" TargetMode="External"/><Relationship Id="rId256" Type="http://schemas.openxmlformats.org/officeDocument/2006/relationships/hyperlink" Target="http://www.ncbi.nlm.nih.gov/pubmed?term=Epivatianos%20A%5BAuthor%5D&amp;cauthor=true&amp;cauthor_uid=18441503" TargetMode="External"/><Relationship Id="rId277" Type="http://schemas.openxmlformats.org/officeDocument/2006/relationships/hyperlink" Target="http://www.ncbi.nlm.nih.gov/pubmed?term=Ronda%20E%5BAuthor%5D&amp;cauthor=true&amp;cauthor_uid=10846188" TargetMode="External"/><Relationship Id="rId25" Type="http://schemas.openxmlformats.org/officeDocument/2006/relationships/hyperlink" Target="http://www.ncbi.nlm.nih.gov/pubmed?term=Ronda%20E%5BAuthor%5D&amp;cauthor=true&amp;cauthor_uid=10846188" TargetMode="External"/><Relationship Id="rId46" Type="http://schemas.openxmlformats.org/officeDocument/2006/relationships/hyperlink" Target="http://www.ncbi.nlm.nih.gov/pubmed?term=Decker%20K%5BAuthor%5D&amp;cauthor=true&amp;cauthor_uid=12394962" TargetMode="External"/><Relationship Id="rId67" Type="http://schemas.openxmlformats.org/officeDocument/2006/relationships/hyperlink" Target="http://www.ncbi.nlm.nih.gov/pubmed/22350686" TargetMode="External"/><Relationship Id="rId116" Type="http://schemas.openxmlformats.org/officeDocument/2006/relationships/hyperlink" Target="http://www.ncbi.nlm.nih.gov/pubmed?term=Jo&#235;ls%20M%5BAuthor%5D&amp;cauthor=true&amp;cauthor_uid=19339973" TargetMode="External"/><Relationship Id="rId137" Type="http://schemas.openxmlformats.org/officeDocument/2006/relationships/hyperlink" Target="http://www.ncbi.nlm.nih.gov/pubmed?term=Adam%20EK%5BAuthor%5D&amp;cauthor=true&amp;cauthor_uid=19647372" TargetMode="External"/><Relationship Id="rId158" Type="http://schemas.openxmlformats.org/officeDocument/2006/relationships/hyperlink" Target="http://www.ncbi.nlm.nih.gov/pubmed?term=Spiegel%20K%5BAuthor%5D&amp;cauthor=true&amp;cauthor_uid=8928766" TargetMode="External"/><Relationship Id="rId272" Type="http://schemas.openxmlformats.org/officeDocument/2006/relationships/hyperlink" Target="http://www.ncbi.nlm.nih.gov/pubmed?term=Sabbe%20BG%5BAuthor%5D&amp;cauthor=true&amp;cauthor_uid=22753184" TargetMode="External"/><Relationship Id="rId20" Type="http://schemas.openxmlformats.org/officeDocument/2006/relationships/hyperlink" Target="http://www.ncbi.nlm.nih.gov/pubmed/?term=A+synthesis+of+the+evidence+for+managing+stress+at+work%3A+a+review+of+the+reviews+reporting+on+anxiety%2C+depression%2C+and+absenteeism." TargetMode="External"/><Relationship Id="rId41" Type="http://schemas.openxmlformats.org/officeDocument/2006/relationships/hyperlink" Target="http://www.ncbi.nlm.nih.gov/pubmed?term=Nenadovi&#263;%20M%5BAuthor%5D&amp;cauthor=true&amp;cauthor_uid=20954413" TargetMode="External"/><Relationship Id="rId62" Type="http://schemas.openxmlformats.org/officeDocument/2006/relationships/hyperlink" Target="http://www.ncbi.nlm.nih.gov/pubmed/22128908" TargetMode="External"/><Relationship Id="rId83" Type="http://schemas.openxmlformats.org/officeDocument/2006/relationships/hyperlink" Target="http://www.ncbi.nlm.nih.gov/pubmed?term=Netterstr&#248;m%20B%5BAuthor%5D&amp;cauthor=true&amp;cauthor_uid=16824664" TargetMode="External"/><Relationship Id="rId88" Type="http://schemas.openxmlformats.org/officeDocument/2006/relationships/hyperlink" Target="http://www.ncbi.nlm.nih.gov/pubmed?term=Chen%20E%5BAuthor%5D&amp;cauthor=true&amp;cauthor_uid=17201569" TargetMode="External"/><Relationship Id="rId111" Type="http://schemas.openxmlformats.org/officeDocument/2006/relationships/hyperlink" Target="http://www.ncbi.nlm.nih.gov/pubmed/21316391" TargetMode="External"/><Relationship Id="rId132" Type="http://schemas.openxmlformats.org/officeDocument/2006/relationships/hyperlink" Target="http://www.ncbi.nlm.nih.gov/pubmed?cmd=historysearch&amp;querykey=17" TargetMode="External"/><Relationship Id="rId153" Type="http://schemas.openxmlformats.org/officeDocument/2006/relationships/hyperlink" Target="http://www.ncbi.nlm.nih.gov/pubmed/17055006" TargetMode="External"/><Relationship Id="rId174" Type="http://schemas.openxmlformats.org/officeDocument/2006/relationships/hyperlink" Target="http://www.ncbi.nlm.nih.gov/pubmed/10633536" TargetMode="External"/><Relationship Id="rId179" Type="http://schemas.openxmlformats.org/officeDocument/2006/relationships/hyperlink" Target="http://www.ncbi.nlm.nih.gov/pubmed/19632788" TargetMode="External"/><Relationship Id="rId195" Type="http://schemas.openxmlformats.org/officeDocument/2006/relationships/hyperlink" Target="http://www.ncbi.nlm.nih.gov/pubmed?term=Sapolsky%20RM%5BAuthor%5D&amp;cauthor=true&amp;cauthor_uid=3527687" TargetMode="External"/><Relationship Id="rId209" Type="http://schemas.openxmlformats.org/officeDocument/2006/relationships/hyperlink" Target="http://www.ncbi.nlm.nih.gov/pubmed/11105644" TargetMode="External"/><Relationship Id="rId190" Type="http://schemas.openxmlformats.org/officeDocument/2006/relationships/hyperlink" Target="http://www.ncbi.nlm.nih.gov/pubmed?term=Swanson%20NG%5BAuthor%5D&amp;cauthor=true&amp;cauthor_uid=10808656" TargetMode="External"/><Relationship Id="rId204" Type="http://schemas.openxmlformats.org/officeDocument/2006/relationships/hyperlink" Target="http://www.ncbi.nlm.nih.gov/pubmed?term=Choi%20DC%5BAuthor%5D&amp;cauthor=true&amp;cauthor_uid=14596810" TargetMode="External"/><Relationship Id="rId220" Type="http://schemas.openxmlformats.org/officeDocument/2006/relationships/hyperlink" Target="http://www.ncbi.nlm.nih.gov/pubmed/23405611" TargetMode="External"/><Relationship Id="rId225" Type="http://schemas.openxmlformats.org/officeDocument/2006/relationships/hyperlink" Target="http://www.ncbi.nlm.nih.gov/pubmed/15832759" TargetMode="External"/><Relationship Id="rId241" Type="http://schemas.openxmlformats.org/officeDocument/2006/relationships/hyperlink" Target="http://www.ncbi.nlm.nih.gov/pubmed?term=Jaeschke%20R%5BAuthor%5D&amp;cauthor=true&amp;cauthor_uid=22354363" TargetMode="External"/><Relationship Id="rId246" Type="http://schemas.openxmlformats.org/officeDocument/2006/relationships/hyperlink" Target="http://www.ncbi.nlm.nih.gov/pubmed?term=K&#225;ra%20T%5BAuthor%5D&amp;cauthor=true&amp;cauthor_uid=11395876" TargetMode="External"/><Relationship Id="rId267" Type="http://schemas.openxmlformats.org/officeDocument/2006/relationships/hyperlink" Target="http://www.ncbi.nlm.nih.gov/pubmed?term=Nakata%20A%5BAuthor%5D&amp;cauthor=true&amp;cauthor_uid=22933140" TargetMode="External"/><Relationship Id="rId15" Type="http://schemas.openxmlformats.org/officeDocument/2006/relationships/hyperlink" Target="http://www.ncbi.nlm.nih.gov/pubmed/12658250" TargetMode="External"/><Relationship Id="rId36" Type="http://schemas.openxmlformats.org/officeDocument/2006/relationships/hyperlink" Target="http://www.ncbi.nlm.nih.gov/pubmed/23324671" TargetMode="External"/><Relationship Id="rId57" Type="http://schemas.openxmlformats.org/officeDocument/2006/relationships/hyperlink" Target="http://www.ncbi.nlm.nih.gov/pubmed/22350686" TargetMode="External"/><Relationship Id="rId106" Type="http://schemas.openxmlformats.org/officeDocument/2006/relationships/hyperlink" Target="http://www.ncbi.nlm.nih.gov/pubmed?term=Steimer%20T%5BAuthor%5D&amp;cauthor=true&amp;cauthor_uid=21316391" TargetMode="External"/><Relationship Id="rId127" Type="http://schemas.openxmlformats.org/officeDocument/2006/relationships/hyperlink" Target="http://www.ncbi.nlm.nih.gov/pubmed/22450375" TargetMode="External"/><Relationship Id="rId262" Type="http://schemas.openxmlformats.org/officeDocument/2006/relationships/hyperlink" Target="http://www.ncbi.nlm.nih.gov/pubmed/22174319" TargetMode="External"/><Relationship Id="rId283"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hyperlink" Target="http://www.ncbi.nlm.nih.gov/pubmed?term=Moreno%20C%5BAuthor%5D&amp;cauthor=true&amp;cauthor_uid=22080787" TargetMode="External"/><Relationship Id="rId52" Type="http://schemas.openxmlformats.org/officeDocument/2006/relationships/hyperlink" Target="http://www.ncbi.nlm.nih.gov/pubmed?term=Seidler%20D%5BAuthor%5D&amp;cauthor=true&amp;cauthor_uid=12394962" TargetMode="External"/><Relationship Id="rId73" Type="http://schemas.openxmlformats.org/officeDocument/2006/relationships/hyperlink" Target="http://www.ncbi.nlm.nih.gov/pubmed/16945229" TargetMode="External"/><Relationship Id="rId78" Type="http://schemas.openxmlformats.org/officeDocument/2006/relationships/hyperlink" Target="http://www.ncbi.nlm.nih.gov/pubmed?term=Roozendaal%20B%5BAuthor%5D&amp;cauthor=true&amp;cauthor_uid=19469026" TargetMode="External"/><Relationship Id="rId94" Type="http://schemas.openxmlformats.org/officeDocument/2006/relationships/hyperlink" Target="http://www.ncbi.nlm.nih.gov/pubmed?term=Koolhaas%20JM%5BAuthor%5D&amp;cauthor=true&amp;cauthor_uid=21316391" TargetMode="External"/><Relationship Id="rId99" Type="http://schemas.openxmlformats.org/officeDocument/2006/relationships/hyperlink" Target="http://www.ncbi.nlm.nih.gov/pubmed?term=Korte%20SM%5BAuthor%5D&amp;cauthor=true&amp;cauthor_uid=21316391" TargetMode="External"/><Relationship Id="rId101" Type="http://schemas.openxmlformats.org/officeDocument/2006/relationships/hyperlink" Target="http://www.ncbi.nlm.nih.gov/pubmed?term=Murison%20R%5BAuthor%5D&amp;cauthor=true&amp;cauthor_uid=21316391" TargetMode="External"/><Relationship Id="rId122" Type="http://schemas.openxmlformats.org/officeDocument/2006/relationships/hyperlink" Target="http://www.ncbi.nlm.nih.gov/pubmed?term=Herman%20JP%5BAuthor%5D&amp;cauthor=true&amp;cauthor_uid=22450375" TargetMode="External"/><Relationship Id="rId143" Type="http://schemas.openxmlformats.org/officeDocument/2006/relationships/hyperlink" Target="http://www.ncbi.nlm.nih.gov/pubmed?term=Kaufman%20E%5BAuthor%5D&amp;cauthor=true&amp;cauthor_uid=12097361" TargetMode="External"/><Relationship Id="rId148" Type="http://schemas.openxmlformats.org/officeDocument/2006/relationships/hyperlink" Target="http://www.ncbi.nlm.nih.gov/pubmed/17853059" TargetMode="External"/><Relationship Id="rId164" Type="http://schemas.openxmlformats.org/officeDocument/2006/relationships/hyperlink" Target="http://www.ncbi.nlm.nih.gov/pubmed/11403981" TargetMode="External"/><Relationship Id="rId169" Type="http://schemas.openxmlformats.org/officeDocument/2006/relationships/hyperlink" Target="http://www.ncbi.nlm.nih.gov/pubmed/17179195" TargetMode="External"/><Relationship Id="rId185" Type="http://schemas.openxmlformats.org/officeDocument/2006/relationships/hyperlink" Target="http://www.ncbi.nlm.nih.gov/pubmed/19497676"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www.ncbi.nlm.nih.gov/pubmed?term=Kudielka%20BM%5BAuthor%5D&amp;cauthor=true&amp;cauthor_uid=19041187" TargetMode="External"/><Relationship Id="rId210" Type="http://schemas.openxmlformats.org/officeDocument/2006/relationships/hyperlink" Target="http://www.ncbi.nlm.nih.gov/pubmed?term=Sapolsky%20RM%5BAuthor%5D&amp;cauthor=true&amp;cauthor_uid=8701325" TargetMode="External"/><Relationship Id="rId215" Type="http://schemas.openxmlformats.org/officeDocument/2006/relationships/hyperlink" Target="http://www.ncbi.nlm.nih.gov/pubmed?term=Heim%20C%5BAuthor%5D&amp;cauthor=true&amp;cauthor_uid=19401723" TargetMode="External"/><Relationship Id="rId236" Type="http://schemas.openxmlformats.org/officeDocument/2006/relationships/hyperlink" Target="http://www.ncbi.nlm.nih.gov/pubmed/9809193" TargetMode="External"/><Relationship Id="rId257" Type="http://schemas.openxmlformats.org/officeDocument/2006/relationships/hyperlink" Target="http://www.ncbi.nlm.nih.gov/pubmed?term=Farmakis%20K%5BAuthor%5D&amp;cauthor=true&amp;cauthor_uid=18441503" TargetMode="External"/><Relationship Id="rId278" Type="http://schemas.openxmlformats.org/officeDocument/2006/relationships/hyperlink" Target="http://www.ncbi.nlm.nih.gov/pubmed?term=Alvarez-Dardet%20C%5BAuthor%5D&amp;cauthor=true&amp;cauthor_uid=10846188" TargetMode="External"/><Relationship Id="rId26" Type="http://schemas.openxmlformats.org/officeDocument/2006/relationships/hyperlink" Target="http://www.ncbi.nlm.nih.gov/pubmed?term=Alvarez-Dardet%20C%5BAuthor%5D&amp;cauthor=true&amp;cauthor_uid=10846188" TargetMode="External"/><Relationship Id="rId231" Type="http://schemas.openxmlformats.org/officeDocument/2006/relationships/hyperlink" Target="http://www.ncbi.nlm.nih.gov/pubmed?term=Mikhailidis%20DP%5BAuthor%5D&amp;cauthor=true&amp;cauthor_uid=19470627" TargetMode="External"/><Relationship Id="rId252" Type="http://schemas.openxmlformats.org/officeDocument/2006/relationships/hyperlink" Target="http://www.ncbi.nlm.nih.gov/pubmed?term=Bauer%20ME%5BAuthor%5D&amp;cauthor=true&amp;cauthor_uid=19047801" TargetMode="External"/><Relationship Id="rId273" Type="http://schemas.openxmlformats.org/officeDocument/2006/relationships/hyperlink" Target="http://www.ncbi.nlm.nih.gov/pubmed?cmd=historysearch&amp;querykey=33" TargetMode="External"/><Relationship Id="rId47" Type="http://schemas.openxmlformats.org/officeDocument/2006/relationships/hyperlink" Target="http://www.ncbi.nlm.nih.gov/pubmed?term=Reinfried%20L%5BAuthor%5D&amp;cauthor=true&amp;cauthor_uid=12394962" TargetMode="External"/><Relationship Id="rId68" Type="http://schemas.openxmlformats.org/officeDocument/2006/relationships/hyperlink" Target="http://www.ncbi.nlm.nih.gov/pubmed/22350686" TargetMode="External"/><Relationship Id="rId89" Type="http://schemas.openxmlformats.org/officeDocument/2006/relationships/hyperlink" Target="http://www.ncbi.nlm.nih.gov/pubmed?term=Zhou%20ES%5BAuthor%5D&amp;cauthor=true&amp;cauthor_uid=17201569" TargetMode="External"/><Relationship Id="rId112" Type="http://schemas.openxmlformats.org/officeDocument/2006/relationships/hyperlink" Target="http://www.ncbi.nlm.nih.gov/pubmed/18787373" TargetMode="External"/><Relationship Id="rId133" Type="http://schemas.openxmlformats.org/officeDocument/2006/relationships/hyperlink" Target="http://www.ncbi.nlm.nih.gov/pubmed?term=Kirschbaum%20C%5BAuthor%5D&amp;cauthor=true&amp;cauthor_uid=2485862" TargetMode="External"/><Relationship Id="rId154" Type="http://schemas.openxmlformats.org/officeDocument/2006/relationships/hyperlink" Target="http://www.ncbi.nlm.nih.gov/pubmed?term=Kirschbaum%20C%5BAuthor%5D&amp;cauthor=true&amp;cauthor_uid=8047637" TargetMode="External"/><Relationship Id="rId175" Type="http://schemas.openxmlformats.org/officeDocument/2006/relationships/hyperlink" Target="http://www.ncbi.nlm.nih.gov/pubmed/10487717" TargetMode="External"/><Relationship Id="rId196" Type="http://schemas.openxmlformats.org/officeDocument/2006/relationships/hyperlink" Target="http://www.ncbi.nlm.nih.gov/pubmed?term=Krey%20LC%5BAuthor%5D&amp;cauthor=true&amp;cauthor_uid=3527687" TargetMode="External"/><Relationship Id="rId200" Type="http://schemas.openxmlformats.org/officeDocument/2006/relationships/hyperlink" Target="http://www.ncbi.nlm.nih.gov/pubmed?term=Figueiredo%20H%5BAuthor%5D&amp;cauthor=true&amp;cauthor_uid=14596810" TargetMode="External"/><Relationship Id="rId16" Type="http://schemas.openxmlformats.org/officeDocument/2006/relationships/hyperlink" Target="http://www.ncbi.nlm.nih.gov/pubmed?term=Bhui%20KS%5BAuthor%5D&amp;cauthor=true&amp;cauthor_uid=22496705" TargetMode="External"/><Relationship Id="rId221" Type="http://schemas.openxmlformats.org/officeDocument/2006/relationships/hyperlink" Target="http://www.ncbi.nlm.nih.gov/pubmed/19744954" TargetMode="External"/><Relationship Id="rId242" Type="http://schemas.openxmlformats.org/officeDocument/2006/relationships/hyperlink" Target="http://www.ncbi.nlm.nih.gov/pubmed/22354363" TargetMode="External"/><Relationship Id="rId263" Type="http://schemas.openxmlformats.org/officeDocument/2006/relationships/hyperlink" Target="http://www.ncbi.nlm.nih.gov/pubmed/18040814" TargetMode="External"/><Relationship Id="rId284" Type="http://schemas.openxmlformats.org/officeDocument/2006/relationships/fontTable" Target="fontTable.xml"/><Relationship Id="rId37" Type="http://schemas.openxmlformats.org/officeDocument/2006/relationships/hyperlink" Target="http://www.ncbi.nlm.nih.gov/pubmed?term=Vi&#263;enti&#263;%20S%5BAuthor%5D&amp;cauthor=true&amp;cauthor_uid=20954413" TargetMode="External"/><Relationship Id="rId58" Type="http://schemas.openxmlformats.org/officeDocument/2006/relationships/hyperlink" Target="http://www.ncbi.nlm.nih.gov/pubmed/21123828" TargetMode="External"/><Relationship Id="rId79" Type="http://schemas.openxmlformats.org/officeDocument/2006/relationships/hyperlink" Target="http://www.ncbi.nlm.nih.gov/pubmed?term=McEwen%20BS%5BAuthor%5D&amp;cauthor=true&amp;cauthor_uid=19469026" TargetMode="External"/><Relationship Id="rId102" Type="http://schemas.openxmlformats.org/officeDocument/2006/relationships/hyperlink" Target="http://www.ncbi.nlm.nih.gov/pubmed?term=Olivier%20B%5BAuthor%5D&amp;cauthor=true&amp;cauthor_uid=21316391" TargetMode="External"/><Relationship Id="rId123" Type="http://schemas.openxmlformats.org/officeDocument/2006/relationships/hyperlink" Target="http://www.ncbi.nlm.nih.gov/pubmed?term=McKlveen%20JM%5BAuthor%5D&amp;cauthor=true&amp;cauthor_uid=22450375" TargetMode="External"/><Relationship Id="rId144" Type="http://schemas.openxmlformats.org/officeDocument/2006/relationships/hyperlink" Target="http://www.ncbi.nlm.nih.gov/pubmed?term=Lamster%20IB%5BAuthor%5D&amp;cauthor=true&amp;cauthor_uid=12097361" TargetMode="External"/><Relationship Id="rId90" Type="http://schemas.openxmlformats.org/officeDocument/2006/relationships/hyperlink" Target="http://www.ncbi.nlm.nih.gov/pubmed?term=if%20it%20goes%20up%2C%20must%20it%20come%20down%20%3F%20chronic%20stress%20" TargetMode="External"/><Relationship Id="rId165" Type="http://schemas.openxmlformats.org/officeDocument/2006/relationships/hyperlink" Target="http://www.ncbi.nlm.nih.gov/pubmed/10633536" TargetMode="External"/><Relationship Id="rId186" Type="http://schemas.openxmlformats.org/officeDocument/2006/relationships/hyperlink" Target="http://www.ncbi.nlm.nih.gov/pubmed/15740829" TargetMode="External"/><Relationship Id="rId211" Type="http://schemas.openxmlformats.org/officeDocument/2006/relationships/hyperlink" Target="http://www.ncbi.nlm.nih.gov/pubmed/?term=why+stress+is+bad+for+your+brain" TargetMode="External"/><Relationship Id="rId232" Type="http://schemas.openxmlformats.org/officeDocument/2006/relationships/hyperlink" Target="http://www.ncbi.nlm.nih.gov/pubmed?db=pubmed&amp;cmd=historysearch&amp;querykey=1" TargetMode="External"/><Relationship Id="rId253" Type="http://schemas.openxmlformats.org/officeDocument/2006/relationships/hyperlink" Target="http://www.ncbi.nlm.nih.gov/pubmed/19047801" TargetMode="External"/><Relationship Id="rId274" Type="http://schemas.openxmlformats.org/officeDocument/2006/relationships/hyperlink" Target="http://www.ncbi.nlm.nih.gov/pubmed?term=Ricou%20B%5BAuthor%5D&amp;cauthor=true&amp;cauthor_uid=23346676" TargetMode="External"/><Relationship Id="rId27" Type="http://schemas.openxmlformats.org/officeDocument/2006/relationships/hyperlink" Target="http://www.ncbi.nlm.nih.gov/pubmed?term=Ulh&#244;a%20MA%5BAuthor%5D&amp;cauthor=true&amp;cauthor_uid=22080787" TargetMode="External"/><Relationship Id="rId48" Type="http://schemas.openxmlformats.org/officeDocument/2006/relationships/hyperlink" Target="http://www.ncbi.nlm.nih.gov/pubmed?term=Kl&#246;sch%20G%5BAuthor%5D&amp;cauthor=true&amp;cauthor_uid=12394962" TargetMode="External"/><Relationship Id="rId69" Type="http://schemas.openxmlformats.org/officeDocument/2006/relationships/hyperlink" Target="http://www.ncbi.nlm.nih.gov/pubmed/22350686" TargetMode="External"/><Relationship Id="rId113" Type="http://schemas.openxmlformats.org/officeDocument/2006/relationships/hyperlink" Target="http://www.ncbi.nlm.nih.gov/pubmed?term=Ulrich-Lai%20YM%5BAuthor%5D&amp;cauthor=true&amp;cauthor_uid=19469025" TargetMode="External"/><Relationship Id="rId134" Type="http://schemas.openxmlformats.org/officeDocument/2006/relationships/hyperlink" Target="http://www.ncbi.nlm.nih.gov/pubmed?term=Hellhammer%20DH%5BAuthor%5D&amp;cauthor=true&amp;cauthor_uid=2485862" TargetMode="External"/><Relationship Id="rId80" Type="http://schemas.openxmlformats.org/officeDocument/2006/relationships/hyperlink" Target="http://www.ncbi.nlm.nih.gov/pubmed?term=Chattarji%20S%5BAuthor%5D&amp;cauthor=true&amp;cauthor_uid=19469026" TargetMode="External"/><Relationship Id="rId155" Type="http://schemas.openxmlformats.org/officeDocument/2006/relationships/hyperlink" Target="http://www.ncbi.nlm.nih.gov/pubmed?term=Hellhammer%20DH%5BAuthor%5D&amp;cauthor=true&amp;cauthor_uid=8047637" TargetMode="External"/><Relationship Id="rId176" Type="http://schemas.openxmlformats.org/officeDocument/2006/relationships/hyperlink" Target="http://www.ncbi.nlm.nih.gov/pubmed/7202017" TargetMode="External"/><Relationship Id="rId197" Type="http://schemas.openxmlformats.org/officeDocument/2006/relationships/hyperlink" Target="http://www.ncbi.nlm.nih.gov/pubmed?term=McEwen%20BS%5BAuthor%5D&amp;cauthor=true&amp;cauthor_uid=3527687" TargetMode="External"/><Relationship Id="rId201" Type="http://schemas.openxmlformats.org/officeDocument/2006/relationships/hyperlink" Target="http://www.ncbi.nlm.nih.gov/pubmed?term=Mueller%20NK%5BAuthor%5D&amp;cauthor=true&amp;cauthor_uid=14596810" TargetMode="External"/><Relationship Id="rId222" Type="http://schemas.openxmlformats.org/officeDocument/2006/relationships/hyperlink" Target="http://www.ncbi.nlm.nih.gov/pubmed/18775114" TargetMode="External"/><Relationship Id="rId243" Type="http://schemas.openxmlformats.org/officeDocument/2006/relationships/hyperlink" Target="http://www.ncbi.nlm.nih.gov/pubmed/22710442" TargetMode="External"/><Relationship Id="rId264" Type="http://schemas.openxmlformats.org/officeDocument/2006/relationships/hyperlink" Target="http://www.ncbi.nlm.nih.gov/pubmed/15738954" TargetMode="External"/><Relationship Id="rId285" Type="http://schemas.openxmlformats.org/officeDocument/2006/relationships/theme" Target="theme/theme1.xml"/><Relationship Id="rId17" Type="http://schemas.openxmlformats.org/officeDocument/2006/relationships/hyperlink" Target="http://www.ncbi.nlm.nih.gov/pubmed?term=Dinos%20S%5BAuthor%5D&amp;cauthor=true&amp;cauthor_uid=22496705" TargetMode="External"/><Relationship Id="rId38" Type="http://schemas.openxmlformats.org/officeDocument/2006/relationships/hyperlink" Target="http://www.ncbi.nlm.nih.gov/pubmed?term=Jovanovi&#263;%20A%5BAuthor%5D&amp;cauthor=true&amp;cauthor_uid=20954413" TargetMode="External"/><Relationship Id="rId59" Type="http://schemas.openxmlformats.org/officeDocument/2006/relationships/hyperlink" Target="http://www.ncbi.nlm.nih.gov/pubmed/11765672" TargetMode="External"/><Relationship Id="rId103" Type="http://schemas.openxmlformats.org/officeDocument/2006/relationships/hyperlink" Target="http://www.ncbi.nlm.nih.gov/pubmed?term=Palanza%20P%5BAuthor%5D&amp;cauthor=true&amp;cauthor_uid=21316391" TargetMode="External"/><Relationship Id="rId124" Type="http://schemas.openxmlformats.org/officeDocument/2006/relationships/hyperlink" Target="http://www.ncbi.nlm.nih.gov/pubmed?term=Solomon%20MB%5BAuthor%5D&amp;cauthor=true&amp;cauthor_uid=22450375" TargetMode="External"/><Relationship Id="rId70" Type="http://schemas.openxmlformats.org/officeDocument/2006/relationships/hyperlink" Target="http://www.ncbi.nlm.nih.gov/pubmed/22350686" TargetMode="External"/><Relationship Id="rId91" Type="http://schemas.openxmlformats.org/officeDocument/2006/relationships/hyperlink" Target="http://www.ncbi.nlm.nih.gov/pubmed?term=Levine%20S%5BAuthor%5D&amp;cauthor=true&amp;cauthor_uid=15958281" TargetMode="External"/><Relationship Id="rId145" Type="http://schemas.openxmlformats.org/officeDocument/2006/relationships/hyperlink" Target="http://www.ncbi.nlm.nih.gov/pubmed/12097361" TargetMode="External"/><Relationship Id="rId166" Type="http://schemas.openxmlformats.org/officeDocument/2006/relationships/hyperlink" Target="http://www.ncbi.nlm.nih.gov/pubmed/19195792" TargetMode="External"/><Relationship Id="rId187" Type="http://schemas.openxmlformats.org/officeDocument/2006/relationships/hyperlink" Target="http://www.ncbi.nlm.nih.gov/pubmed/15740829" TargetMode="External"/><Relationship Id="rId1" Type="http://schemas.openxmlformats.org/officeDocument/2006/relationships/numbering" Target="numbering.xml"/><Relationship Id="rId212" Type="http://schemas.openxmlformats.org/officeDocument/2006/relationships/hyperlink" Target="http://www.ncbi.nlm.nih.gov/pubmed?term=Lupien%20SJ%5BAuthor%5D&amp;cauthor=true&amp;cauthor_uid=19401723" TargetMode="External"/><Relationship Id="rId233" Type="http://schemas.openxmlformats.org/officeDocument/2006/relationships/hyperlink" Target="http://www.ncbi.nlm.nih.gov/pubmed/22835074" TargetMode="External"/><Relationship Id="rId254" Type="http://schemas.openxmlformats.org/officeDocument/2006/relationships/hyperlink" Target="http://www.ncbi.nlm.nih.gov/pubmed?term=Albanidou-Farmaki%20E%5BAuthor%5D&amp;cauthor=true&amp;cauthor_uid=18441503" TargetMode="External"/><Relationship Id="rId28" Type="http://schemas.openxmlformats.org/officeDocument/2006/relationships/hyperlink" Target="http://www.ncbi.nlm.nih.gov/pubmed?term=Marqueze%20EC%5BAuthor%5D&amp;cauthor=true&amp;cauthor_uid=22080787" TargetMode="External"/><Relationship Id="rId49" Type="http://schemas.openxmlformats.org/officeDocument/2006/relationships/hyperlink" Target="http://www.ncbi.nlm.nih.gov/pubmed?term=Saletu%20B%5BAuthor%5D&amp;cauthor=true&amp;cauthor_uid=12394962" TargetMode="External"/><Relationship Id="rId114" Type="http://schemas.openxmlformats.org/officeDocument/2006/relationships/hyperlink" Target="http://www.ncbi.nlm.nih.gov/pubmed?term=Herman%20JP%5BAuthor%5D&amp;cauthor=true&amp;cauthor_uid=19469025" TargetMode="External"/><Relationship Id="rId275" Type="http://schemas.openxmlformats.org/officeDocument/2006/relationships/hyperlink" Target="http://www.ncbi.nlm.nih.gov/pubmed?term=Merlani%20P%5BAuthor%5D&amp;cauthor=true&amp;cauthor_uid=23346676" TargetMode="External"/><Relationship Id="rId60" Type="http://schemas.openxmlformats.org/officeDocument/2006/relationships/hyperlink" Target="http://www.ncbi.nlm.nih.gov/pubmed/19731158" TargetMode="External"/><Relationship Id="rId81" Type="http://schemas.openxmlformats.org/officeDocument/2006/relationships/hyperlink" Target="http://www.ncbi.nlm.nih.gov/pubmed?cmd=historysearch&amp;querykey=2" TargetMode="External"/><Relationship Id="rId135" Type="http://schemas.openxmlformats.org/officeDocument/2006/relationships/hyperlink" Target="http://www.ncbi.nlm.nih.gov/pubmed?cmd=historysearch&amp;querykey=20" TargetMode="External"/><Relationship Id="rId156" Type="http://schemas.openxmlformats.org/officeDocument/2006/relationships/hyperlink" Target="http://www.ncbi.nlm.nih.gov/pubmed/?term=Salivary+cortisol+in+psychoneuroendocrine+research%3A+recent+developments+and+applications." TargetMode="External"/><Relationship Id="rId177" Type="http://schemas.openxmlformats.org/officeDocument/2006/relationships/hyperlink" Target="http://www.ncbi.nlm.nih.gov/pubmed/21129038" TargetMode="External"/><Relationship Id="rId198" Type="http://schemas.openxmlformats.org/officeDocument/2006/relationships/hyperlink" Target="http://www.ncbi.nlm.nih.gov/pubmed?cmd=historysearch&amp;querykey=5" TargetMode="External"/><Relationship Id="rId202" Type="http://schemas.openxmlformats.org/officeDocument/2006/relationships/hyperlink" Target="http://www.ncbi.nlm.nih.gov/pubmed?term=Ulrich-Lai%20Y%5BAuthor%5D&amp;cauthor=true&amp;cauthor_uid=14596810" TargetMode="External"/><Relationship Id="rId223" Type="http://schemas.openxmlformats.org/officeDocument/2006/relationships/hyperlink" Target="http://www.ncbi.nlm.nih.gov/pubmed/17173200" TargetMode="External"/><Relationship Id="rId244" Type="http://schemas.openxmlformats.org/officeDocument/2006/relationships/hyperlink" Target="http://www.ncbi.nlm.nih.gov/pubmed/845848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18407</Words>
  <Characters>101242</Characters>
  <Application>Microsoft Office Word</Application>
  <DocSecurity>0</DocSecurity>
  <Lines>843</Lines>
  <Paragraphs>238</Paragraphs>
  <ScaleCrop>false</ScaleCrop>
  <HeadingPairs>
    <vt:vector size="2" baseType="variant">
      <vt:variant>
        <vt:lpstr>Titre</vt:lpstr>
      </vt:variant>
      <vt:variant>
        <vt:i4>1</vt:i4>
      </vt:variant>
    </vt:vector>
  </HeadingPairs>
  <TitlesOfParts>
    <vt:vector size="1" baseType="lpstr">
      <vt:lpstr>Protocole de Recherche Clinique</vt:lpstr>
    </vt:vector>
  </TitlesOfParts>
  <Company>CHR METZ-THIONVILLE</Company>
  <LinksUpToDate>false</LinksUpToDate>
  <CharactersWithSpaces>119411</CharactersWithSpaces>
  <SharedDoc>false</SharedDoc>
  <HLinks>
    <vt:vector size="1602" baseType="variant">
      <vt:variant>
        <vt:i4>3604515</vt:i4>
      </vt:variant>
      <vt:variant>
        <vt:i4>798</vt:i4>
      </vt:variant>
      <vt:variant>
        <vt:i4>0</vt:i4>
      </vt:variant>
      <vt:variant>
        <vt:i4>5</vt:i4>
      </vt:variant>
      <vt:variant>
        <vt:lpwstr>http://www.ncbi.nlm.nih.gov/pubmed/10846188</vt:lpwstr>
      </vt:variant>
      <vt:variant>
        <vt:lpwstr/>
      </vt:variant>
      <vt:variant>
        <vt:i4>3604515</vt:i4>
      </vt:variant>
      <vt:variant>
        <vt:i4>795</vt:i4>
      </vt:variant>
      <vt:variant>
        <vt:i4>0</vt:i4>
      </vt:variant>
      <vt:variant>
        <vt:i4>5</vt:i4>
      </vt:variant>
      <vt:variant>
        <vt:lpwstr>http://www.ncbi.nlm.nih.gov/pubmed/10846188</vt:lpwstr>
      </vt:variant>
      <vt:variant>
        <vt:lpwstr/>
      </vt:variant>
      <vt:variant>
        <vt:i4>3604515</vt:i4>
      </vt:variant>
      <vt:variant>
        <vt:i4>792</vt:i4>
      </vt:variant>
      <vt:variant>
        <vt:i4>0</vt:i4>
      </vt:variant>
      <vt:variant>
        <vt:i4>5</vt:i4>
      </vt:variant>
      <vt:variant>
        <vt:lpwstr>http://www.ncbi.nlm.nih.gov/pubmed/10846188</vt:lpwstr>
      </vt:variant>
      <vt:variant>
        <vt:lpwstr/>
      </vt:variant>
      <vt:variant>
        <vt:i4>3604486</vt:i4>
      </vt:variant>
      <vt:variant>
        <vt:i4>789</vt:i4>
      </vt:variant>
      <vt:variant>
        <vt:i4>0</vt:i4>
      </vt:variant>
      <vt:variant>
        <vt:i4>5</vt:i4>
      </vt:variant>
      <vt:variant>
        <vt:lpwstr>http://www.ncbi.nlm.nih.gov/pubmed?term=Alvarez-Dardet%20C%5BAuthor%5D&amp;cauthor=true&amp;cauthor_uid=10846188</vt:lpwstr>
      </vt:variant>
      <vt:variant>
        <vt:lpwstr/>
      </vt:variant>
      <vt:variant>
        <vt:i4>6553669</vt:i4>
      </vt:variant>
      <vt:variant>
        <vt:i4>786</vt:i4>
      </vt:variant>
      <vt:variant>
        <vt:i4>0</vt:i4>
      </vt:variant>
      <vt:variant>
        <vt:i4>5</vt:i4>
      </vt:variant>
      <vt:variant>
        <vt:lpwstr>http://www.ncbi.nlm.nih.gov/pubmed?term=Ronda%20E%5BAuthor%5D&amp;cauthor=true&amp;cauthor_uid=10846188</vt:lpwstr>
      </vt:variant>
      <vt:variant>
        <vt:lpwstr/>
      </vt:variant>
      <vt:variant>
        <vt:i4>3145767</vt:i4>
      </vt:variant>
      <vt:variant>
        <vt:i4>783</vt:i4>
      </vt:variant>
      <vt:variant>
        <vt:i4>0</vt:i4>
      </vt:variant>
      <vt:variant>
        <vt:i4>5</vt:i4>
      </vt:variant>
      <vt:variant>
        <vt:lpwstr>http://www.ncbi.nlm.nih.gov/pubmed/23346676</vt:lpwstr>
      </vt:variant>
      <vt:variant>
        <vt:lpwstr/>
      </vt:variant>
      <vt:variant>
        <vt:i4>983102</vt:i4>
      </vt:variant>
      <vt:variant>
        <vt:i4>780</vt:i4>
      </vt:variant>
      <vt:variant>
        <vt:i4>0</vt:i4>
      </vt:variant>
      <vt:variant>
        <vt:i4>5</vt:i4>
      </vt:variant>
      <vt:variant>
        <vt:lpwstr>http://www.ncbi.nlm.nih.gov/pubmed?term=Merlani%20P%5BAuthor%5D&amp;cauthor=true&amp;cauthor_uid=23346676</vt:lpwstr>
      </vt:variant>
      <vt:variant>
        <vt:lpwstr/>
      </vt:variant>
      <vt:variant>
        <vt:i4>7209055</vt:i4>
      </vt:variant>
      <vt:variant>
        <vt:i4>777</vt:i4>
      </vt:variant>
      <vt:variant>
        <vt:i4>0</vt:i4>
      </vt:variant>
      <vt:variant>
        <vt:i4>5</vt:i4>
      </vt:variant>
      <vt:variant>
        <vt:lpwstr>http://www.ncbi.nlm.nih.gov/pubmed?term=Ricou%20B%5BAuthor%5D&amp;cauthor=true&amp;cauthor_uid=23346676</vt:lpwstr>
      </vt:variant>
      <vt:variant>
        <vt:lpwstr/>
      </vt:variant>
      <vt:variant>
        <vt:i4>4390984</vt:i4>
      </vt:variant>
      <vt:variant>
        <vt:i4>774</vt:i4>
      </vt:variant>
      <vt:variant>
        <vt:i4>0</vt:i4>
      </vt:variant>
      <vt:variant>
        <vt:i4>5</vt:i4>
      </vt:variant>
      <vt:variant>
        <vt:lpwstr>http://www.ncbi.nlm.nih.gov/pubmed?cmd=historysearch&amp;querykey=33</vt:lpwstr>
      </vt:variant>
      <vt:variant>
        <vt:lpwstr/>
      </vt:variant>
      <vt:variant>
        <vt:i4>2883666</vt:i4>
      </vt:variant>
      <vt:variant>
        <vt:i4>771</vt:i4>
      </vt:variant>
      <vt:variant>
        <vt:i4>0</vt:i4>
      </vt:variant>
      <vt:variant>
        <vt:i4>5</vt:i4>
      </vt:variant>
      <vt:variant>
        <vt:lpwstr>http://www.ncbi.nlm.nih.gov/pubmed?term=Sabbe%20BG%5BAuthor%5D&amp;cauthor=true&amp;cauthor_uid=22753184</vt:lpwstr>
      </vt:variant>
      <vt:variant>
        <vt:lpwstr/>
      </vt:variant>
      <vt:variant>
        <vt:i4>7208985</vt:i4>
      </vt:variant>
      <vt:variant>
        <vt:i4>768</vt:i4>
      </vt:variant>
      <vt:variant>
        <vt:i4>0</vt:i4>
      </vt:variant>
      <vt:variant>
        <vt:i4>5</vt:i4>
      </vt:variant>
      <vt:variant>
        <vt:lpwstr>http://www.ncbi.nlm.nih.gov/pubmed?term=Van%20Den%20Ameele%20H%5BAuthor%5D&amp;cauthor=true&amp;cauthor_uid=22753184</vt:lpwstr>
      </vt:variant>
      <vt:variant>
        <vt:lpwstr/>
      </vt:variant>
      <vt:variant>
        <vt:i4>852080</vt:i4>
      </vt:variant>
      <vt:variant>
        <vt:i4>765</vt:i4>
      </vt:variant>
      <vt:variant>
        <vt:i4>0</vt:i4>
      </vt:variant>
      <vt:variant>
        <vt:i4>5</vt:i4>
      </vt:variant>
      <vt:variant>
        <vt:lpwstr>http://www.ncbi.nlm.nih.gov/pubmed?term=Van%20Den%20Eede%20F%5BAuthor%5D&amp;cauthor=true&amp;cauthor_uid=22753184</vt:lpwstr>
      </vt:variant>
      <vt:variant>
        <vt:lpwstr/>
      </vt:variant>
      <vt:variant>
        <vt:i4>6684755</vt:i4>
      </vt:variant>
      <vt:variant>
        <vt:i4>762</vt:i4>
      </vt:variant>
      <vt:variant>
        <vt:i4>0</vt:i4>
      </vt:variant>
      <vt:variant>
        <vt:i4>5</vt:i4>
      </vt:variant>
      <vt:variant>
        <vt:lpwstr>http://www.ncbi.nlm.nih.gov/pubmed?term=Verhaeghe%20J%5BAuthor%5D&amp;cauthor=true&amp;cauthor_uid=22753184</vt:lpwstr>
      </vt:variant>
      <vt:variant>
        <vt:lpwstr/>
      </vt:variant>
      <vt:variant>
        <vt:i4>4325448</vt:i4>
      </vt:variant>
      <vt:variant>
        <vt:i4>759</vt:i4>
      </vt:variant>
      <vt:variant>
        <vt:i4>0</vt:i4>
      </vt:variant>
      <vt:variant>
        <vt:i4>5</vt:i4>
      </vt:variant>
      <vt:variant>
        <vt:lpwstr>http://www.ncbi.nlm.nih.gov/pubmed?cmd=historysearch&amp;querykey=32</vt:lpwstr>
      </vt:variant>
      <vt:variant>
        <vt:lpwstr/>
      </vt:variant>
      <vt:variant>
        <vt:i4>7143440</vt:i4>
      </vt:variant>
      <vt:variant>
        <vt:i4>756</vt:i4>
      </vt:variant>
      <vt:variant>
        <vt:i4>0</vt:i4>
      </vt:variant>
      <vt:variant>
        <vt:i4>5</vt:i4>
      </vt:variant>
      <vt:variant>
        <vt:lpwstr>http://www.ncbi.nlm.nih.gov/pubmed?term=Nakata%20A%5BAuthor%5D&amp;cauthor=true&amp;cauthor_uid=22933140</vt:lpwstr>
      </vt:variant>
      <vt:variant>
        <vt:lpwstr/>
      </vt:variant>
      <vt:variant>
        <vt:i4>4325448</vt:i4>
      </vt:variant>
      <vt:variant>
        <vt:i4>753</vt:i4>
      </vt:variant>
      <vt:variant>
        <vt:i4>0</vt:i4>
      </vt:variant>
      <vt:variant>
        <vt:i4>5</vt:i4>
      </vt:variant>
      <vt:variant>
        <vt:lpwstr>http://www.ncbi.nlm.nih.gov/pubmed?cmd=historysearch&amp;querykey=32</vt:lpwstr>
      </vt:variant>
      <vt:variant>
        <vt:lpwstr/>
      </vt:variant>
      <vt:variant>
        <vt:i4>4128812</vt:i4>
      </vt:variant>
      <vt:variant>
        <vt:i4>750</vt:i4>
      </vt:variant>
      <vt:variant>
        <vt:i4>0</vt:i4>
      </vt:variant>
      <vt:variant>
        <vt:i4>5</vt:i4>
      </vt:variant>
      <vt:variant>
        <vt:lpwstr>http://www.ncbi.nlm.nih.gov/pubmed/9800422</vt:lpwstr>
      </vt:variant>
      <vt:variant>
        <vt:lpwstr/>
      </vt:variant>
      <vt:variant>
        <vt:i4>3866665</vt:i4>
      </vt:variant>
      <vt:variant>
        <vt:i4>747</vt:i4>
      </vt:variant>
      <vt:variant>
        <vt:i4>0</vt:i4>
      </vt:variant>
      <vt:variant>
        <vt:i4>5</vt:i4>
      </vt:variant>
      <vt:variant>
        <vt:lpwstr>http://www.ncbi.nlm.nih.gov/pubmed/15738954</vt:lpwstr>
      </vt:variant>
      <vt:variant>
        <vt:lpwstr/>
      </vt:variant>
      <vt:variant>
        <vt:i4>3145762</vt:i4>
      </vt:variant>
      <vt:variant>
        <vt:i4>744</vt:i4>
      </vt:variant>
      <vt:variant>
        <vt:i4>0</vt:i4>
      </vt:variant>
      <vt:variant>
        <vt:i4>5</vt:i4>
      </vt:variant>
      <vt:variant>
        <vt:lpwstr>http://www.ncbi.nlm.nih.gov/pubmed/18040814</vt:lpwstr>
      </vt:variant>
      <vt:variant>
        <vt:lpwstr/>
      </vt:variant>
      <vt:variant>
        <vt:i4>3538976</vt:i4>
      </vt:variant>
      <vt:variant>
        <vt:i4>741</vt:i4>
      </vt:variant>
      <vt:variant>
        <vt:i4>0</vt:i4>
      </vt:variant>
      <vt:variant>
        <vt:i4>5</vt:i4>
      </vt:variant>
      <vt:variant>
        <vt:lpwstr>http://www.ncbi.nlm.nih.gov/pubmed/22174319</vt:lpwstr>
      </vt:variant>
      <vt:variant>
        <vt:lpwstr/>
      </vt:variant>
      <vt:variant>
        <vt:i4>3997733</vt:i4>
      </vt:variant>
      <vt:variant>
        <vt:i4>738</vt:i4>
      </vt:variant>
      <vt:variant>
        <vt:i4>0</vt:i4>
      </vt:variant>
      <vt:variant>
        <vt:i4>5</vt:i4>
      </vt:variant>
      <vt:variant>
        <vt:lpwstr>http://www.ncbi.nlm.nih.gov/pubmed/22641587</vt:lpwstr>
      </vt:variant>
      <vt:variant>
        <vt:lpwstr/>
      </vt:variant>
      <vt:variant>
        <vt:i4>4390937</vt:i4>
      </vt:variant>
      <vt:variant>
        <vt:i4>735</vt:i4>
      </vt:variant>
      <vt:variant>
        <vt:i4>0</vt:i4>
      </vt:variant>
      <vt:variant>
        <vt:i4>5</vt:i4>
      </vt:variant>
      <vt:variant>
        <vt:lpwstr>http://www.ncbi.nlm.nih.gov/pubmed/?term=1.%09Increased+anxiety+level+and+high+salivary+and+serum+cortisol+concentrations+in+patients+with+recurrent+aphthous+stomatitis</vt:lpwstr>
      </vt:variant>
      <vt:variant>
        <vt:lpwstr/>
      </vt:variant>
      <vt:variant>
        <vt:i4>8126486</vt:i4>
      </vt:variant>
      <vt:variant>
        <vt:i4>732</vt:i4>
      </vt:variant>
      <vt:variant>
        <vt:i4>0</vt:i4>
      </vt:variant>
      <vt:variant>
        <vt:i4>5</vt:i4>
      </vt:variant>
      <vt:variant>
        <vt:lpwstr>http://www.ncbi.nlm.nih.gov/pubmed?term=Antoniades%20D%5BAuthor%5D&amp;cauthor=true&amp;cauthor_uid=18441503</vt:lpwstr>
      </vt:variant>
      <vt:variant>
        <vt:lpwstr/>
      </vt:variant>
      <vt:variant>
        <vt:i4>7077889</vt:i4>
      </vt:variant>
      <vt:variant>
        <vt:i4>729</vt:i4>
      </vt:variant>
      <vt:variant>
        <vt:i4>0</vt:i4>
      </vt:variant>
      <vt:variant>
        <vt:i4>5</vt:i4>
      </vt:variant>
      <vt:variant>
        <vt:lpwstr>http://www.ncbi.nlm.nih.gov/pubmed?term=Karamouzis%20M%5BAuthor%5D&amp;cauthor=true&amp;cauthor_uid=18441503</vt:lpwstr>
      </vt:variant>
      <vt:variant>
        <vt:lpwstr/>
      </vt:variant>
      <vt:variant>
        <vt:i4>1572981</vt:i4>
      </vt:variant>
      <vt:variant>
        <vt:i4>726</vt:i4>
      </vt:variant>
      <vt:variant>
        <vt:i4>0</vt:i4>
      </vt:variant>
      <vt:variant>
        <vt:i4>5</vt:i4>
      </vt:variant>
      <vt:variant>
        <vt:lpwstr>http://www.ncbi.nlm.nih.gov/pubmed?term=Farmakis%20K%5BAuthor%5D&amp;cauthor=true&amp;cauthor_uid=18441503</vt:lpwstr>
      </vt:variant>
      <vt:variant>
        <vt:lpwstr/>
      </vt:variant>
      <vt:variant>
        <vt:i4>1048617</vt:i4>
      </vt:variant>
      <vt:variant>
        <vt:i4>723</vt:i4>
      </vt:variant>
      <vt:variant>
        <vt:i4>0</vt:i4>
      </vt:variant>
      <vt:variant>
        <vt:i4>5</vt:i4>
      </vt:variant>
      <vt:variant>
        <vt:lpwstr>http://www.ncbi.nlm.nih.gov/pubmed?term=Epivatianos%20A%5BAuthor%5D&amp;cauthor=true&amp;cauthor_uid=18441503</vt:lpwstr>
      </vt:variant>
      <vt:variant>
        <vt:lpwstr/>
      </vt:variant>
      <vt:variant>
        <vt:i4>4325429</vt:i4>
      </vt:variant>
      <vt:variant>
        <vt:i4>720</vt:i4>
      </vt:variant>
      <vt:variant>
        <vt:i4>0</vt:i4>
      </vt:variant>
      <vt:variant>
        <vt:i4>5</vt:i4>
      </vt:variant>
      <vt:variant>
        <vt:lpwstr>http://www.ncbi.nlm.nih.gov/pubmed?term=Poulopoulos%20AK%5BAuthor%5D&amp;cauthor=true&amp;cauthor_uid=18441503</vt:lpwstr>
      </vt:variant>
      <vt:variant>
        <vt:lpwstr/>
      </vt:variant>
      <vt:variant>
        <vt:i4>2949204</vt:i4>
      </vt:variant>
      <vt:variant>
        <vt:i4>717</vt:i4>
      </vt:variant>
      <vt:variant>
        <vt:i4>0</vt:i4>
      </vt:variant>
      <vt:variant>
        <vt:i4>5</vt:i4>
      </vt:variant>
      <vt:variant>
        <vt:lpwstr>http://www.ncbi.nlm.nih.gov/pubmed?term=Albanidou-Farmaki%20E%5BAuthor%5D&amp;cauthor=true&amp;cauthor_uid=18441503</vt:lpwstr>
      </vt:variant>
      <vt:variant>
        <vt:lpwstr/>
      </vt:variant>
      <vt:variant>
        <vt:i4>3538979</vt:i4>
      </vt:variant>
      <vt:variant>
        <vt:i4>714</vt:i4>
      </vt:variant>
      <vt:variant>
        <vt:i4>0</vt:i4>
      </vt:variant>
      <vt:variant>
        <vt:i4>5</vt:i4>
      </vt:variant>
      <vt:variant>
        <vt:lpwstr>http://www.ncbi.nlm.nih.gov/pubmed/19047801</vt:lpwstr>
      </vt:variant>
      <vt:variant>
        <vt:lpwstr/>
      </vt:variant>
      <vt:variant>
        <vt:i4>3080260</vt:i4>
      </vt:variant>
      <vt:variant>
        <vt:i4>711</vt:i4>
      </vt:variant>
      <vt:variant>
        <vt:i4>0</vt:i4>
      </vt:variant>
      <vt:variant>
        <vt:i4>5</vt:i4>
      </vt:variant>
      <vt:variant>
        <vt:lpwstr>http://www.ncbi.nlm.nih.gov/pubmed?term=Bauer%20ME%5BAuthor%5D&amp;cauthor=true&amp;cauthor_uid=19047801</vt:lpwstr>
      </vt:variant>
      <vt:variant>
        <vt:lpwstr/>
      </vt:variant>
      <vt:variant>
        <vt:i4>4128801</vt:i4>
      </vt:variant>
      <vt:variant>
        <vt:i4>708</vt:i4>
      </vt:variant>
      <vt:variant>
        <vt:i4>0</vt:i4>
      </vt:variant>
      <vt:variant>
        <vt:i4>5</vt:i4>
      </vt:variant>
      <vt:variant>
        <vt:lpwstr>http://www.ncbi.nlm.nih.gov/pubmed/23014593</vt:lpwstr>
      </vt:variant>
      <vt:variant>
        <vt:lpwstr/>
      </vt:variant>
      <vt:variant>
        <vt:i4>4456521</vt:i4>
      </vt:variant>
      <vt:variant>
        <vt:i4>705</vt:i4>
      </vt:variant>
      <vt:variant>
        <vt:i4>0</vt:i4>
      </vt:variant>
      <vt:variant>
        <vt:i4>5</vt:i4>
      </vt:variant>
      <vt:variant>
        <vt:lpwstr>http://www.ncbi.nlm.nih.gov/pubmed?cmd=historysearch&amp;querykey=24</vt:lpwstr>
      </vt:variant>
      <vt:variant>
        <vt:lpwstr/>
      </vt:variant>
      <vt:variant>
        <vt:i4>5505062</vt:i4>
      </vt:variant>
      <vt:variant>
        <vt:i4>702</vt:i4>
      </vt:variant>
      <vt:variant>
        <vt:i4>0</vt:i4>
      </vt:variant>
      <vt:variant>
        <vt:i4>5</vt:i4>
      </vt:variant>
      <vt:variant>
        <vt:lpwstr>http://www.ncbi.nlm.nih.gov/pubmed?term=Agarwal%20SK%5BAuthor%5D&amp;cauthor=true&amp;cauthor_uid=21094920</vt:lpwstr>
      </vt:variant>
      <vt:variant>
        <vt:lpwstr/>
      </vt:variant>
      <vt:variant>
        <vt:i4>4194427</vt:i4>
      </vt:variant>
      <vt:variant>
        <vt:i4>699</vt:i4>
      </vt:variant>
      <vt:variant>
        <vt:i4>0</vt:i4>
      </vt:variant>
      <vt:variant>
        <vt:i4>5</vt:i4>
      </vt:variant>
      <vt:variant>
        <vt:lpwstr>http://www.ncbi.nlm.nih.gov/pubmed?term=McCray%20CJ%5BAuthor%5D&amp;cauthor=true&amp;cauthor_uid=21094920</vt:lpwstr>
      </vt:variant>
      <vt:variant>
        <vt:lpwstr/>
      </vt:variant>
      <vt:variant>
        <vt:i4>4653130</vt:i4>
      </vt:variant>
      <vt:variant>
        <vt:i4>696</vt:i4>
      </vt:variant>
      <vt:variant>
        <vt:i4>0</vt:i4>
      </vt:variant>
      <vt:variant>
        <vt:i4>5</vt:i4>
      </vt:variant>
      <vt:variant>
        <vt:lpwstr>http://www.ncbi.nlm.nih.gov/pubmed?cmd=historysearch&amp;querykey=17</vt:lpwstr>
      </vt:variant>
      <vt:variant>
        <vt:lpwstr/>
      </vt:variant>
      <vt:variant>
        <vt:i4>10420340</vt:i4>
      </vt:variant>
      <vt:variant>
        <vt:i4>693</vt:i4>
      </vt:variant>
      <vt:variant>
        <vt:i4>0</vt:i4>
      </vt:variant>
      <vt:variant>
        <vt:i4>5</vt:i4>
      </vt:variant>
      <vt:variant>
        <vt:lpwstr>http://www.ncbi.nlm.nih.gov/pubmed?term=Kára%20T%5BAuthor%5D&amp;cauthor=true&amp;cauthor_uid=11395876</vt:lpwstr>
      </vt:variant>
      <vt:variant>
        <vt:lpwstr/>
      </vt:variant>
      <vt:variant>
        <vt:i4>6357006</vt:i4>
      </vt:variant>
      <vt:variant>
        <vt:i4>690</vt:i4>
      </vt:variant>
      <vt:variant>
        <vt:i4>0</vt:i4>
      </vt:variant>
      <vt:variant>
        <vt:i4>5</vt:i4>
      </vt:variant>
      <vt:variant>
        <vt:lpwstr>http://www.ncbi.nlm.nih.gov/pubmed?term=Soucek%20M%5BAuthor%5D&amp;cauthor=true&amp;cauthor_uid=11395876</vt:lpwstr>
      </vt:variant>
      <vt:variant>
        <vt:lpwstr/>
      </vt:variant>
      <vt:variant>
        <vt:i4>3735586</vt:i4>
      </vt:variant>
      <vt:variant>
        <vt:i4>687</vt:i4>
      </vt:variant>
      <vt:variant>
        <vt:i4>0</vt:i4>
      </vt:variant>
      <vt:variant>
        <vt:i4>5</vt:i4>
      </vt:variant>
      <vt:variant>
        <vt:lpwstr>http://www.ncbi.nlm.nih.gov/pubmed/8458480</vt:lpwstr>
      </vt:variant>
      <vt:variant>
        <vt:lpwstr/>
      </vt:variant>
      <vt:variant>
        <vt:i4>3211297</vt:i4>
      </vt:variant>
      <vt:variant>
        <vt:i4>684</vt:i4>
      </vt:variant>
      <vt:variant>
        <vt:i4>0</vt:i4>
      </vt:variant>
      <vt:variant>
        <vt:i4>5</vt:i4>
      </vt:variant>
      <vt:variant>
        <vt:lpwstr>http://www.ncbi.nlm.nih.gov/pubmed/22710442</vt:lpwstr>
      </vt:variant>
      <vt:variant>
        <vt:lpwstr/>
      </vt:variant>
      <vt:variant>
        <vt:i4>3342370</vt:i4>
      </vt:variant>
      <vt:variant>
        <vt:i4>681</vt:i4>
      </vt:variant>
      <vt:variant>
        <vt:i4>0</vt:i4>
      </vt:variant>
      <vt:variant>
        <vt:i4>5</vt:i4>
      </vt:variant>
      <vt:variant>
        <vt:lpwstr>http://www.ncbi.nlm.nih.gov/pubmed/22354363</vt:lpwstr>
      </vt:variant>
      <vt:variant>
        <vt:lpwstr/>
      </vt:variant>
      <vt:variant>
        <vt:i4>458857</vt:i4>
      </vt:variant>
      <vt:variant>
        <vt:i4>678</vt:i4>
      </vt:variant>
      <vt:variant>
        <vt:i4>0</vt:i4>
      </vt:variant>
      <vt:variant>
        <vt:i4>5</vt:i4>
      </vt:variant>
      <vt:variant>
        <vt:lpwstr>http://www.ncbi.nlm.nih.gov/pubmed?term=Jaeschke%20R%5BAuthor%5D&amp;cauthor=true&amp;cauthor_uid=22354363</vt:lpwstr>
      </vt:variant>
      <vt:variant>
        <vt:lpwstr/>
      </vt:variant>
      <vt:variant>
        <vt:i4>127</vt:i4>
      </vt:variant>
      <vt:variant>
        <vt:i4>675</vt:i4>
      </vt:variant>
      <vt:variant>
        <vt:i4>0</vt:i4>
      </vt:variant>
      <vt:variant>
        <vt:i4>5</vt:i4>
      </vt:variant>
      <vt:variant>
        <vt:lpwstr>http://www.ncbi.nlm.nih.gov/pubmed?term=Moayyedi%20P%5BAuthor%5D&amp;cauthor=true&amp;cauthor_uid=22354363</vt:lpwstr>
      </vt:variant>
      <vt:variant>
        <vt:lpwstr/>
      </vt:variant>
      <vt:variant>
        <vt:i4>6488065</vt:i4>
      </vt:variant>
      <vt:variant>
        <vt:i4>672</vt:i4>
      </vt:variant>
      <vt:variant>
        <vt:i4>0</vt:i4>
      </vt:variant>
      <vt:variant>
        <vt:i4>5</vt:i4>
      </vt:variant>
      <vt:variant>
        <vt:lpwstr>http://www.ncbi.nlm.nih.gov/pubmed?term=Alshahrani%20M%5BAuthor%5D&amp;cauthor=true&amp;cauthor_uid=22354363</vt:lpwstr>
      </vt:variant>
      <vt:variant>
        <vt:lpwstr/>
      </vt:variant>
      <vt:variant>
        <vt:i4>7471184</vt:i4>
      </vt:variant>
      <vt:variant>
        <vt:i4>669</vt:i4>
      </vt:variant>
      <vt:variant>
        <vt:i4>0</vt:i4>
      </vt:variant>
      <vt:variant>
        <vt:i4>5</vt:i4>
      </vt:variant>
      <vt:variant>
        <vt:lpwstr>http://www.ncbi.nlm.nih.gov/pubmed?term=Alhazzani%20W%5BAuthor%5D&amp;cauthor=true&amp;cauthor_uid=22354363</vt:lpwstr>
      </vt:variant>
      <vt:variant>
        <vt:lpwstr/>
      </vt:variant>
      <vt:variant>
        <vt:i4>4128804</vt:i4>
      </vt:variant>
      <vt:variant>
        <vt:i4>666</vt:i4>
      </vt:variant>
      <vt:variant>
        <vt:i4>0</vt:i4>
      </vt:variant>
      <vt:variant>
        <vt:i4>5</vt:i4>
      </vt:variant>
      <vt:variant>
        <vt:lpwstr>http://www.ncbi.nlm.nih.gov/pubmed/22778720</vt:lpwstr>
      </vt:variant>
      <vt:variant>
        <vt:lpwstr/>
      </vt:variant>
      <vt:variant>
        <vt:i4>3866670</vt:i4>
      </vt:variant>
      <vt:variant>
        <vt:i4>663</vt:i4>
      </vt:variant>
      <vt:variant>
        <vt:i4>0</vt:i4>
      </vt:variant>
      <vt:variant>
        <vt:i4>5</vt:i4>
      </vt:variant>
      <vt:variant>
        <vt:lpwstr>http://www.ncbi.nlm.nih.gov/pubmed/9809193</vt:lpwstr>
      </vt:variant>
      <vt:variant>
        <vt:lpwstr/>
      </vt:variant>
      <vt:variant>
        <vt:i4>3866668</vt:i4>
      </vt:variant>
      <vt:variant>
        <vt:i4>660</vt:i4>
      </vt:variant>
      <vt:variant>
        <vt:i4>0</vt:i4>
      </vt:variant>
      <vt:variant>
        <vt:i4>5</vt:i4>
      </vt:variant>
      <vt:variant>
        <vt:lpwstr>http://www.ncbi.nlm.nih.gov/pubmed/15586790</vt:lpwstr>
      </vt:variant>
      <vt:variant>
        <vt:lpwstr/>
      </vt:variant>
      <vt:variant>
        <vt:i4>3145761</vt:i4>
      </vt:variant>
      <vt:variant>
        <vt:i4>657</vt:i4>
      </vt:variant>
      <vt:variant>
        <vt:i4>0</vt:i4>
      </vt:variant>
      <vt:variant>
        <vt:i4>5</vt:i4>
      </vt:variant>
      <vt:variant>
        <vt:lpwstr>http://www.ncbi.nlm.nih.gov/pubmed/16161710</vt:lpwstr>
      </vt:variant>
      <vt:variant>
        <vt:lpwstr/>
      </vt:variant>
      <vt:variant>
        <vt:i4>3670055</vt:i4>
      </vt:variant>
      <vt:variant>
        <vt:i4>654</vt:i4>
      </vt:variant>
      <vt:variant>
        <vt:i4>0</vt:i4>
      </vt:variant>
      <vt:variant>
        <vt:i4>5</vt:i4>
      </vt:variant>
      <vt:variant>
        <vt:lpwstr>http://www.ncbi.nlm.nih.gov/pubmed/22835074</vt:lpwstr>
      </vt:variant>
      <vt:variant>
        <vt:lpwstr/>
      </vt:variant>
      <vt:variant>
        <vt:i4>5570632</vt:i4>
      </vt:variant>
      <vt:variant>
        <vt:i4>651</vt:i4>
      </vt:variant>
      <vt:variant>
        <vt:i4>0</vt:i4>
      </vt:variant>
      <vt:variant>
        <vt:i4>5</vt:i4>
      </vt:variant>
      <vt:variant>
        <vt:lpwstr>http://www.ncbi.nlm.nih.gov/pubmed?db=pubmed&amp;cmd=historysearch&amp;querykey=1</vt:lpwstr>
      </vt:variant>
      <vt:variant>
        <vt:lpwstr/>
      </vt:variant>
      <vt:variant>
        <vt:i4>6094901</vt:i4>
      </vt:variant>
      <vt:variant>
        <vt:i4>648</vt:i4>
      </vt:variant>
      <vt:variant>
        <vt:i4>0</vt:i4>
      </vt:variant>
      <vt:variant>
        <vt:i4>5</vt:i4>
      </vt:variant>
      <vt:variant>
        <vt:lpwstr>http://www.ncbi.nlm.nih.gov/pubmed?term=Mikhailidis%20DP%5BAuthor%5D&amp;cauthor=true&amp;cauthor_uid=19470627</vt:lpwstr>
      </vt:variant>
      <vt:variant>
        <vt:lpwstr/>
      </vt:variant>
      <vt:variant>
        <vt:i4>65587</vt:i4>
      </vt:variant>
      <vt:variant>
        <vt:i4>645</vt:i4>
      </vt:variant>
      <vt:variant>
        <vt:i4>0</vt:i4>
      </vt:variant>
      <vt:variant>
        <vt:i4>5</vt:i4>
      </vt:variant>
      <vt:variant>
        <vt:lpwstr>http://www.ncbi.nlm.nih.gov/pubmed?term=Karagiannis%20A%5BAuthor%5D&amp;cauthor=true&amp;cauthor_uid=19470627</vt:lpwstr>
      </vt:variant>
      <vt:variant>
        <vt:lpwstr/>
      </vt:variant>
      <vt:variant>
        <vt:i4>7602260</vt:i4>
      </vt:variant>
      <vt:variant>
        <vt:i4>642</vt:i4>
      </vt:variant>
      <vt:variant>
        <vt:i4>0</vt:i4>
      </vt:variant>
      <vt:variant>
        <vt:i4>5</vt:i4>
      </vt:variant>
      <vt:variant>
        <vt:lpwstr>http://www.ncbi.nlm.nih.gov/pubmed?term=Tziomalos%20K%5BAuthor%5D&amp;cauthor=true&amp;cauthor_uid=19470627</vt:lpwstr>
      </vt:variant>
      <vt:variant>
        <vt:lpwstr/>
      </vt:variant>
      <vt:variant>
        <vt:i4>4194355</vt:i4>
      </vt:variant>
      <vt:variant>
        <vt:i4>639</vt:i4>
      </vt:variant>
      <vt:variant>
        <vt:i4>0</vt:i4>
      </vt:variant>
      <vt:variant>
        <vt:i4>5</vt:i4>
      </vt:variant>
      <vt:variant>
        <vt:lpwstr>http://www.ncbi.nlm.nih.gov/pubmed?term=Athyros%20VG%5BAuthor%5D&amp;cauthor=true&amp;cauthor_uid=19470627</vt:lpwstr>
      </vt:variant>
      <vt:variant>
        <vt:lpwstr/>
      </vt:variant>
      <vt:variant>
        <vt:i4>7536670</vt:i4>
      </vt:variant>
      <vt:variant>
        <vt:i4>636</vt:i4>
      </vt:variant>
      <vt:variant>
        <vt:i4>0</vt:i4>
      </vt:variant>
      <vt:variant>
        <vt:i4>5</vt:i4>
      </vt:variant>
      <vt:variant>
        <vt:lpwstr>http://www.ncbi.nlm.nih.gov/pubmed?term=Anagnostis%20P%5BAuthor%5D&amp;cauthor=true&amp;cauthor_uid=19470627</vt:lpwstr>
      </vt:variant>
      <vt:variant>
        <vt:lpwstr/>
      </vt:variant>
      <vt:variant>
        <vt:i4>3670048</vt:i4>
      </vt:variant>
      <vt:variant>
        <vt:i4>633</vt:i4>
      </vt:variant>
      <vt:variant>
        <vt:i4>0</vt:i4>
      </vt:variant>
      <vt:variant>
        <vt:i4>5</vt:i4>
      </vt:variant>
      <vt:variant>
        <vt:lpwstr>http://www.ncbi.nlm.nih.gov/pubmed/16428252</vt:lpwstr>
      </vt:variant>
      <vt:variant>
        <vt:lpwstr/>
      </vt:variant>
      <vt:variant>
        <vt:i4>4063271</vt:i4>
      </vt:variant>
      <vt:variant>
        <vt:i4>630</vt:i4>
      </vt:variant>
      <vt:variant>
        <vt:i4>0</vt:i4>
      </vt:variant>
      <vt:variant>
        <vt:i4>5</vt:i4>
      </vt:variant>
      <vt:variant>
        <vt:lpwstr>http://www.ncbi.nlm.nih.gov/pubmed/15832759</vt:lpwstr>
      </vt:variant>
      <vt:variant>
        <vt:lpwstr/>
      </vt:variant>
      <vt:variant>
        <vt:i4>3276837</vt:i4>
      </vt:variant>
      <vt:variant>
        <vt:i4>627</vt:i4>
      </vt:variant>
      <vt:variant>
        <vt:i4>0</vt:i4>
      </vt:variant>
      <vt:variant>
        <vt:i4>5</vt:i4>
      </vt:variant>
      <vt:variant>
        <vt:lpwstr>http://www.ncbi.nlm.nih.gov/pubmed/16218493</vt:lpwstr>
      </vt:variant>
      <vt:variant>
        <vt:lpwstr/>
      </vt:variant>
      <vt:variant>
        <vt:i4>3342372</vt:i4>
      </vt:variant>
      <vt:variant>
        <vt:i4>624</vt:i4>
      </vt:variant>
      <vt:variant>
        <vt:i4>0</vt:i4>
      </vt:variant>
      <vt:variant>
        <vt:i4>5</vt:i4>
      </vt:variant>
      <vt:variant>
        <vt:lpwstr>http://www.ncbi.nlm.nih.gov/pubmed/17173200</vt:lpwstr>
      </vt:variant>
      <vt:variant>
        <vt:lpwstr/>
      </vt:variant>
      <vt:variant>
        <vt:i4>3276840</vt:i4>
      </vt:variant>
      <vt:variant>
        <vt:i4>621</vt:i4>
      </vt:variant>
      <vt:variant>
        <vt:i4>0</vt:i4>
      </vt:variant>
      <vt:variant>
        <vt:i4>5</vt:i4>
      </vt:variant>
      <vt:variant>
        <vt:lpwstr>http://www.ncbi.nlm.nih.gov/pubmed/18775114</vt:lpwstr>
      </vt:variant>
      <vt:variant>
        <vt:lpwstr/>
      </vt:variant>
      <vt:variant>
        <vt:i4>3604514</vt:i4>
      </vt:variant>
      <vt:variant>
        <vt:i4>618</vt:i4>
      </vt:variant>
      <vt:variant>
        <vt:i4>0</vt:i4>
      </vt:variant>
      <vt:variant>
        <vt:i4>5</vt:i4>
      </vt:variant>
      <vt:variant>
        <vt:lpwstr>http://www.ncbi.nlm.nih.gov/pubmed/19744954</vt:lpwstr>
      </vt:variant>
      <vt:variant>
        <vt:lpwstr/>
      </vt:variant>
      <vt:variant>
        <vt:i4>3276835</vt:i4>
      </vt:variant>
      <vt:variant>
        <vt:i4>615</vt:i4>
      </vt:variant>
      <vt:variant>
        <vt:i4>0</vt:i4>
      </vt:variant>
      <vt:variant>
        <vt:i4>5</vt:i4>
      </vt:variant>
      <vt:variant>
        <vt:lpwstr>http://www.ncbi.nlm.nih.gov/pubmed/23405611</vt:lpwstr>
      </vt:variant>
      <vt:variant>
        <vt:lpwstr/>
      </vt:variant>
      <vt:variant>
        <vt:i4>3735588</vt:i4>
      </vt:variant>
      <vt:variant>
        <vt:i4>612</vt:i4>
      </vt:variant>
      <vt:variant>
        <vt:i4>0</vt:i4>
      </vt:variant>
      <vt:variant>
        <vt:i4>5</vt:i4>
      </vt:variant>
      <vt:variant>
        <vt:lpwstr>http://www.ncbi.nlm.nih.gov/pubmed/22497986</vt:lpwstr>
      </vt:variant>
      <vt:variant>
        <vt:lpwstr/>
      </vt:variant>
      <vt:variant>
        <vt:i4>3997732</vt:i4>
      </vt:variant>
      <vt:variant>
        <vt:i4>609</vt:i4>
      </vt:variant>
      <vt:variant>
        <vt:i4>0</vt:i4>
      </vt:variant>
      <vt:variant>
        <vt:i4>5</vt:i4>
      </vt:variant>
      <vt:variant>
        <vt:lpwstr>http://www.ncbi.nlm.nih.gov/pubmed/11920153</vt:lpwstr>
      </vt:variant>
      <vt:variant>
        <vt:lpwstr/>
      </vt:variant>
      <vt:variant>
        <vt:i4>3145765</vt:i4>
      </vt:variant>
      <vt:variant>
        <vt:i4>606</vt:i4>
      </vt:variant>
      <vt:variant>
        <vt:i4>0</vt:i4>
      </vt:variant>
      <vt:variant>
        <vt:i4>5</vt:i4>
      </vt:variant>
      <vt:variant>
        <vt:lpwstr>http://www.ncbi.nlm.nih.gov/pubmed/22724317</vt:lpwstr>
      </vt:variant>
      <vt:variant>
        <vt:lpwstr/>
      </vt:variant>
      <vt:variant>
        <vt:i4>3538984</vt:i4>
      </vt:variant>
      <vt:variant>
        <vt:i4>603</vt:i4>
      </vt:variant>
      <vt:variant>
        <vt:i4>0</vt:i4>
      </vt:variant>
      <vt:variant>
        <vt:i4>5</vt:i4>
      </vt:variant>
      <vt:variant>
        <vt:lpwstr>http://www.ncbi.nlm.nih.gov/pubmed/19401723</vt:lpwstr>
      </vt:variant>
      <vt:variant>
        <vt:lpwstr/>
      </vt:variant>
      <vt:variant>
        <vt:i4>721002</vt:i4>
      </vt:variant>
      <vt:variant>
        <vt:i4>600</vt:i4>
      </vt:variant>
      <vt:variant>
        <vt:i4>0</vt:i4>
      </vt:variant>
      <vt:variant>
        <vt:i4>5</vt:i4>
      </vt:variant>
      <vt:variant>
        <vt:lpwstr>http://www.ncbi.nlm.nih.gov/pubmed?term=Heim%20C%5BAuthor%5D&amp;cauthor=true&amp;cauthor_uid=19401723</vt:lpwstr>
      </vt:variant>
      <vt:variant>
        <vt:lpwstr/>
      </vt:variant>
      <vt:variant>
        <vt:i4>5046379</vt:i4>
      </vt:variant>
      <vt:variant>
        <vt:i4>597</vt:i4>
      </vt:variant>
      <vt:variant>
        <vt:i4>0</vt:i4>
      </vt:variant>
      <vt:variant>
        <vt:i4>5</vt:i4>
      </vt:variant>
      <vt:variant>
        <vt:lpwstr>http://www.ncbi.nlm.nih.gov/pubmed?term=Gunnar%20MR%5BAuthor%5D&amp;cauthor=true&amp;cauthor_uid=19401723</vt:lpwstr>
      </vt:variant>
      <vt:variant>
        <vt:lpwstr/>
      </vt:variant>
      <vt:variant>
        <vt:i4>5308527</vt:i4>
      </vt:variant>
      <vt:variant>
        <vt:i4>594</vt:i4>
      </vt:variant>
      <vt:variant>
        <vt:i4>0</vt:i4>
      </vt:variant>
      <vt:variant>
        <vt:i4>5</vt:i4>
      </vt:variant>
      <vt:variant>
        <vt:lpwstr>http://www.ncbi.nlm.nih.gov/pubmed?term=McEwen%20BS%5BAuthor%5D&amp;cauthor=true&amp;cauthor_uid=19401723</vt:lpwstr>
      </vt:variant>
      <vt:variant>
        <vt:lpwstr/>
      </vt:variant>
      <vt:variant>
        <vt:i4>4718690</vt:i4>
      </vt:variant>
      <vt:variant>
        <vt:i4>591</vt:i4>
      </vt:variant>
      <vt:variant>
        <vt:i4>0</vt:i4>
      </vt:variant>
      <vt:variant>
        <vt:i4>5</vt:i4>
      </vt:variant>
      <vt:variant>
        <vt:lpwstr>http://www.ncbi.nlm.nih.gov/pubmed?term=Lupien%20SJ%5BAuthor%5D&amp;cauthor=true&amp;cauthor_uid=19401723</vt:lpwstr>
      </vt:variant>
      <vt:variant>
        <vt:lpwstr/>
      </vt:variant>
      <vt:variant>
        <vt:i4>852062</vt:i4>
      </vt:variant>
      <vt:variant>
        <vt:i4>588</vt:i4>
      </vt:variant>
      <vt:variant>
        <vt:i4>0</vt:i4>
      </vt:variant>
      <vt:variant>
        <vt:i4>5</vt:i4>
      </vt:variant>
      <vt:variant>
        <vt:lpwstr>http://www.ncbi.nlm.nih.gov/pubmed/?term=why+stress+is+bad+for+your+brain</vt:lpwstr>
      </vt:variant>
      <vt:variant>
        <vt:lpwstr/>
      </vt:variant>
      <vt:variant>
        <vt:i4>3604498</vt:i4>
      </vt:variant>
      <vt:variant>
        <vt:i4>585</vt:i4>
      </vt:variant>
      <vt:variant>
        <vt:i4>0</vt:i4>
      </vt:variant>
      <vt:variant>
        <vt:i4>5</vt:i4>
      </vt:variant>
      <vt:variant>
        <vt:lpwstr>http://www.ncbi.nlm.nih.gov/pubmed?term=Sapolsky%20RM%5BAuthor%5D&amp;cauthor=true&amp;cauthor_uid=8701325</vt:lpwstr>
      </vt:variant>
      <vt:variant>
        <vt:lpwstr/>
      </vt:variant>
      <vt:variant>
        <vt:i4>3211297</vt:i4>
      </vt:variant>
      <vt:variant>
        <vt:i4>582</vt:i4>
      </vt:variant>
      <vt:variant>
        <vt:i4>0</vt:i4>
      </vt:variant>
      <vt:variant>
        <vt:i4>5</vt:i4>
      </vt:variant>
      <vt:variant>
        <vt:lpwstr>http://www.ncbi.nlm.nih.gov/pubmed/11105644</vt:lpwstr>
      </vt:variant>
      <vt:variant>
        <vt:lpwstr/>
      </vt:variant>
      <vt:variant>
        <vt:i4>5439541</vt:i4>
      </vt:variant>
      <vt:variant>
        <vt:i4>579</vt:i4>
      </vt:variant>
      <vt:variant>
        <vt:i4>0</vt:i4>
      </vt:variant>
      <vt:variant>
        <vt:i4>5</vt:i4>
      </vt:variant>
      <vt:variant>
        <vt:lpwstr>http://www.ncbi.nlm.nih.gov/pubmed?term=Van%20Eden%20CG%5BAuthor%5D&amp;cauthor=true&amp;cauthor_uid=11105644</vt:lpwstr>
      </vt:variant>
      <vt:variant>
        <vt:lpwstr/>
      </vt:variant>
      <vt:variant>
        <vt:i4>3866689</vt:i4>
      </vt:variant>
      <vt:variant>
        <vt:i4>576</vt:i4>
      </vt:variant>
      <vt:variant>
        <vt:i4>0</vt:i4>
      </vt:variant>
      <vt:variant>
        <vt:i4>5</vt:i4>
      </vt:variant>
      <vt:variant>
        <vt:lpwstr>http://www.ncbi.nlm.nih.gov/pubmed?term=Buijs%20RM%5BAuthor%5D&amp;cauthor=true&amp;cauthor_uid=11105644</vt:lpwstr>
      </vt:variant>
      <vt:variant>
        <vt:lpwstr/>
      </vt:variant>
      <vt:variant>
        <vt:i4>3342371</vt:i4>
      </vt:variant>
      <vt:variant>
        <vt:i4>573</vt:i4>
      </vt:variant>
      <vt:variant>
        <vt:i4>0</vt:i4>
      </vt:variant>
      <vt:variant>
        <vt:i4>5</vt:i4>
      </vt:variant>
      <vt:variant>
        <vt:lpwstr>http://www.ncbi.nlm.nih.gov/pubmed/14596810</vt:lpwstr>
      </vt:variant>
      <vt:variant>
        <vt:lpwstr/>
      </vt:variant>
      <vt:variant>
        <vt:i4>2228248</vt:i4>
      </vt:variant>
      <vt:variant>
        <vt:i4>570</vt:i4>
      </vt:variant>
      <vt:variant>
        <vt:i4>0</vt:i4>
      </vt:variant>
      <vt:variant>
        <vt:i4>5</vt:i4>
      </vt:variant>
      <vt:variant>
        <vt:lpwstr>http://www.ncbi.nlm.nih.gov/pubmed?term=Cullinan%20WE%5BAuthor%5D&amp;cauthor=true&amp;cauthor_uid=14596810</vt:lpwstr>
      </vt:variant>
      <vt:variant>
        <vt:lpwstr/>
      </vt:variant>
      <vt:variant>
        <vt:i4>2686997</vt:i4>
      </vt:variant>
      <vt:variant>
        <vt:i4>567</vt:i4>
      </vt:variant>
      <vt:variant>
        <vt:i4>0</vt:i4>
      </vt:variant>
      <vt:variant>
        <vt:i4>5</vt:i4>
      </vt:variant>
      <vt:variant>
        <vt:lpwstr>http://www.ncbi.nlm.nih.gov/pubmed?term=Choi%20DC%5BAuthor%5D&amp;cauthor=true&amp;cauthor_uid=14596810</vt:lpwstr>
      </vt:variant>
      <vt:variant>
        <vt:lpwstr/>
      </vt:variant>
      <vt:variant>
        <vt:i4>2621512</vt:i4>
      </vt:variant>
      <vt:variant>
        <vt:i4>564</vt:i4>
      </vt:variant>
      <vt:variant>
        <vt:i4>0</vt:i4>
      </vt:variant>
      <vt:variant>
        <vt:i4>5</vt:i4>
      </vt:variant>
      <vt:variant>
        <vt:lpwstr>http://www.ncbi.nlm.nih.gov/pubmed?term=Ostrander%20MM%5BAuthor%5D&amp;cauthor=true&amp;cauthor_uid=14596810</vt:lpwstr>
      </vt:variant>
      <vt:variant>
        <vt:lpwstr/>
      </vt:variant>
      <vt:variant>
        <vt:i4>7929926</vt:i4>
      </vt:variant>
      <vt:variant>
        <vt:i4>561</vt:i4>
      </vt:variant>
      <vt:variant>
        <vt:i4>0</vt:i4>
      </vt:variant>
      <vt:variant>
        <vt:i4>5</vt:i4>
      </vt:variant>
      <vt:variant>
        <vt:lpwstr>http://www.ncbi.nlm.nih.gov/pubmed?term=Ulrich-Lai%20Y%5BAuthor%5D&amp;cauthor=true&amp;cauthor_uid=14596810</vt:lpwstr>
      </vt:variant>
      <vt:variant>
        <vt:lpwstr/>
      </vt:variant>
      <vt:variant>
        <vt:i4>5767217</vt:i4>
      </vt:variant>
      <vt:variant>
        <vt:i4>558</vt:i4>
      </vt:variant>
      <vt:variant>
        <vt:i4>0</vt:i4>
      </vt:variant>
      <vt:variant>
        <vt:i4>5</vt:i4>
      </vt:variant>
      <vt:variant>
        <vt:lpwstr>http://www.ncbi.nlm.nih.gov/pubmed?term=Mueller%20NK%5BAuthor%5D&amp;cauthor=true&amp;cauthor_uid=14596810</vt:lpwstr>
      </vt:variant>
      <vt:variant>
        <vt:lpwstr/>
      </vt:variant>
      <vt:variant>
        <vt:i4>8323100</vt:i4>
      </vt:variant>
      <vt:variant>
        <vt:i4>555</vt:i4>
      </vt:variant>
      <vt:variant>
        <vt:i4>0</vt:i4>
      </vt:variant>
      <vt:variant>
        <vt:i4>5</vt:i4>
      </vt:variant>
      <vt:variant>
        <vt:lpwstr>http://www.ncbi.nlm.nih.gov/pubmed?term=Figueiredo%20H%5BAuthor%5D&amp;cauthor=true&amp;cauthor_uid=14596810</vt:lpwstr>
      </vt:variant>
      <vt:variant>
        <vt:lpwstr/>
      </vt:variant>
      <vt:variant>
        <vt:i4>4194417</vt:i4>
      </vt:variant>
      <vt:variant>
        <vt:i4>552</vt:i4>
      </vt:variant>
      <vt:variant>
        <vt:i4>0</vt:i4>
      </vt:variant>
      <vt:variant>
        <vt:i4>5</vt:i4>
      </vt:variant>
      <vt:variant>
        <vt:lpwstr>http://www.ncbi.nlm.nih.gov/pubmed?term=Herman%20JP%5BAuthor%5D&amp;cauthor=true&amp;cauthor_uid=14596810</vt:lpwstr>
      </vt:variant>
      <vt:variant>
        <vt:lpwstr/>
      </vt:variant>
      <vt:variant>
        <vt:i4>7340155</vt:i4>
      </vt:variant>
      <vt:variant>
        <vt:i4>549</vt:i4>
      </vt:variant>
      <vt:variant>
        <vt:i4>0</vt:i4>
      </vt:variant>
      <vt:variant>
        <vt:i4>5</vt:i4>
      </vt:variant>
      <vt:variant>
        <vt:lpwstr>http://www.ncbi.nlm.nih.gov/pubmed?cmd=historysearch&amp;querykey=5</vt:lpwstr>
      </vt:variant>
      <vt:variant>
        <vt:lpwstr/>
      </vt:variant>
      <vt:variant>
        <vt:i4>5701739</vt:i4>
      </vt:variant>
      <vt:variant>
        <vt:i4>546</vt:i4>
      </vt:variant>
      <vt:variant>
        <vt:i4>0</vt:i4>
      </vt:variant>
      <vt:variant>
        <vt:i4>5</vt:i4>
      </vt:variant>
      <vt:variant>
        <vt:lpwstr>http://www.ncbi.nlm.nih.gov/pubmed?term=McEwen%20BS%5BAuthor%5D&amp;cauthor=true&amp;cauthor_uid=3527687</vt:lpwstr>
      </vt:variant>
      <vt:variant>
        <vt:lpwstr/>
      </vt:variant>
      <vt:variant>
        <vt:i4>2621464</vt:i4>
      </vt:variant>
      <vt:variant>
        <vt:i4>543</vt:i4>
      </vt:variant>
      <vt:variant>
        <vt:i4>0</vt:i4>
      </vt:variant>
      <vt:variant>
        <vt:i4>5</vt:i4>
      </vt:variant>
      <vt:variant>
        <vt:lpwstr>http://www.ncbi.nlm.nih.gov/pubmed?term=Krey%20LC%5BAuthor%5D&amp;cauthor=true&amp;cauthor_uid=3527687</vt:lpwstr>
      </vt:variant>
      <vt:variant>
        <vt:lpwstr/>
      </vt:variant>
      <vt:variant>
        <vt:i4>3735580</vt:i4>
      </vt:variant>
      <vt:variant>
        <vt:i4>540</vt:i4>
      </vt:variant>
      <vt:variant>
        <vt:i4>0</vt:i4>
      </vt:variant>
      <vt:variant>
        <vt:i4>5</vt:i4>
      </vt:variant>
      <vt:variant>
        <vt:lpwstr>http://www.ncbi.nlm.nih.gov/pubmed?term=Sapolsky%20RM%5BAuthor%5D&amp;cauthor=true&amp;cauthor_uid=3527687</vt:lpwstr>
      </vt:variant>
      <vt:variant>
        <vt:lpwstr/>
      </vt:variant>
      <vt:variant>
        <vt:i4>3538981</vt:i4>
      </vt:variant>
      <vt:variant>
        <vt:i4>537</vt:i4>
      </vt:variant>
      <vt:variant>
        <vt:i4>0</vt:i4>
      </vt:variant>
      <vt:variant>
        <vt:i4>5</vt:i4>
      </vt:variant>
      <vt:variant>
        <vt:lpwstr>http://www.ncbi.nlm.nih.gov/pubmed/20447770</vt:lpwstr>
      </vt:variant>
      <vt:variant>
        <vt:lpwstr/>
      </vt:variant>
      <vt:variant>
        <vt:i4>3735589</vt:i4>
      </vt:variant>
      <vt:variant>
        <vt:i4>534</vt:i4>
      </vt:variant>
      <vt:variant>
        <vt:i4>0</vt:i4>
      </vt:variant>
      <vt:variant>
        <vt:i4>5</vt:i4>
      </vt:variant>
      <vt:variant>
        <vt:lpwstr>http://www.ncbi.nlm.nih.gov/pubmed/21129038</vt:lpwstr>
      </vt:variant>
      <vt:variant>
        <vt:lpwstr/>
      </vt:variant>
      <vt:variant>
        <vt:i4>4063277</vt:i4>
      </vt:variant>
      <vt:variant>
        <vt:i4>531</vt:i4>
      </vt:variant>
      <vt:variant>
        <vt:i4>0</vt:i4>
      </vt:variant>
      <vt:variant>
        <vt:i4>5</vt:i4>
      </vt:variant>
      <vt:variant>
        <vt:lpwstr>http://www.ncbi.nlm.nih.gov/pubmed/19833145</vt:lpwstr>
      </vt:variant>
      <vt:variant>
        <vt:lpwstr/>
      </vt:variant>
      <vt:variant>
        <vt:i4>3407904</vt:i4>
      </vt:variant>
      <vt:variant>
        <vt:i4>528</vt:i4>
      </vt:variant>
      <vt:variant>
        <vt:i4>0</vt:i4>
      </vt:variant>
      <vt:variant>
        <vt:i4>5</vt:i4>
      </vt:variant>
      <vt:variant>
        <vt:lpwstr>http://www.ncbi.nlm.nih.gov/pubmed/10808656</vt:lpwstr>
      </vt:variant>
      <vt:variant>
        <vt:lpwstr/>
      </vt:variant>
      <vt:variant>
        <vt:i4>5963823</vt:i4>
      </vt:variant>
      <vt:variant>
        <vt:i4>525</vt:i4>
      </vt:variant>
      <vt:variant>
        <vt:i4>0</vt:i4>
      </vt:variant>
      <vt:variant>
        <vt:i4>5</vt:i4>
      </vt:variant>
      <vt:variant>
        <vt:lpwstr>http://www.ncbi.nlm.nih.gov/pubmed?term=Swanson%20NG%5BAuthor%5D&amp;cauthor=true&amp;cauthor_uid=10808656</vt:lpwstr>
      </vt:variant>
      <vt:variant>
        <vt:lpwstr/>
      </vt:variant>
      <vt:variant>
        <vt:i4>3211311</vt:i4>
      </vt:variant>
      <vt:variant>
        <vt:i4>522</vt:i4>
      </vt:variant>
      <vt:variant>
        <vt:i4>0</vt:i4>
      </vt:variant>
      <vt:variant>
        <vt:i4>5</vt:i4>
      </vt:variant>
      <vt:variant>
        <vt:lpwstr>http://www.ncbi.nlm.nih.gov/pubmed/10204967</vt:lpwstr>
      </vt:variant>
      <vt:variant>
        <vt:lpwstr/>
      </vt:variant>
      <vt:variant>
        <vt:i4>3801125</vt:i4>
      </vt:variant>
      <vt:variant>
        <vt:i4>519</vt:i4>
      </vt:variant>
      <vt:variant>
        <vt:i4>0</vt:i4>
      </vt:variant>
      <vt:variant>
        <vt:i4>5</vt:i4>
      </vt:variant>
      <vt:variant>
        <vt:lpwstr>http://www.ncbi.nlm.nih.gov/pubmed/19538960</vt:lpwstr>
      </vt:variant>
      <vt:variant>
        <vt:lpwstr/>
      </vt:variant>
      <vt:variant>
        <vt:i4>3407919</vt:i4>
      </vt:variant>
      <vt:variant>
        <vt:i4>516</vt:i4>
      </vt:variant>
      <vt:variant>
        <vt:i4>0</vt:i4>
      </vt:variant>
      <vt:variant>
        <vt:i4>5</vt:i4>
      </vt:variant>
      <vt:variant>
        <vt:lpwstr>http://www.ncbi.nlm.nih.gov/pubmed/15740829</vt:lpwstr>
      </vt:variant>
      <vt:variant>
        <vt:lpwstr/>
      </vt:variant>
      <vt:variant>
        <vt:i4>3407919</vt:i4>
      </vt:variant>
      <vt:variant>
        <vt:i4>513</vt:i4>
      </vt:variant>
      <vt:variant>
        <vt:i4>0</vt:i4>
      </vt:variant>
      <vt:variant>
        <vt:i4>5</vt:i4>
      </vt:variant>
      <vt:variant>
        <vt:lpwstr>http://www.ncbi.nlm.nih.gov/pubmed/15740829</vt:lpwstr>
      </vt:variant>
      <vt:variant>
        <vt:lpwstr/>
      </vt:variant>
      <vt:variant>
        <vt:i4>3473440</vt:i4>
      </vt:variant>
      <vt:variant>
        <vt:i4>510</vt:i4>
      </vt:variant>
      <vt:variant>
        <vt:i4>0</vt:i4>
      </vt:variant>
      <vt:variant>
        <vt:i4>5</vt:i4>
      </vt:variant>
      <vt:variant>
        <vt:lpwstr>http://www.ncbi.nlm.nih.gov/pubmed/19497676</vt:lpwstr>
      </vt:variant>
      <vt:variant>
        <vt:lpwstr/>
      </vt:variant>
      <vt:variant>
        <vt:i4>3473454</vt:i4>
      </vt:variant>
      <vt:variant>
        <vt:i4>507</vt:i4>
      </vt:variant>
      <vt:variant>
        <vt:i4>0</vt:i4>
      </vt:variant>
      <vt:variant>
        <vt:i4>5</vt:i4>
      </vt:variant>
      <vt:variant>
        <vt:lpwstr>http://www.ncbi.nlm.nih.gov/pubmed/19995885</vt:lpwstr>
      </vt:variant>
      <vt:variant>
        <vt:lpwstr/>
      </vt:variant>
      <vt:variant>
        <vt:i4>3670058</vt:i4>
      </vt:variant>
      <vt:variant>
        <vt:i4>504</vt:i4>
      </vt:variant>
      <vt:variant>
        <vt:i4>0</vt:i4>
      </vt:variant>
      <vt:variant>
        <vt:i4>5</vt:i4>
      </vt:variant>
      <vt:variant>
        <vt:lpwstr>http://www.ncbi.nlm.nih.gov/pubmed/19041187</vt:lpwstr>
      </vt:variant>
      <vt:variant>
        <vt:lpwstr/>
      </vt:variant>
      <vt:variant>
        <vt:i4>10289249</vt:i4>
      </vt:variant>
      <vt:variant>
        <vt:i4>501</vt:i4>
      </vt:variant>
      <vt:variant>
        <vt:i4>0</vt:i4>
      </vt:variant>
      <vt:variant>
        <vt:i4>5</vt:i4>
      </vt:variant>
      <vt:variant>
        <vt:lpwstr>http://www.ncbi.nlm.nih.gov/pubmed?term=Wüst%20S%5BAuthor%5D&amp;cauthor=true&amp;cauthor_uid=19041187</vt:lpwstr>
      </vt:variant>
      <vt:variant>
        <vt:lpwstr/>
      </vt:variant>
      <vt:variant>
        <vt:i4>5505151</vt:i4>
      </vt:variant>
      <vt:variant>
        <vt:i4>498</vt:i4>
      </vt:variant>
      <vt:variant>
        <vt:i4>0</vt:i4>
      </vt:variant>
      <vt:variant>
        <vt:i4>5</vt:i4>
      </vt:variant>
      <vt:variant>
        <vt:lpwstr>http://www.ncbi.nlm.nih.gov/pubmed?term=Hellhammer%20DH%5BAuthor%5D&amp;cauthor=true&amp;cauthor_uid=19041187</vt:lpwstr>
      </vt:variant>
      <vt:variant>
        <vt:lpwstr/>
      </vt:variant>
      <vt:variant>
        <vt:i4>3407903</vt:i4>
      </vt:variant>
      <vt:variant>
        <vt:i4>495</vt:i4>
      </vt:variant>
      <vt:variant>
        <vt:i4>0</vt:i4>
      </vt:variant>
      <vt:variant>
        <vt:i4>5</vt:i4>
      </vt:variant>
      <vt:variant>
        <vt:lpwstr>http://www.ncbi.nlm.nih.gov/pubmed?term=Kudielka%20BM%5BAuthor%5D&amp;cauthor=true&amp;cauthor_uid=19041187</vt:lpwstr>
      </vt:variant>
      <vt:variant>
        <vt:lpwstr/>
      </vt:variant>
      <vt:variant>
        <vt:i4>3997739</vt:i4>
      </vt:variant>
      <vt:variant>
        <vt:i4>492</vt:i4>
      </vt:variant>
      <vt:variant>
        <vt:i4>0</vt:i4>
      </vt:variant>
      <vt:variant>
        <vt:i4>5</vt:i4>
      </vt:variant>
      <vt:variant>
        <vt:lpwstr>http://www.ncbi.nlm.nih.gov/pubmed/19632788</vt:lpwstr>
      </vt:variant>
      <vt:variant>
        <vt:lpwstr/>
      </vt:variant>
      <vt:variant>
        <vt:i4>3538981</vt:i4>
      </vt:variant>
      <vt:variant>
        <vt:i4>489</vt:i4>
      </vt:variant>
      <vt:variant>
        <vt:i4>0</vt:i4>
      </vt:variant>
      <vt:variant>
        <vt:i4>5</vt:i4>
      </vt:variant>
      <vt:variant>
        <vt:lpwstr>http://www.ncbi.nlm.nih.gov/pubmed/20447770</vt:lpwstr>
      </vt:variant>
      <vt:variant>
        <vt:lpwstr/>
      </vt:variant>
      <vt:variant>
        <vt:i4>3735589</vt:i4>
      </vt:variant>
      <vt:variant>
        <vt:i4>486</vt:i4>
      </vt:variant>
      <vt:variant>
        <vt:i4>0</vt:i4>
      </vt:variant>
      <vt:variant>
        <vt:i4>5</vt:i4>
      </vt:variant>
      <vt:variant>
        <vt:lpwstr>http://www.ncbi.nlm.nih.gov/pubmed/21129038</vt:lpwstr>
      </vt:variant>
      <vt:variant>
        <vt:lpwstr/>
      </vt:variant>
      <vt:variant>
        <vt:i4>3145767</vt:i4>
      </vt:variant>
      <vt:variant>
        <vt:i4>483</vt:i4>
      </vt:variant>
      <vt:variant>
        <vt:i4>0</vt:i4>
      </vt:variant>
      <vt:variant>
        <vt:i4>5</vt:i4>
      </vt:variant>
      <vt:variant>
        <vt:lpwstr>http://www.ncbi.nlm.nih.gov/pubmed/7202017</vt:lpwstr>
      </vt:variant>
      <vt:variant>
        <vt:lpwstr/>
      </vt:variant>
      <vt:variant>
        <vt:i4>3342377</vt:i4>
      </vt:variant>
      <vt:variant>
        <vt:i4>480</vt:i4>
      </vt:variant>
      <vt:variant>
        <vt:i4>0</vt:i4>
      </vt:variant>
      <vt:variant>
        <vt:i4>5</vt:i4>
      </vt:variant>
      <vt:variant>
        <vt:lpwstr>http://www.ncbi.nlm.nih.gov/pubmed/10487717</vt:lpwstr>
      </vt:variant>
      <vt:variant>
        <vt:lpwstr/>
      </vt:variant>
      <vt:variant>
        <vt:i4>3604512</vt:i4>
      </vt:variant>
      <vt:variant>
        <vt:i4>477</vt:i4>
      </vt:variant>
      <vt:variant>
        <vt:i4>0</vt:i4>
      </vt:variant>
      <vt:variant>
        <vt:i4>5</vt:i4>
      </vt:variant>
      <vt:variant>
        <vt:lpwstr>http://www.ncbi.nlm.nih.gov/pubmed/10633536</vt:lpwstr>
      </vt:variant>
      <vt:variant>
        <vt:lpwstr/>
      </vt:variant>
      <vt:variant>
        <vt:i4>3866669</vt:i4>
      </vt:variant>
      <vt:variant>
        <vt:i4>474</vt:i4>
      </vt:variant>
      <vt:variant>
        <vt:i4>0</vt:i4>
      </vt:variant>
      <vt:variant>
        <vt:i4>5</vt:i4>
      </vt:variant>
      <vt:variant>
        <vt:lpwstr>http://www.ncbi.nlm.nih.gov/pubmed/11231993</vt:lpwstr>
      </vt:variant>
      <vt:variant>
        <vt:lpwstr/>
      </vt:variant>
      <vt:variant>
        <vt:i4>3932193</vt:i4>
      </vt:variant>
      <vt:variant>
        <vt:i4>471</vt:i4>
      </vt:variant>
      <vt:variant>
        <vt:i4>0</vt:i4>
      </vt:variant>
      <vt:variant>
        <vt:i4>5</vt:i4>
      </vt:variant>
      <vt:variant>
        <vt:lpwstr>http://www.ncbi.nlm.nih.gov/pubmed/16337291</vt:lpwstr>
      </vt:variant>
      <vt:variant>
        <vt:lpwstr/>
      </vt:variant>
      <vt:variant>
        <vt:i4>3276833</vt:i4>
      </vt:variant>
      <vt:variant>
        <vt:i4>468</vt:i4>
      </vt:variant>
      <vt:variant>
        <vt:i4>0</vt:i4>
      </vt:variant>
      <vt:variant>
        <vt:i4>5</vt:i4>
      </vt:variant>
      <vt:variant>
        <vt:lpwstr>http://www.ncbi.nlm.nih.gov/pubmed/16631247</vt:lpwstr>
      </vt:variant>
      <vt:variant>
        <vt:lpwstr/>
      </vt:variant>
      <vt:variant>
        <vt:i4>3932197</vt:i4>
      </vt:variant>
      <vt:variant>
        <vt:i4>465</vt:i4>
      </vt:variant>
      <vt:variant>
        <vt:i4>0</vt:i4>
      </vt:variant>
      <vt:variant>
        <vt:i4>5</vt:i4>
      </vt:variant>
      <vt:variant>
        <vt:lpwstr>http://www.ncbi.nlm.nih.gov/pubmed/16916429</vt:lpwstr>
      </vt:variant>
      <vt:variant>
        <vt:lpwstr/>
      </vt:variant>
      <vt:variant>
        <vt:i4>3145767</vt:i4>
      </vt:variant>
      <vt:variant>
        <vt:i4>462</vt:i4>
      </vt:variant>
      <vt:variant>
        <vt:i4>0</vt:i4>
      </vt:variant>
      <vt:variant>
        <vt:i4>5</vt:i4>
      </vt:variant>
      <vt:variant>
        <vt:lpwstr>http://www.ncbi.nlm.nih.gov/pubmed/17179195</vt:lpwstr>
      </vt:variant>
      <vt:variant>
        <vt:lpwstr/>
      </vt:variant>
      <vt:variant>
        <vt:i4>3538985</vt:i4>
      </vt:variant>
      <vt:variant>
        <vt:i4>459</vt:i4>
      </vt:variant>
      <vt:variant>
        <vt:i4>0</vt:i4>
      </vt:variant>
      <vt:variant>
        <vt:i4>5</vt:i4>
      </vt:variant>
      <vt:variant>
        <vt:lpwstr>http://www.ncbi.nlm.nih.gov/pubmed/17483007</vt:lpwstr>
      </vt:variant>
      <vt:variant>
        <vt:lpwstr/>
      </vt:variant>
      <vt:variant>
        <vt:i4>3538981</vt:i4>
      </vt:variant>
      <vt:variant>
        <vt:i4>456</vt:i4>
      </vt:variant>
      <vt:variant>
        <vt:i4>0</vt:i4>
      </vt:variant>
      <vt:variant>
        <vt:i4>5</vt:i4>
      </vt:variant>
      <vt:variant>
        <vt:lpwstr>http://www.ncbi.nlm.nih.gov/pubmed/18787373</vt:lpwstr>
      </vt:variant>
      <vt:variant>
        <vt:lpwstr/>
      </vt:variant>
      <vt:variant>
        <vt:i4>3932193</vt:i4>
      </vt:variant>
      <vt:variant>
        <vt:i4>453</vt:i4>
      </vt:variant>
      <vt:variant>
        <vt:i4>0</vt:i4>
      </vt:variant>
      <vt:variant>
        <vt:i4>5</vt:i4>
      </vt:variant>
      <vt:variant>
        <vt:lpwstr>http://www.ncbi.nlm.nih.gov/pubmed/19195792</vt:lpwstr>
      </vt:variant>
      <vt:variant>
        <vt:lpwstr/>
      </vt:variant>
      <vt:variant>
        <vt:i4>3604512</vt:i4>
      </vt:variant>
      <vt:variant>
        <vt:i4>450</vt:i4>
      </vt:variant>
      <vt:variant>
        <vt:i4>0</vt:i4>
      </vt:variant>
      <vt:variant>
        <vt:i4>5</vt:i4>
      </vt:variant>
      <vt:variant>
        <vt:lpwstr>http://www.ncbi.nlm.nih.gov/pubmed/10633536</vt:lpwstr>
      </vt:variant>
      <vt:variant>
        <vt:lpwstr/>
      </vt:variant>
      <vt:variant>
        <vt:i4>4063278</vt:i4>
      </vt:variant>
      <vt:variant>
        <vt:i4>447</vt:i4>
      </vt:variant>
      <vt:variant>
        <vt:i4>0</vt:i4>
      </vt:variant>
      <vt:variant>
        <vt:i4>5</vt:i4>
      </vt:variant>
      <vt:variant>
        <vt:lpwstr>http://www.ncbi.nlm.nih.gov/pubmed/11403981</vt:lpwstr>
      </vt:variant>
      <vt:variant>
        <vt:lpwstr/>
      </vt:variant>
      <vt:variant>
        <vt:i4>3407907</vt:i4>
      </vt:variant>
      <vt:variant>
        <vt:i4>444</vt:i4>
      </vt:variant>
      <vt:variant>
        <vt:i4>0</vt:i4>
      </vt:variant>
      <vt:variant>
        <vt:i4>5</vt:i4>
      </vt:variant>
      <vt:variant>
        <vt:lpwstr>http://www.ncbi.nlm.nih.gov/pubmed/15204030</vt:lpwstr>
      </vt:variant>
      <vt:variant>
        <vt:lpwstr/>
      </vt:variant>
      <vt:variant>
        <vt:i4>4259914</vt:i4>
      </vt:variant>
      <vt:variant>
        <vt:i4>441</vt:i4>
      </vt:variant>
      <vt:variant>
        <vt:i4>0</vt:i4>
      </vt:variant>
      <vt:variant>
        <vt:i4>5</vt:i4>
      </vt:variant>
      <vt:variant>
        <vt:lpwstr>http://www.ncbi.nlm.nih.gov/pubmed?cmd=historysearch&amp;querykey=11</vt:lpwstr>
      </vt:variant>
      <vt:variant>
        <vt:lpwstr/>
      </vt:variant>
      <vt:variant>
        <vt:i4>7274561</vt:i4>
      </vt:variant>
      <vt:variant>
        <vt:i4>438</vt:i4>
      </vt:variant>
      <vt:variant>
        <vt:i4>0</vt:i4>
      </vt:variant>
      <vt:variant>
        <vt:i4>5</vt:i4>
      </vt:variant>
      <vt:variant>
        <vt:lpwstr>http://www.ncbi.nlm.nih.gov/pubmed?term=Brandenberger%20G%5BAuthor%5D&amp;cauthor=true&amp;cauthor_uid=8928766</vt:lpwstr>
      </vt:variant>
      <vt:variant>
        <vt:lpwstr/>
      </vt:variant>
      <vt:variant>
        <vt:i4>1114167</vt:i4>
      </vt:variant>
      <vt:variant>
        <vt:i4>435</vt:i4>
      </vt:variant>
      <vt:variant>
        <vt:i4>0</vt:i4>
      </vt:variant>
      <vt:variant>
        <vt:i4>5</vt:i4>
      </vt:variant>
      <vt:variant>
        <vt:lpwstr>http://www.ncbi.nlm.nih.gov/pubmed?term=Ehrhart%20J%5BAuthor%5D&amp;cauthor=true&amp;cauthor_uid=8928766</vt:lpwstr>
      </vt:variant>
      <vt:variant>
        <vt:lpwstr/>
      </vt:variant>
      <vt:variant>
        <vt:i4>8060999</vt:i4>
      </vt:variant>
      <vt:variant>
        <vt:i4>432</vt:i4>
      </vt:variant>
      <vt:variant>
        <vt:i4>0</vt:i4>
      </vt:variant>
      <vt:variant>
        <vt:i4>5</vt:i4>
      </vt:variant>
      <vt:variant>
        <vt:lpwstr>http://www.ncbi.nlm.nih.gov/pubmed?term=Follenius%20M%5BAuthor%5D&amp;cauthor=true&amp;cauthor_uid=8928766</vt:lpwstr>
      </vt:variant>
      <vt:variant>
        <vt:lpwstr/>
      </vt:variant>
      <vt:variant>
        <vt:i4>1245221</vt:i4>
      </vt:variant>
      <vt:variant>
        <vt:i4>429</vt:i4>
      </vt:variant>
      <vt:variant>
        <vt:i4>0</vt:i4>
      </vt:variant>
      <vt:variant>
        <vt:i4>5</vt:i4>
      </vt:variant>
      <vt:variant>
        <vt:lpwstr>http://www.ncbi.nlm.nih.gov/pubmed?term=Spiegel%20K%5BAuthor%5D&amp;cauthor=true&amp;cauthor_uid=8928766</vt:lpwstr>
      </vt:variant>
      <vt:variant>
        <vt:lpwstr/>
      </vt:variant>
      <vt:variant>
        <vt:i4>6094891</vt:i4>
      </vt:variant>
      <vt:variant>
        <vt:i4>426</vt:i4>
      </vt:variant>
      <vt:variant>
        <vt:i4>0</vt:i4>
      </vt:variant>
      <vt:variant>
        <vt:i4>5</vt:i4>
      </vt:variant>
      <vt:variant>
        <vt:lpwstr>http://www.ncbi.nlm.nih.gov/pubmed?term=Weibel%20L%5BAuthor%5D&amp;cauthor=true&amp;cauthor_uid=8928766</vt:lpwstr>
      </vt:variant>
      <vt:variant>
        <vt:lpwstr/>
      </vt:variant>
      <vt:variant>
        <vt:i4>5111900</vt:i4>
      </vt:variant>
      <vt:variant>
        <vt:i4>423</vt:i4>
      </vt:variant>
      <vt:variant>
        <vt:i4>0</vt:i4>
      </vt:variant>
      <vt:variant>
        <vt:i4>5</vt:i4>
      </vt:variant>
      <vt:variant>
        <vt:lpwstr>http://www.ncbi.nlm.nih.gov/pubmed/?term=Salivary+cortisol+in+psychoneuroendocrine+research%3A+recent+developments+and+applications.</vt:lpwstr>
      </vt:variant>
      <vt:variant>
        <vt:lpwstr/>
      </vt:variant>
      <vt:variant>
        <vt:i4>5308535</vt:i4>
      </vt:variant>
      <vt:variant>
        <vt:i4>420</vt:i4>
      </vt:variant>
      <vt:variant>
        <vt:i4>0</vt:i4>
      </vt:variant>
      <vt:variant>
        <vt:i4>5</vt:i4>
      </vt:variant>
      <vt:variant>
        <vt:lpwstr>http://www.ncbi.nlm.nih.gov/pubmed?term=Hellhammer%20DH%5BAuthor%5D&amp;cauthor=true&amp;cauthor_uid=8047637</vt:lpwstr>
      </vt:variant>
      <vt:variant>
        <vt:lpwstr/>
      </vt:variant>
      <vt:variant>
        <vt:i4>4456506</vt:i4>
      </vt:variant>
      <vt:variant>
        <vt:i4>417</vt:i4>
      </vt:variant>
      <vt:variant>
        <vt:i4>0</vt:i4>
      </vt:variant>
      <vt:variant>
        <vt:i4>5</vt:i4>
      </vt:variant>
      <vt:variant>
        <vt:lpwstr>http://www.ncbi.nlm.nih.gov/pubmed?term=Kirschbaum%20C%5BAuthor%5D&amp;cauthor=true&amp;cauthor_uid=8047637</vt:lpwstr>
      </vt:variant>
      <vt:variant>
        <vt:lpwstr/>
      </vt:variant>
      <vt:variant>
        <vt:i4>3407908</vt:i4>
      </vt:variant>
      <vt:variant>
        <vt:i4>414</vt:i4>
      </vt:variant>
      <vt:variant>
        <vt:i4>0</vt:i4>
      </vt:variant>
      <vt:variant>
        <vt:i4>5</vt:i4>
      </vt:variant>
      <vt:variant>
        <vt:lpwstr>http://www.ncbi.nlm.nih.gov/pubmed/17055006</vt:lpwstr>
      </vt:variant>
      <vt:variant>
        <vt:lpwstr/>
      </vt:variant>
      <vt:variant>
        <vt:i4>7340155</vt:i4>
      </vt:variant>
      <vt:variant>
        <vt:i4>411</vt:i4>
      </vt:variant>
      <vt:variant>
        <vt:i4>0</vt:i4>
      </vt:variant>
      <vt:variant>
        <vt:i4>5</vt:i4>
      </vt:variant>
      <vt:variant>
        <vt:lpwstr>http://www.ncbi.nlm.nih.gov/pubmed?cmd=historysearch&amp;querykey=7</vt:lpwstr>
      </vt:variant>
      <vt:variant>
        <vt:lpwstr/>
      </vt:variant>
      <vt:variant>
        <vt:i4>5308535</vt:i4>
      </vt:variant>
      <vt:variant>
        <vt:i4>408</vt:i4>
      </vt:variant>
      <vt:variant>
        <vt:i4>0</vt:i4>
      </vt:variant>
      <vt:variant>
        <vt:i4>5</vt:i4>
      </vt:variant>
      <vt:variant>
        <vt:lpwstr>http://www.ncbi.nlm.nih.gov/pubmed?term=Hellhammer%20DH%5BAuthor%5D&amp;cauthor=true&amp;cauthor_uid=8047637</vt:lpwstr>
      </vt:variant>
      <vt:variant>
        <vt:lpwstr/>
      </vt:variant>
      <vt:variant>
        <vt:i4>4456506</vt:i4>
      </vt:variant>
      <vt:variant>
        <vt:i4>405</vt:i4>
      </vt:variant>
      <vt:variant>
        <vt:i4>0</vt:i4>
      </vt:variant>
      <vt:variant>
        <vt:i4>5</vt:i4>
      </vt:variant>
      <vt:variant>
        <vt:lpwstr>http://www.ncbi.nlm.nih.gov/pubmed?term=Kirschbaum%20C%5BAuthor%5D&amp;cauthor=true&amp;cauthor_uid=8047637</vt:lpwstr>
      </vt:variant>
      <vt:variant>
        <vt:lpwstr/>
      </vt:variant>
      <vt:variant>
        <vt:i4>3604519</vt:i4>
      </vt:variant>
      <vt:variant>
        <vt:i4>402</vt:i4>
      </vt:variant>
      <vt:variant>
        <vt:i4>0</vt:i4>
      </vt:variant>
      <vt:variant>
        <vt:i4>5</vt:i4>
      </vt:variant>
      <vt:variant>
        <vt:lpwstr>http://www.ncbi.nlm.nih.gov/pubmed/20134204</vt:lpwstr>
      </vt:variant>
      <vt:variant>
        <vt:lpwstr/>
      </vt:variant>
      <vt:variant>
        <vt:i4>4128804</vt:i4>
      </vt:variant>
      <vt:variant>
        <vt:i4>399</vt:i4>
      </vt:variant>
      <vt:variant>
        <vt:i4>0</vt:i4>
      </vt:variant>
      <vt:variant>
        <vt:i4>5</vt:i4>
      </vt:variant>
      <vt:variant>
        <vt:lpwstr>http://www.ncbi.nlm.nih.gov/pubmed/17853059</vt:lpwstr>
      </vt:variant>
      <vt:variant>
        <vt:lpwstr/>
      </vt:variant>
      <vt:variant>
        <vt:i4>3407913</vt:i4>
      </vt:variant>
      <vt:variant>
        <vt:i4>396</vt:i4>
      </vt:variant>
      <vt:variant>
        <vt:i4>0</vt:i4>
      </vt:variant>
      <vt:variant>
        <vt:i4>5</vt:i4>
      </vt:variant>
      <vt:variant>
        <vt:lpwstr>http://www.ncbi.nlm.nih.gov/pubmed/12651822</vt:lpwstr>
      </vt:variant>
      <vt:variant>
        <vt:lpwstr/>
      </vt:variant>
      <vt:variant>
        <vt:i4>3145766</vt:i4>
      </vt:variant>
      <vt:variant>
        <vt:i4>393</vt:i4>
      </vt:variant>
      <vt:variant>
        <vt:i4>0</vt:i4>
      </vt:variant>
      <vt:variant>
        <vt:i4>5</vt:i4>
      </vt:variant>
      <vt:variant>
        <vt:lpwstr>http://www.ncbi.nlm.nih.gov/pubmed/11087962</vt:lpwstr>
      </vt:variant>
      <vt:variant>
        <vt:lpwstr/>
      </vt:variant>
      <vt:variant>
        <vt:i4>3145774</vt:i4>
      </vt:variant>
      <vt:variant>
        <vt:i4>390</vt:i4>
      </vt:variant>
      <vt:variant>
        <vt:i4>0</vt:i4>
      </vt:variant>
      <vt:variant>
        <vt:i4>5</vt:i4>
      </vt:variant>
      <vt:variant>
        <vt:lpwstr>http://www.ncbi.nlm.nih.gov/pubmed/12097361</vt:lpwstr>
      </vt:variant>
      <vt:variant>
        <vt:lpwstr/>
      </vt:variant>
      <vt:variant>
        <vt:i4>5636132</vt:i4>
      </vt:variant>
      <vt:variant>
        <vt:i4>387</vt:i4>
      </vt:variant>
      <vt:variant>
        <vt:i4>0</vt:i4>
      </vt:variant>
      <vt:variant>
        <vt:i4>5</vt:i4>
      </vt:variant>
      <vt:variant>
        <vt:lpwstr>http://www.ncbi.nlm.nih.gov/pubmed?term=Lamster%20IB%5BAuthor%5D&amp;cauthor=true&amp;cauthor_uid=12097361</vt:lpwstr>
      </vt:variant>
      <vt:variant>
        <vt:lpwstr/>
      </vt:variant>
      <vt:variant>
        <vt:i4>917544</vt:i4>
      </vt:variant>
      <vt:variant>
        <vt:i4>384</vt:i4>
      </vt:variant>
      <vt:variant>
        <vt:i4>0</vt:i4>
      </vt:variant>
      <vt:variant>
        <vt:i4>5</vt:i4>
      </vt:variant>
      <vt:variant>
        <vt:lpwstr>http://www.ncbi.nlm.nih.gov/pubmed?term=Kaufman%20E%5BAuthor%5D&amp;cauthor=true&amp;cauthor_uid=12097361</vt:lpwstr>
      </vt:variant>
      <vt:variant>
        <vt:lpwstr/>
      </vt:variant>
      <vt:variant>
        <vt:i4>3538990</vt:i4>
      </vt:variant>
      <vt:variant>
        <vt:i4>381</vt:i4>
      </vt:variant>
      <vt:variant>
        <vt:i4>0</vt:i4>
      </vt:variant>
      <vt:variant>
        <vt:i4>5</vt:i4>
      </vt:variant>
      <vt:variant>
        <vt:lpwstr>http://www.ncbi.nlm.nih.gov/pubmed/22323845</vt:lpwstr>
      </vt:variant>
      <vt:variant>
        <vt:lpwstr/>
      </vt:variant>
      <vt:variant>
        <vt:i4>3211301</vt:i4>
      </vt:variant>
      <vt:variant>
        <vt:i4>378</vt:i4>
      </vt:variant>
      <vt:variant>
        <vt:i4>0</vt:i4>
      </vt:variant>
      <vt:variant>
        <vt:i4>5</vt:i4>
      </vt:variant>
      <vt:variant>
        <vt:lpwstr>http://www.ncbi.nlm.nih.gov/pubmed/19095358</vt:lpwstr>
      </vt:variant>
      <vt:variant>
        <vt:lpwstr/>
      </vt:variant>
      <vt:variant>
        <vt:i4>3211301</vt:i4>
      </vt:variant>
      <vt:variant>
        <vt:i4>375</vt:i4>
      </vt:variant>
      <vt:variant>
        <vt:i4>0</vt:i4>
      </vt:variant>
      <vt:variant>
        <vt:i4>5</vt:i4>
      </vt:variant>
      <vt:variant>
        <vt:lpwstr>http://www.ncbi.nlm.nih.gov/pubmed/19095358</vt:lpwstr>
      </vt:variant>
      <vt:variant>
        <vt:lpwstr/>
      </vt:variant>
      <vt:variant>
        <vt:i4>3604520</vt:i4>
      </vt:variant>
      <vt:variant>
        <vt:i4>372</vt:i4>
      </vt:variant>
      <vt:variant>
        <vt:i4>0</vt:i4>
      </vt:variant>
      <vt:variant>
        <vt:i4>5</vt:i4>
      </vt:variant>
      <vt:variant>
        <vt:lpwstr>http://www.ncbi.nlm.nih.gov/pubmed/19647372</vt:lpwstr>
      </vt:variant>
      <vt:variant>
        <vt:lpwstr/>
      </vt:variant>
      <vt:variant>
        <vt:i4>7405598</vt:i4>
      </vt:variant>
      <vt:variant>
        <vt:i4>369</vt:i4>
      </vt:variant>
      <vt:variant>
        <vt:i4>0</vt:i4>
      </vt:variant>
      <vt:variant>
        <vt:i4>5</vt:i4>
      </vt:variant>
      <vt:variant>
        <vt:lpwstr>http://www.ncbi.nlm.nih.gov/pubmed?term=Kumari%20M%5BAuthor%5D&amp;cauthor=true&amp;cauthor_uid=19647372</vt:lpwstr>
      </vt:variant>
      <vt:variant>
        <vt:lpwstr/>
      </vt:variant>
      <vt:variant>
        <vt:i4>2359322</vt:i4>
      </vt:variant>
      <vt:variant>
        <vt:i4>366</vt:i4>
      </vt:variant>
      <vt:variant>
        <vt:i4>0</vt:i4>
      </vt:variant>
      <vt:variant>
        <vt:i4>5</vt:i4>
      </vt:variant>
      <vt:variant>
        <vt:lpwstr>http://www.ncbi.nlm.nih.gov/pubmed?term=Adam%20EK%5BAuthor%5D&amp;cauthor=true&amp;cauthor_uid=19647372</vt:lpwstr>
      </vt:variant>
      <vt:variant>
        <vt:lpwstr/>
      </vt:variant>
      <vt:variant>
        <vt:i4>3538981</vt:i4>
      </vt:variant>
      <vt:variant>
        <vt:i4>363</vt:i4>
      </vt:variant>
      <vt:variant>
        <vt:i4>0</vt:i4>
      </vt:variant>
      <vt:variant>
        <vt:i4>5</vt:i4>
      </vt:variant>
      <vt:variant>
        <vt:lpwstr>http://www.ncbi.nlm.nih.gov/pubmed/13092959</vt:lpwstr>
      </vt:variant>
      <vt:variant>
        <vt:lpwstr/>
      </vt:variant>
      <vt:variant>
        <vt:i4>4194377</vt:i4>
      </vt:variant>
      <vt:variant>
        <vt:i4>360</vt:i4>
      </vt:variant>
      <vt:variant>
        <vt:i4>0</vt:i4>
      </vt:variant>
      <vt:variant>
        <vt:i4>5</vt:i4>
      </vt:variant>
      <vt:variant>
        <vt:lpwstr>http://www.ncbi.nlm.nih.gov/pubmed?cmd=historysearch&amp;querykey=20</vt:lpwstr>
      </vt:variant>
      <vt:variant>
        <vt:lpwstr/>
      </vt:variant>
      <vt:variant>
        <vt:i4>6029428</vt:i4>
      </vt:variant>
      <vt:variant>
        <vt:i4>357</vt:i4>
      </vt:variant>
      <vt:variant>
        <vt:i4>0</vt:i4>
      </vt:variant>
      <vt:variant>
        <vt:i4>5</vt:i4>
      </vt:variant>
      <vt:variant>
        <vt:lpwstr>http://www.ncbi.nlm.nih.gov/pubmed?term=Hellhammer%20DH%5BAuthor%5D&amp;cauthor=true&amp;cauthor_uid=2485862</vt:lpwstr>
      </vt:variant>
      <vt:variant>
        <vt:lpwstr/>
      </vt:variant>
      <vt:variant>
        <vt:i4>4653106</vt:i4>
      </vt:variant>
      <vt:variant>
        <vt:i4>354</vt:i4>
      </vt:variant>
      <vt:variant>
        <vt:i4>0</vt:i4>
      </vt:variant>
      <vt:variant>
        <vt:i4>5</vt:i4>
      </vt:variant>
      <vt:variant>
        <vt:lpwstr>http://www.ncbi.nlm.nih.gov/pubmed?term=Kirschbaum%20C%5BAuthor%5D&amp;cauthor=true&amp;cauthor_uid=2485862</vt:lpwstr>
      </vt:variant>
      <vt:variant>
        <vt:lpwstr/>
      </vt:variant>
      <vt:variant>
        <vt:i4>4653130</vt:i4>
      </vt:variant>
      <vt:variant>
        <vt:i4>351</vt:i4>
      </vt:variant>
      <vt:variant>
        <vt:i4>0</vt:i4>
      </vt:variant>
      <vt:variant>
        <vt:i4>5</vt:i4>
      </vt:variant>
      <vt:variant>
        <vt:lpwstr>http://www.ncbi.nlm.nih.gov/pubmed?cmd=historysearch&amp;querykey=17</vt:lpwstr>
      </vt:variant>
      <vt:variant>
        <vt:lpwstr/>
      </vt:variant>
      <vt:variant>
        <vt:i4>7929856</vt:i4>
      </vt:variant>
      <vt:variant>
        <vt:i4>348</vt:i4>
      </vt:variant>
      <vt:variant>
        <vt:i4>0</vt:i4>
      </vt:variant>
      <vt:variant>
        <vt:i4>5</vt:i4>
      </vt:variant>
      <vt:variant>
        <vt:lpwstr>http://www.ncbi.nlm.nih.gov/pubmed?term=PINCUS%20G%5BAuthor%5D&amp;cauthor=true&amp;cauthor_uid=13092959</vt:lpwstr>
      </vt:variant>
      <vt:variant>
        <vt:lpwstr/>
      </vt:variant>
      <vt:variant>
        <vt:i4>7667777</vt:i4>
      </vt:variant>
      <vt:variant>
        <vt:i4>345</vt:i4>
      </vt:variant>
      <vt:variant>
        <vt:i4>0</vt:i4>
      </vt:variant>
      <vt:variant>
        <vt:i4>5</vt:i4>
      </vt:variant>
      <vt:variant>
        <vt:lpwstr>http://www.ncbi.nlm.nih.gov/pubmed?term=ZAFFARONI%20A%5BAuthor%5D&amp;cauthor=true&amp;cauthor_uid=13092959</vt:lpwstr>
      </vt:variant>
      <vt:variant>
        <vt:lpwstr/>
      </vt:variant>
      <vt:variant>
        <vt:i4>4325437</vt:i4>
      </vt:variant>
      <vt:variant>
        <vt:i4>342</vt:i4>
      </vt:variant>
      <vt:variant>
        <vt:i4>0</vt:i4>
      </vt:variant>
      <vt:variant>
        <vt:i4>5</vt:i4>
      </vt:variant>
      <vt:variant>
        <vt:lpwstr>http://www.ncbi.nlm.nih.gov/pubmed?term=SOLOMON%20MM%5BAuthor%5D&amp;cauthor=true&amp;cauthor_uid=13092959</vt:lpwstr>
      </vt:variant>
      <vt:variant>
        <vt:lpwstr/>
      </vt:variant>
      <vt:variant>
        <vt:i4>393273</vt:i4>
      </vt:variant>
      <vt:variant>
        <vt:i4>339</vt:i4>
      </vt:variant>
      <vt:variant>
        <vt:i4>0</vt:i4>
      </vt:variant>
      <vt:variant>
        <vt:i4>5</vt:i4>
      </vt:variant>
      <vt:variant>
        <vt:lpwstr>http://www.ncbi.nlm.nih.gov/pubmed?term=HECHTER%20O%5BAuthor%5D&amp;cauthor=true&amp;cauthor_uid=13092959</vt:lpwstr>
      </vt:variant>
      <vt:variant>
        <vt:lpwstr/>
      </vt:variant>
      <vt:variant>
        <vt:i4>3211298</vt:i4>
      </vt:variant>
      <vt:variant>
        <vt:i4>336</vt:i4>
      </vt:variant>
      <vt:variant>
        <vt:i4>0</vt:i4>
      </vt:variant>
      <vt:variant>
        <vt:i4>5</vt:i4>
      </vt:variant>
      <vt:variant>
        <vt:lpwstr>http://www.ncbi.nlm.nih.gov/pubmed/22450375</vt:lpwstr>
      </vt:variant>
      <vt:variant>
        <vt:lpwstr/>
      </vt:variant>
      <vt:variant>
        <vt:i4>6422597</vt:i4>
      </vt:variant>
      <vt:variant>
        <vt:i4>333</vt:i4>
      </vt:variant>
      <vt:variant>
        <vt:i4>0</vt:i4>
      </vt:variant>
      <vt:variant>
        <vt:i4>5</vt:i4>
      </vt:variant>
      <vt:variant>
        <vt:lpwstr>http://www.ncbi.nlm.nih.gov/pubmed?term=Myers%20B%5BAuthor%5D&amp;cauthor=true&amp;cauthor_uid=22450375</vt:lpwstr>
      </vt:variant>
      <vt:variant>
        <vt:lpwstr/>
      </vt:variant>
      <vt:variant>
        <vt:i4>6815816</vt:i4>
      </vt:variant>
      <vt:variant>
        <vt:i4>330</vt:i4>
      </vt:variant>
      <vt:variant>
        <vt:i4>0</vt:i4>
      </vt:variant>
      <vt:variant>
        <vt:i4>5</vt:i4>
      </vt:variant>
      <vt:variant>
        <vt:lpwstr>http://www.ncbi.nlm.nih.gov/pubmed?term=Carvalho-Netto%20E%5BAuthor%5D&amp;cauthor=true&amp;cauthor_uid=22450375</vt:lpwstr>
      </vt:variant>
      <vt:variant>
        <vt:lpwstr/>
      </vt:variant>
      <vt:variant>
        <vt:i4>4587578</vt:i4>
      </vt:variant>
      <vt:variant>
        <vt:i4>327</vt:i4>
      </vt:variant>
      <vt:variant>
        <vt:i4>0</vt:i4>
      </vt:variant>
      <vt:variant>
        <vt:i4>5</vt:i4>
      </vt:variant>
      <vt:variant>
        <vt:lpwstr>http://www.ncbi.nlm.nih.gov/pubmed?term=Solomon%20MB%5BAuthor%5D&amp;cauthor=true&amp;cauthor_uid=22450375</vt:lpwstr>
      </vt:variant>
      <vt:variant>
        <vt:lpwstr/>
      </vt:variant>
      <vt:variant>
        <vt:i4>2097155</vt:i4>
      </vt:variant>
      <vt:variant>
        <vt:i4>324</vt:i4>
      </vt:variant>
      <vt:variant>
        <vt:i4>0</vt:i4>
      </vt:variant>
      <vt:variant>
        <vt:i4>5</vt:i4>
      </vt:variant>
      <vt:variant>
        <vt:lpwstr>http://www.ncbi.nlm.nih.gov/pubmed?term=McKlveen%20JM%5BAuthor%5D&amp;cauthor=true&amp;cauthor_uid=22450375</vt:lpwstr>
      </vt:variant>
      <vt:variant>
        <vt:lpwstr/>
      </vt:variant>
      <vt:variant>
        <vt:i4>4325488</vt:i4>
      </vt:variant>
      <vt:variant>
        <vt:i4>321</vt:i4>
      </vt:variant>
      <vt:variant>
        <vt:i4>0</vt:i4>
      </vt:variant>
      <vt:variant>
        <vt:i4>5</vt:i4>
      </vt:variant>
      <vt:variant>
        <vt:lpwstr>http://www.ncbi.nlm.nih.gov/pubmed?term=Herman%20JP%5BAuthor%5D&amp;cauthor=true&amp;cauthor_uid=22450375</vt:lpwstr>
      </vt:variant>
      <vt:variant>
        <vt:lpwstr/>
      </vt:variant>
      <vt:variant>
        <vt:i4>7340155</vt:i4>
      </vt:variant>
      <vt:variant>
        <vt:i4>318</vt:i4>
      </vt:variant>
      <vt:variant>
        <vt:i4>0</vt:i4>
      </vt:variant>
      <vt:variant>
        <vt:i4>5</vt:i4>
      </vt:variant>
      <vt:variant>
        <vt:lpwstr>http://www.ncbi.nlm.nih.gov/pubmed?cmd=historysearch&amp;querykey=5</vt:lpwstr>
      </vt:variant>
      <vt:variant>
        <vt:lpwstr/>
      </vt:variant>
      <vt:variant>
        <vt:i4>5701739</vt:i4>
      </vt:variant>
      <vt:variant>
        <vt:i4>315</vt:i4>
      </vt:variant>
      <vt:variant>
        <vt:i4>0</vt:i4>
      </vt:variant>
      <vt:variant>
        <vt:i4>5</vt:i4>
      </vt:variant>
      <vt:variant>
        <vt:lpwstr>http://www.ncbi.nlm.nih.gov/pubmed?term=McEwen%20BS%5BAuthor%5D&amp;cauthor=true&amp;cauthor_uid=3527687</vt:lpwstr>
      </vt:variant>
      <vt:variant>
        <vt:lpwstr/>
      </vt:variant>
      <vt:variant>
        <vt:i4>2621464</vt:i4>
      </vt:variant>
      <vt:variant>
        <vt:i4>312</vt:i4>
      </vt:variant>
      <vt:variant>
        <vt:i4>0</vt:i4>
      </vt:variant>
      <vt:variant>
        <vt:i4>5</vt:i4>
      </vt:variant>
      <vt:variant>
        <vt:lpwstr>http://www.ncbi.nlm.nih.gov/pubmed?term=Krey%20LC%5BAuthor%5D&amp;cauthor=true&amp;cauthor_uid=3527687</vt:lpwstr>
      </vt:variant>
      <vt:variant>
        <vt:lpwstr/>
      </vt:variant>
      <vt:variant>
        <vt:i4>3735580</vt:i4>
      </vt:variant>
      <vt:variant>
        <vt:i4>309</vt:i4>
      </vt:variant>
      <vt:variant>
        <vt:i4>0</vt:i4>
      </vt:variant>
      <vt:variant>
        <vt:i4>5</vt:i4>
      </vt:variant>
      <vt:variant>
        <vt:lpwstr>http://www.ncbi.nlm.nih.gov/pubmed?term=Sapolsky%20RM%5BAuthor%5D&amp;cauthor=true&amp;cauthor_uid=3527687</vt:lpwstr>
      </vt:variant>
      <vt:variant>
        <vt:lpwstr/>
      </vt:variant>
      <vt:variant>
        <vt:i4>3145807</vt:i4>
      </vt:variant>
      <vt:variant>
        <vt:i4>306</vt:i4>
      </vt:variant>
      <vt:variant>
        <vt:i4>0</vt:i4>
      </vt:variant>
      <vt:variant>
        <vt:i4>5</vt:i4>
      </vt:variant>
      <vt:variant>
        <vt:lpwstr>http://www.ncbi.nlm.nih.gov/pubmed?term=Baram%20TZ%5BAuthor%5D&amp;cauthor=true&amp;cauthor_uid=19339973</vt:lpwstr>
      </vt:variant>
      <vt:variant>
        <vt:lpwstr/>
      </vt:variant>
      <vt:variant>
        <vt:i4>6750404</vt:i4>
      </vt:variant>
      <vt:variant>
        <vt:i4>303</vt:i4>
      </vt:variant>
      <vt:variant>
        <vt:i4>0</vt:i4>
      </vt:variant>
      <vt:variant>
        <vt:i4>5</vt:i4>
      </vt:variant>
      <vt:variant>
        <vt:lpwstr>http://www.ncbi.nlm.nih.gov/pubmed?term=Joëls%20M%5BAuthor%5D&amp;cauthor=true&amp;cauthor_uid=19339973</vt:lpwstr>
      </vt:variant>
      <vt:variant>
        <vt:lpwstr/>
      </vt:variant>
      <vt:variant>
        <vt:i4>4063273</vt:i4>
      </vt:variant>
      <vt:variant>
        <vt:i4>300</vt:i4>
      </vt:variant>
      <vt:variant>
        <vt:i4>0</vt:i4>
      </vt:variant>
      <vt:variant>
        <vt:i4>5</vt:i4>
      </vt:variant>
      <vt:variant>
        <vt:lpwstr>http://www.ncbi.nlm.nih.gov/pubmed/19469025</vt:lpwstr>
      </vt:variant>
      <vt:variant>
        <vt:lpwstr/>
      </vt:variant>
      <vt:variant>
        <vt:i4>5046395</vt:i4>
      </vt:variant>
      <vt:variant>
        <vt:i4>297</vt:i4>
      </vt:variant>
      <vt:variant>
        <vt:i4>0</vt:i4>
      </vt:variant>
      <vt:variant>
        <vt:i4>5</vt:i4>
      </vt:variant>
      <vt:variant>
        <vt:lpwstr>http://www.ncbi.nlm.nih.gov/pubmed?term=Herman%20JP%5BAuthor%5D&amp;cauthor=true&amp;cauthor_uid=19469025</vt:lpwstr>
      </vt:variant>
      <vt:variant>
        <vt:lpwstr/>
      </vt:variant>
      <vt:variant>
        <vt:i4>5242933</vt:i4>
      </vt:variant>
      <vt:variant>
        <vt:i4>294</vt:i4>
      </vt:variant>
      <vt:variant>
        <vt:i4>0</vt:i4>
      </vt:variant>
      <vt:variant>
        <vt:i4>5</vt:i4>
      </vt:variant>
      <vt:variant>
        <vt:lpwstr>http://www.ncbi.nlm.nih.gov/pubmed?term=Ulrich-Lai%20YM%5BAuthor%5D&amp;cauthor=true&amp;cauthor_uid=19469025</vt:lpwstr>
      </vt:variant>
      <vt:variant>
        <vt:lpwstr/>
      </vt:variant>
      <vt:variant>
        <vt:i4>3538981</vt:i4>
      </vt:variant>
      <vt:variant>
        <vt:i4>291</vt:i4>
      </vt:variant>
      <vt:variant>
        <vt:i4>0</vt:i4>
      </vt:variant>
      <vt:variant>
        <vt:i4>5</vt:i4>
      </vt:variant>
      <vt:variant>
        <vt:lpwstr>http://www.ncbi.nlm.nih.gov/pubmed/18787373</vt:lpwstr>
      </vt:variant>
      <vt:variant>
        <vt:lpwstr/>
      </vt:variant>
      <vt:variant>
        <vt:i4>4063269</vt:i4>
      </vt:variant>
      <vt:variant>
        <vt:i4>288</vt:i4>
      </vt:variant>
      <vt:variant>
        <vt:i4>0</vt:i4>
      </vt:variant>
      <vt:variant>
        <vt:i4>5</vt:i4>
      </vt:variant>
      <vt:variant>
        <vt:lpwstr>http://www.ncbi.nlm.nih.gov/pubmed/21316391</vt:lpwstr>
      </vt:variant>
      <vt:variant>
        <vt:lpwstr/>
      </vt:variant>
      <vt:variant>
        <vt:i4>8061000</vt:i4>
      </vt:variant>
      <vt:variant>
        <vt:i4>285</vt:i4>
      </vt:variant>
      <vt:variant>
        <vt:i4>0</vt:i4>
      </vt:variant>
      <vt:variant>
        <vt:i4>5</vt:i4>
      </vt:variant>
      <vt:variant>
        <vt:lpwstr>http://www.ncbi.nlm.nih.gov/pubmed?term=Fuchs%20E%5BAuthor%5D&amp;cauthor=true&amp;cauthor_uid=21316391</vt:lpwstr>
      </vt:variant>
      <vt:variant>
        <vt:lpwstr/>
      </vt:variant>
      <vt:variant>
        <vt:i4>8781948</vt:i4>
      </vt:variant>
      <vt:variant>
        <vt:i4>282</vt:i4>
      </vt:variant>
      <vt:variant>
        <vt:i4>0</vt:i4>
      </vt:variant>
      <vt:variant>
        <vt:i4>5</vt:i4>
      </vt:variant>
      <vt:variant>
        <vt:lpwstr>http://www.ncbi.nlm.nih.gov/pubmed?term=Wöhr%20M%5BAuthor%5D&amp;cauthor=true&amp;cauthor_uid=21316391</vt:lpwstr>
      </vt:variant>
      <vt:variant>
        <vt:lpwstr/>
      </vt:variant>
      <vt:variant>
        <vt:i4>8257607</vt:i4>
      </vt:variant>
      <vt:variant>
        <vt:i4>279</vt:i4>
      </vt:variant>
      <vt:variant>
        <vt:i4>0</vt:i4>
      </vt:variant>
      <vt:variant>
        <vt:i4>5</vt:i4>
      </vt:variant>
      <vt:variant>
        <vt:lpwstr>http://www.ncbi.nlm.nih.gov/pubmed?term=van%20Dijk%20G%5BAuthor%5D&amp;cauthor=true&amp;cauthor_uid=21316391</vt:lpwstr>
      </vt:variant>
      <vt:variant>
        <vt:lpwstr/>
      </vt:variant>
      <vt:variant>
        <vt:i4>8192029</vt:i4>
      </vt:variant>
      <vt:variant>
        <vt:i4>276</vt:i4>
      </vt:variant>
      <vt:variant>
        <vt:i4>0</vt:i4>
      </vt:variant>
      <vt:variant>
        <vt:i4>5</vt:i4>
      </vt:variant>
      <vt:variant>
        <vt:lpwstr>http://www.ncbi.nlm.nih.gov/pubmed?term=Stiedl%20O%5BAuthor%5D&amp;cauthor=true&amp;cauthor_uid=21316391</vt:lpwstr>
      </vt:variant>
      <vt:variant>
        <vt:lpwstr/>
      </vt:variant>
      <vt:variant>
        <vt:i4>1966118</vt:i4>
      </vt:variant>
      <vt:variant>
        <vt:i4>273</vt:i4>
      </vt:variant>
      <vt:variant>
        <vt:i4>0</vt:i4>
      </vt:variant>
      <vt:variant>
        <vt:i4>5</vt:i4>
      </vt:variant>
      <vt:variant>
        <vt:lpwstr>http://www.ncbi.nlm.nih.gov/pubmed?term=Steimer%20T%5BAuthor%5D&amp;cauthor=true&amp;cauthor_uid=21316391</vt:lpwstr>
      </vt:variant>
      <vt:variant>
        <vt:lpwstr/>
      </vt:variant>
      <vt:variant>
        <vt:i4>7274521</vt:i4>
      </vt:variant>
      <vt:variant>
        <vt:i4>270</vt:i4>
      </vt:variant>
      <vt:variant>
        <vt:i4>0</vt:i4>
      </vt:variant>
      <vt:variant>
        <vt:i4>5</vt:i4>
      </vt:variant>
      <vt:variant>
        <vt:lpwstr>http://www.ncbi.nlm.nih.gov/pubmed?term=Sgoifo%20A%5BAuthor%5D&amp;cauthor=true&amp;cauthor_uid=21316391</vt:lpwstr>
      </vt:variant>
      <vt:variant>
        <vt:lpwstr/>
      </vt:variant>
      <vt:variant>
        <vt:i4>2293855</vt:i4>
      </vt:variant>
      <vt:variant>
        <vt:i4>267</vt:i4>
      </vt:variant>
      <vt:variant>
        <vt:i4>0</vt:i4>
      </vt:variant>
      <vt:variant>
        <vt:i4>5</vt:i4>
      </vt:variant>
      <vt:variant>
        <vt:lpwstr>http://www.ncbi.nlm.nih.gov/pubmed?term=Richter-Levin%20G%5BAuthor%5D&amp;cauthor=true&amp;cauthor_uid=21316391</vt:lpwstr>
      </vt:variant>
      <vt:variant>
        <vt:lpwstr/>
      </vt:variant>
      <vt:variant>
        <vt:i4>1835064</vt:i4>
      </vt:variant>
      <vt:variant>
        <vt:i4>264</vt:i4>
      </vt:variant>
      <vt:variant>
        <vt:i4>0</vt:i4>
      </vt:variant>
      <vt:variant>
        <vt:i4>5</vt:i4>
      </vt:variant>
      <vt:variant>
        <vt:lpwstr>http://www.ncbi.nlm.nih.gov/pubmed?term=Palanza%20P%5BAuthor%5D&amp;cauthor=true&amp;cauthor_uid=21316391</vt:lpwstr>
      </vt:variant>
      <vt:variant>
        <vt:lpwstr/>
      </vt:variant>
      <vt:variant>
        <vt:i4>1638436</vt:i4>
      </vt:variant>
      <vt:variant>
        <vt:i4>261</vt:i4>
      </vt:variant>
      <vt:variant>
        <vt:i4>0</vt:i4>
      </vt:variant>
      <vt:variant>
        <vt:i4>5</vt:i4>
      </vt:variant>
      <vt:variant>
        <vt:lpwstr>http://www.ncbi.nlm.nih.gov/pubmed?term=Olivier%20B%5BAuthor%5D&amp;cauthor=true&amp;cauthor_uid=21316391</vt:lpwstr>
      </vt:variant>
      <vt:variant>
        <vt:lpwstr/>
      </vt:variant>
      <vt:variant>
        <vt:i4>1376299</vt:i4>
      </vt:variant>
      <vt:variant>
        <vt:i4>258</vt:i4>
      </vt:variant>
      <vt:variant>
        <vt:i4>0</vt:i4>
      </vt:variant>
      <vt:variant>
        <vt:i4>5</vt:i4>
      </vt:variant>
      <vt:variant>
        <vt:lpwstr>http://www.ncbi.nlm.nih.gov/pubmed?term=Murison%20R%5BAuthor%5D&amp;cauthor=true&amp;cauthor_uid=21316391</vt:lpwstr>
      </vt:variant>
      <vt:variant>
        <vt:lpwstr/>
      </vt:variant>
      <vt:variant>
        <vt:i4>6750215</vt:i4>
      </vt:variant>
      <vt:variant>
        <vt:i4>255</vt:i4>
      </vt:variant>
      <vt:variant>
        <vt:i4>0</vt:i4>
      </vt:variant>
      <vt:variant>
        <vt:i4>5</vt:i4>
      </vt:variant>
      <vt:variant>
        <vt:lpwstr>http://www.ncbi.nlm.nih.gov/pubmed?term=Meerlo%20P%5BAuthor%5D&amp;cauthor=true&amp;cauthor_uid=21316391</vt:lpwstr>
      </vt:variant>
      <vt:variant>
        <vt:lpwstr/>
      </vt:variant>
      <vt:variant>
        <vt:i4>4063307</vt:i4>
      </vt:variant>
      <vt:variant>
        <vt:i4>252</vt:i4>
      </vt:variant>
      <vt:variant>
        <vt:i4>0</vt:i4>
      </vt:variant>
      <vt:variant>
        <vt:i4>5</vt:i4>
      </vt:variant>
      <vt:variant>
        <vt:lpwstr>http://www.ncbi.nlm.nih.gov/pubmed?term=Korte%20SM%5BAuthor%5D&amp;cauthor=true&amp;cauthor_uid=21316391</vt:lpwstr>
      </vt:variant>
      <vt:variant>
        <vt:lpwstr/>
      </vt:variant>
      <vt:variant>
        <vt:i4>6684830</vt:i4>
      </vt:variant>
      <vt:variant>
        <vt:i4>249</vt:i4>
      </vt:variant>
      <vt:variant>
        <vt:i4>0</vt:i4>
      </vt:variant>
      <vt:variant>
        <vt:i4>5</vt:i4>
      </vt:variant>
      <vt:variant>
        <vt:lpwstr>http://www.ncbi.nlm.nih.gov/pubmed?term=Flügge%20G%5BAuthor%5D&amp;cauthor=true&amp;cauthor_uid=21316391</vt:lpwstr>
      </vt:variant>
      <vt:variant>
        <vt:lpwstr/>
      </vt:variant>
      <vt:variant>
        <vt:i4>8257627</vt:i4>
      </vt:variant>
      <vt:variant>
        <vt:i4>246</vt:i4>
      </vt:variant>
      <vt:variant>
        <vt:i4>0</vt:i4>
      </vt:variant>
      <vt:variant>
        <vt:i4>5</vt:i4>
      </vt:variant>
      <vt:variant>
        <vt:lpwstr>http://www.ncbi.nlm.nih.gov/pubmed?term=de%20Boer%20SF%5BAuthor%5D&amp;cauthor=true&amp;cauthor_uid=21316391</vt:lpwstr>
      </vt:variant>
      <vt:variant>
        <vt:lpwstr/>
      </vt:variant>
      <vt:variant>
        <vt:i4>1441825</vt:i4>
      </vt:variant>
      <vt:variant>
        <vt:i4>243</vt:i4>
      </vt:variant>
      <vt:variant>
        <vt:i4>0</vt:i4>
      </vt:variant>
      <vt:variant>
        <vt:i4>5</vt:i4>
      </vt:variant>
      <vt:variant>
        <vt:lpwstr>http://www.ncbi.nlm.nih.gov/pubmed?term=Buwalda%20B%5BAuthor%5D&amp;cauthor=true&amp;cauthor_uid=21316391</vt:lpwstr>
      </vt:variant>
      <vt:variant>
        <vt:lpwstr/>
      </vt:variant>
      <vt:variant>
        <vt:i4>1048677</vt:i4>
      </vt:variant>
      <vt:variant>
        <vt:i4>240</vt:i4>
      </vt:variant>
      <vt:variant>
        <vt:i4>0</vt:i4>
      </vt:variant>
      <vt:variant>
        <vt:i4>5</vt:i4>
      </vt:variant>
      <vt:variant>
        <vt:lpwstr>http://www.ncbi.nlm.nih.gov/pubmed?term=Bartolomucci%20A%5BAuthor%5D&amp;cauthor=true&amp;cauthor_uid=21316391</vt:lpwstr>
      </vt:variant>
      <vt:variant>
        <vt:lpwstr/>
      </vt:variant>
      <vt:variant>
        <vt:i4>3801116</vt:i4>
      </vt:variant>
      <vt:variant>
        <vt:i4>237</vt:i4>
      </vt:variant>
      <vt:variant>
        <vt:i4>0</vt:i4>
      </vt:variant>
      <vt:variant>
        <vt:i4>5</vt:i4>
      </vt:variant>
      <vt:variant>
        <vt:lpwstr>http://www.ncbi.nlm.nih.gov/pubmed?term=Koolhaas%20JM%5BAuthor%5D&amp;cauthor=true&amp;cauthor_uid=21316391</vt:lpwstr>
      </vt:variant>
      <vt:variant>
        <vt:lpwstr/>
      </vt:variant>
      <vt:variant>
        <vt:i4>3276841</vt:i4>
      </vt:variant>
      <vt:variant>
        <vt:i4>234</vt:i4>
      </vt:variant>
      <vt:variant>
        <vt:i4>0</vt:i4>
      </vt:variant>
      <vt:variant>
        <vt:i4>5</vt:i4>
      </vt:variant>
      <vt:variant>
        <vt:lpwstr>http://www.ncbi.nlm.nih.gov/pubmed/22958817</vt:lpwstr>
      </vt:variant>
      <vt:variant>
        <vt:lpwstr/>
      </vt:variant>
      <vt:variant>
        <vt:i4>3670052</vt:i4>
      </vt:variant>
      <vt:variant>
        <vt:i4>231</vt:i4>
      </vt:variant>
      <vt:variant>
        <vt:i4>0</vt:i4>
      </vt:variant>
      <vt:variant>
        <vt:i4>5</vt:i4>
      </vt:variant>
      <vt:variant>
        <vt:lpwstr>http://www.ncbi.nlm.nih.gov/pubmed/15958281</vt:lpwstr>
      </vt:variant>
      <vt:variant>
        <vt:lpwstr/>
      </vt:variant>
      <vt:variant>
        <vt:i4>7602193</vt:i4>
      </vt:variant>
      <vt:variant>
        <vt:i4>228</vt:i4>
      </vt:variant>
      <vt:variant>
        <vt:i4>0</vt:i4>
      </vt:variant>
      <vt:variant>
        <vt:i4>5</vt:i4>
      </vt:variant>
      <vt:variant>
        <vt:lpwstr>http://www.ncbi.nlm.nih.gov/pubmed?term=Levine%20S%5BAuthor%5D&amp;cauthor=true&amp;cauthor_uid=15958281</vt:lpwstr>
      </vt:variant>
      <vt:variant>
        <vt:lpwstr/>
      </vt:variant>
      <vt:variant>
        <vt:i4>5308424</vt:i4>
      </vt:variant>
      <vt:variant>
        <vt:i4>225</vt:i4>
      </vt:variant>
      <vt:variant>
        <vt:i4>0</vt:i4>
      </vt:variant>
      <vt:variant>
        <vt:i4>5</vt:i4>
      </vt:variant>
      <vt:variant>
        <vt:lpwstr>http://www.ncbi.nlm.nih.gov/pubmed?term=if%20it%20goes%20up%2C%20must%20it%20come%20down%20%3F%20chronic%20stress%20</vt:lpwstr>
      </vt:variant>
      <vt:variant>
        <vt:lpwstr/>
      </vt:variant>
      <vt:variant>
        <vt:i4>3342363</vt:i4>
      </vt:variant>
      <vt:variant>
        <vt:i4>222</vt:i4>
      </vt:variant>
      <vt:variant>
        <vt:i4>0</vt:i4>
      </vt:variant>
      <vt:variant>
        <vt:i4>5</vt:i4>
      </vt:variant>
      <vt:variant>
        <vt:lpwstr>http://www.ncbi.nlm.nih.gov/pubmed?term=Zhou%20ES%5BAuthor%5D&amp;cauthor=true&amp;cauthor_uid=17201569</vt:lpwstr>
      </vt:variant>
      <vt:variant>
        <vt:lpwstr/>
      </vt:variant>
      <vt:variant>
        <vt:i4>327791</vt:i4>
      </vt:variant>
      <vt:variant>
        <vt:i4>219</vt:i4>
      </vt:variant>
      <vt:variant>
        <vt:i4>0</vt:i4>
      </vt:variant>
      <vt:variant>
        <vt:i4>5</vt:i4>
      </vt:variant>
      <vt:variant>
        <vt:lpwstr>http://www.ncbi.nlm.nih.gov/pubmed?term=Chen%20E%5BAuthor%5D&amp;cauthor=true&amp;cauthor_uid=17201569</vt:lpwstr>
      </vt:variant>
      <vt:variant>
        <vt:lpwstr/>
      </vt:variant>
      <vt:variant>
        <vt:i4>5963900</vt:i4>
      </vt:variant>
      <vt:variant>
        <vt:i4>216</vt:i4>
      </vt:variant>
      <vt:variant>
        <vt:i4>0</vt:i4>
      </vt:variant>
      <vt:variant>
        <vt:i4>5</vt:i4>
      </vt:variant>
      <vt:variant>
        <vt:lpwstr>http://www.ncbi.nlm.nih.gov/pubmed?term=Miller%20GE%5BAuthor%5D&amp;cauthor=true&amp;cauthor_uid=17201569</vt:lpwstr>
      </vt:variant>
      <vt:variant>
        <vt:lpwstr/>
      </vt:variant>
      <vt:variant>
        <vt:i4>3604523</vt:i4>
      </vt:variant>
      <vt:variant>
        <vt:i4>213</vt:i4>
      </vt:variant>
      <vt:variant>
        <vt:i4>0</vt:i4>
      </vt:variant>
      <vt:variant>
        <vt:i4>5</vt:i4>
      </vt:variant>
      <vt:variant>
        <vt:lpwstr>http://www.ncbi.nlm.nih.gov/pubmed/19455174</vt:lpwstr>
      </vt:variant>
      <vt:variant>
        <vt:lpwstr/>
      </vt:variant>
      <vt:variant>
        <vt:i4>3866660</vt:i4>
      </vt:variant>
      <vt:variant>
        <vt:i4>210</vt:i4>
      </vt:variant>
      <vt:variant>
        <vt:i4>0</vt:i4>
      </vt:variant>
      <vt:variant>
        <vt:i4>5</vt:i4>
      </vt:variant>
      <vt:variant>
        <vt:lpwstr>http://www.ncbi.nlm.nih.gov/pubmed/16824664</vt:lpwstr>
      </vt:variant>
      <vt:variant>
        <vt:lpwstr/>
      </vt:variant>
      <vt:variant>
        <vt:i4>5832819</vt:i4>
      </vt:variant>
      <vt:variant>
        <vt:i4>207</vt:i4>
      </vt:variant>
      <vt:variant>
        <vt:i4>0</vt:i4>
      </vt:variant>
      <vt:variant>
        <vt:i4>5</vt:i4>
      </vt:variant>
      <vt:variant>
        <vt:lpwstr>http://www.ncbi.nlm.nih.gov/pubmed?term=Hansen%20AM%5BAuthor%5D&amp;cauthor=true&amp;cauthor_uid=16824664</vt:lpwstr>
      </vt:variant>
      <vt:variant>
        <vt:lpwstr/>
      </vt:variant>
      <vt:variant>
        <vt:i4>9175083</vt:i4>
      </vt:variant>
      <vt:variant>
        <vt:i4>204</vt:i4>
      </vt:variant>
      <vt:variant>
        <vt:i4>0</vt:i4>
      </vt:variant>
      <vt:variant>
        <vt:i4>5</vt:i4>
      </vt:variant>
      <vt:variant>
        <vt:lpwstr>http://www.ncbi.nlm.nih.gov/pubmed?term=Netterstrøm%20B%5BAuthor%5D&amp;cauthor=true&amp;cauthor_uid=16824664</vt:lpwstr>
      </vt:variant>
      <vt:variant>
        <vt:lpwstr/>
      </vt:variant>
      <vt:variant>
        <vt:i4>2949204</vt:i4>
      </vt:variant>
      <vt:variant>
        <vt:i4>201</vt:i4>
      </vt:variant>
      <vt:variant>
        <vt:i4>0</vt:i4>
      </vt:variant>
      <vt:variant>
        <vt:i4>5</vt:i4>
      </vt:variant>
      <vt:variant>
        <vt:lpwstr>http://www.ncbi.nlm.nih.gov/pubmed?term=Eller%20NH%5BAuthor%5D&amp;cauthor=true&amp;cauthor_uid=16824664</vt:lpwstr>
      </vt:variant>
      <vt:variant>
        <vt:lpwstr/>
      </vt:variant>
      <vt:variant>
        <vt:i4>7340155</vt:i4>
      </vt:variant>
      <vt:variant>
        <vt:i4>198</vt:i4>
      </vt:variant>
      <vt:variant>
        <vt:i4>0</vt:i4>
      </vt:variant>
      <vt:variant>
        <vt:i4>5</vt:i4>
      </vt:variant>
      <vt:variant>
        <vt:lpwstr>http://www.ncbi.nlm.nih.gov/pubmed?cmd=historysearch&amp;querykey=2</vt:lpwstr>
      </vt:variant>
      <vt:variant>
        <vt:lpwstr/>
      </vt:variant>
      <vt:variant>
        <vt:i4>7405641</vt:i4>
      </vt:variant>
      <vt:variant>
        <vt:i4>195</vt:i4>
      </vt:variant>
      <vt:variant>
        <vt:i4>0</vt:i4>
      </vt:variant>
      <vt:variant>
        <vt:i4>5</vt:i4>
      </vt:variant>
      <vt:variant>
        <vt:lpwstr>http://www.ncbi.nlm.nih.gov/pubmed?term=Chattarji%20S%5BAuthor%5D&amp;cauthor=true&amp;cauthor_uid=19469026</vt:lpwstr>
      </vt:variant>
      <vt:variant>
        <vt:lpwstr/>
      </vt:variant>
      <vt:variant>
        <vt:i4>5832814</vt:i4>
      </vt:variant>
      <vt:variant>
        <vt:i4>192</vt:i4>
      </vt:variant>
      <vt:variant>
        <vt:i4>0</vt:i4>
      </vt:variant>
      <vt:variant>
        <vt:i4>5</vt:i4>
      </vt:variant>
      <vt:variant>
        <vt:lpwstr>http://www.ncbi.nlm.nih.gov/pubmed?term=McEwen%20BS%5BAuthor%5D&amp;cauthor=true&amp;cauthor_uid=19469026</vt:lpwstr>
      </vt:variant>
      <vt:variant>
        <vt:lpwstr/>
      </vt:variant>
      <vt:variant>
        <vt:i4>7340062</vt:i4>
      </vt:variant>
      <vt:variant>
        <vt:i4>189</vt:i4>
      </vt:variant>
      <vt:variant>
        <vt:i4>0</vt:i4>
      </vt:variant>
      <vt:variant>
        <vt:i4>5</vt:i4>
      </vt:variant>
      <vt:variant>
        <vt:lpwstr>http://www.ncbi.nlm.nih.gov/pubmed?term=Roozendaal%20B%5BAuthor%5D&amp;cauthor=true&amp;cauthor_uid=19469026</vt:lpwstr>
      </vt:variant>
      <vt:variant>
        <vt:lpwstr/>
      </vt:variant>
      <vt:variant>
        <vt:i4>4456521</vt:i4>
      </vt:variant>
      <vt:variant>
        <vt:i4>186</vt:i4>
      </vt:variant>
      <vt:variant>
        <vt:i4>0</vt:i4>
      </vt:variant>
      <vt:variant>
        <vt:i4>5</vt:i4>
      </vt:variant>
      <vt:variant>
        <vt:lpwstr>http://www.ncbi.nlm.nih.gov/pubmed?cmd=historysearch&amp;querykey=24</vt:lpwstr>
      </vt:variant>
      <vt:variant>
        <vt:lpwstr/>
      </vt:variant>
      <vt:variant>
        <vt:i4>4784202</vt:i4>
      </vt:variant>
      <vt:variant>
        <vt:i4>183</vt:i4>
      </vt:variant>
      <vt:variant>
        <vt:i4>0</vt:i4>
      </vt:variant>
      <vt:variant>
        <vt:i4>5</vt:i4>
      </vt:variant>
      <vt:variant>
        <vt:lpwstr>http://www.ncbi.nlm.nih.gov/pubmed?cmd=historysearch&amp;querykey=19</vt:lpwstr>
      </vt:variant>
      <vt:variant>
        <vt:lpwstr/>
      </vt:variant>
      <vt:variant>
        <vt:i4>131170</vt:i4>
      </vt:variant>
      <vt:variant>
        <vt:i4>180</vt:i4>
      </vt:variant>
      <vt:variant>
        <vt:i4>0</vt:i4>
      </vt:variant>
      <vt:variant>
        <vt:i4>5</vt:i4>
      </vt:variant>
      <vt:variant>
        <vt:lpwstr>http://www.ncbi.nlm.nih.gov/pubmed?term=Mason%20JW%5BAuthor%5D&amp;cauthor=true&amp;cauthor_uid=4331538</vt:lpwstr>
      </vt:variant>
      <vt:variant>
        <vt:lpwstr/>
      </vt:variant>
      <vt:variant>
        <vt:i4>3211298</vt:i4>
      </vt:variant>
      <vt:variant>
        <vt:i4>177</vt:i4>
      </vt:variant>
      <vt:variant>
        <vt:i4>0</vt:i4>
      </vt:variant>
      <vt:variant>
        <vt:i4>5</vt:i4>
      </vt:variant>
      <vt:variant>
        <vt:lpwstr>http://www.ncbi.nlm.nih.gov/pubmed/11227756</vt:lpwstr>
      </vt:variant>
      <vt:variant>
        <vt:lpwstr/>
      </vt:variant>
      <vt:variant>
        <vt:i4>4128806</vt:i4>
      </vt:variant>
      <vt:variant>
        <vt:i4>174</vt:i4>
      </vt:variant>
      <vt:variant>
        <vt:i4>0</vt:i4>
      </vt:variant>
      <vt:variant>
        <vt:i4>5</vt:i4>
      </vt:variant>
      <vt:variant>
        <vt:lpwstr>http://www.ncbi.nlm.nih.gov/pubmed/16945229</vt:lpwstr>
      </vt:variant>
      <vt:variant>
        <vt:lpwstr/>
      </vt:variant>
      <vt:variant>
        <vt:i4>3735591</vt:i4>
      </vt:variant>
      <vt:variant>
        <vt:i4>171</vt:i4>
      </vt:variant>
      <vt:variant>
        <vt:i4>0</vt:i4>
      </vt:variant>
      <vt:variant>
        <vt:i4>5</vt:i4>
      </vt:variant>
      <vt:variant>
        <vt:lpwstr>http://www.ncbi.nlm.nih.gov/pubmed/22350686</vt:lpwstr>
      </vt:variant>
      <vt:variant>
        <vt:lpwstr/>
      </vt:variant>
      <vt:variant>
        <vt:i4>3735591</vt:i4>
      </vt:variant>
      <vt:variant>
        <vt:i4>168</vt:i4>
      </vt:variant>
      <vt:variant>
        <vt:i4>0</vt:i4>
      </vt:variant>
      <vt:variant>
        <vt:i4>5</vt:i4>
      </vt:variant>
      <vt:variant>
        <vt:lpwstr>http://www.ncbi.nlm.nih.gov/pubmed/22350686</vt:lpwstr>
      </vt:variant>
      <vt:variant>
        <vt:lpwstr/>
      </vt:variant>
      <vt:variant>
        <vt:i4>3735591</vt:i4>
      </vt:variant>
      <vt:variant>
        <vt:i4>165</vt:i4>
      </vt:variant>
      <vt:variant>
        <vt:i4>0</vt:i4>
      </vt:variant>
      <vt:variant>
        <vt:i4>5</vt:i4>
      </vt:variant>
      <vt:variant>
        <vt:lpwstr>http://www.ncbi.nlm.nih.gov/pubmed/22350686</vt:lpwstr>
      </vt:variant>
      <vt:variant>
        <vt:lpwstr/>
      </vt:variant>
      <vt:variant>
        <vt:i4>3735591</vt:i4>
      </vt:variant>
      <vt:variant>
        <vt:i4>162</vt:i4>
      </vt:variant>
      <vt:variant>
        <vt:i4>0</vt:i4>
      </vt:variant>
      <vt:variant>
        <vt:i4>5</vt:i4>
      </vt:variant>
      <vt:variant>
        <vt:lpwstr>http://www.ncbi.nlm.nih.gov/pubmed/22350686</vt:lpwstr>
      </vt:variant>
      <vt:variant>
        <vt:lpwstr/>
      </vt:variant>
      <vt:variant>
        <vt:i4>3735591</vt:i4>
      </vt:variant>
      <vt:variant>
        <vt:i4>159</vt:i4>
      </vt:variant>
      <vt:variant>
        <vt:i4>0</vt:i4>
      </vt:variant>
      <vt:variant>
        <vt:i4>5</vt:i4>
      </vt:variant>
      <vt:variant>
        <vt:lpwstr>http://www.ncbi.nlm.nih.gov/pubmed/22350686</vt:lpwstr>
      </vt:variant>
      <vt:variant>
        <vt:lpwstr/>
      </vt:variant>
      <vt:variant>
        <vt:i4>3735591</vt:i4>
      </vt:variant>
      <vt:variant>
        <vt:i4>156</vt:i4>
      </vt:variant>
      <vt:variant>
        <vt:i4>0</vt:i4>
      </vt:variant>
      <vt:variant>
        <vt:i4>5</vt:i4>
      </vt:variant>
      <vt:variant>
        <vt:lpwstr>http://www.ncbi.nlm.nih.gov/pubmed/22350686</vt:lpwstr>
      </vt:variant>
      <vt:variant>
        <vt:lpwstr/>
      </vt:variant>
      <vt:variant>
        <vt:i4>3735591</vt:i4>
      </vt:variant>
      <vt:variant>
        <vt:i4>153</vt:i4>
      </vt:variant>
      <vt:variant>
        <vt:i4>0</vt:i4>
      </vt:variant>
      <vt:variant>
        <vt:i4>5</vt:i4>
      </vt:variant>
      <vt:variant>
        <vt:lpwstr>http://www.ncbi.nlm.nih.gov/pubmed/22350686</vt:lpwstr>
      </vt:variant>
      <vt:variant>
        <vt:lpwstr/>
      </vt:variant>
      <vt:variant>
        <vt:i4>3735591</vt:i4>
      </vt:variant>
      <vt:variant>
        <vt:i4>150</vt:i4>
      </vt:variant>
      <vt:variant>
        <vt:i4>0</vt:i4>
      </vt:variant>
      <vt:variant>
        <vt:i4>5</vt:i4>
      </vt:variant>
      <vt:variant>
        <vt:lpwstr>http://www.ncbi.nlm.nih.gov/pubmed/22350686</vt:lpwstr>
      </vt:variant>
      <vt:variant>
        <vt:lpwstr/>
      </vt:variant>
      <vt:variant>
        <vt:i4>3735591</vt:i4>
      </vt:variant>
      <vt:variant>
        <vt:i4>147</vt:i4>
      </vt:variant>
      <vt:variant>
        <vt:i4>0</vt:i4>
      </vt:variant>
      <vt:variant>
        <vt:i4>5</vt:i4>
      </vt:variant>
      <vt:variant>
        <vt:lpwstr>http://www.ncbi.nlm.nih.gov/pubmed/22350686</vt:lpwstr>
      </vt:variant>
      <vt:variant>
        <vt:lpwstr/>
      </vt:variant>
      <vt:variant>
        <vt:i4>3932193</vt:i4>
      </vt:variant>
      <vt:variant>
        <vt:i4>144</vt:i4>
      </vt:variant>
      <vt:variant>
        <vt:i4>0</vt:i4>
      </vt:variant>
      <vt:variant>
        <vt:i4>5</vt:i4>
      </vt:variant>
      <vt:variant>
        <vt:lpwstr>http://www.ncbi.nlm.nih.gov/pubmed/16337291</vt:lpwstr>
      </vt:variant>
      <vt:variant>
        <vt:lpwstr/>
      </vt:variant>
      <vt:variant>
        <vt:i4>3866671</vt:i4>
      </vt:variant>
      <vt:variant>
        <vt:i4>141</vt:i4>
      </vt:variant>
      <vt:variant>
        <vt:i4>0</vt:i4>
      </vt:variant>
      <vt:variant>
        <vt:i4>5</vt:i4>
      </vt:variant>
      <vt:variant>
        <vt:lpwstr>http://www.ncbi.nlm.nih.gov/pubmed/22128908</vt:lpwstr>
      </vt:variant>
      <vt:variant>
        <vt:lpwstr/>
      </vt:variant>
      <vt:variant>
        <vt:i4>3276837</vt:i4>
      </vt:variant>
      <vt:variant>
        <vt:i4>138</vt:i4>
      </vt:variant>
      <vt:variant>
        <vt:i4>0</vt:i4>
      </vt:variant>
      <vt:variant>
        <vt:i4>5</vt:i4>
      </vt:variant>
      <vt:variant>
        <vt:lpwstr>http://www.ncbi.nlm.nih.gov/pubmed/23414106</vt:lpwstr>
      </vt:variant>
      <vt:variant>
        <vt:lpwstr/>
      </vt:variant>
      <vt:variant>
        <vt:i4>3276845</vt:i4>
      </vt:variant>
      <vt:variant>
        <vt:i4>135</vt:i4>
      </vt:variant>
      <vt:variant>
        <vt:i4>0</vt:i4>
      </vt:variant>
      <vt:variant>
        <vt:i4>5</vt:i4>
      </vt:variant>
      <vt:variant>
        <vt:lpwstr>http://www.ncbi.nlm.nih.gov/pubmed/19731158</vt:lpwstr>
      </vt:variant>
      <vt:variant>
        <vt:lpwstr/>
      </vt:variant>
      <vt:variant>
        <vt:i4>3407911</vt:i4>
      </vt:variant>
      <vt:variant>
        <vt:i4>132</vt:i4>
      </vt:variant>
      <vt:variant>
        <vt:i4>0</vt:i4>
      </vt:variant>
      <vt:variant>
        <vt:i4>5</vt:i4>
      </vt:variant>
      <vt:variant>
        <vt:lpwstr>http://www.ncbi.nlm.nih.gov/pubmed/11765672</vt:lpwstr>
      </vt:variant>
      <vt:variant>
        <vt:lpwstr/>
      </vt:variant>
      <vt:variant>
        <vt:i4>3276845</vt:i4>
      </vt:variant>
      <vt:variant>
        <vt:i4>129</vt:i4>
      </vt:variant>
      <vt:variant>
        <vt:i4>0</vt:i4>
      </vt:variant>
      <vt:variant>
        <vt:i4>5</vt:i4>
      </vt:variant>
      <vt:variant>
        <vt:lpwstr>http://www.ncbi.nlm.nih.gov/pubmed/21123828</vt:lpwstr>
      </vt:variant>
      <vt:variant>
        <vt:lpwstr/>
      </vt:variant>
      <vt:variant>
        <vt:i4>3735591</vt:i4>
      </vt:variant>
      <vt:variant>
        <vt:i4>126</vt:i4>
      </vt:variant>
      <vt:variant>
        <vt:i4>0</vt:i4>
      </vt:variant>
      <vt:variant>
        <vt:i4>5</vt:i4>
      </vt:variant>
      <vt:variant>
        <vt:lpwstr>http://www.ncbi.nlm.nih.gov/pubmed/22350686</vt:lpwstr>
      </vt:variant>
      <vt:variant>
        <vt:lpwstr/>
      </vt:variant>
      <vt:variant>
        <vt:i4>3276837</vt:i4>
      </vt:variant>
      <vt:variant>
        <vt:i4>123</vt:i4>
      </vt:variant>
      <vt:variant>
        <vt:i4>0</vt:i4>
      </vt:variant>
      <vt:variant>
        <vt:i4>5</vt:i4>
      </vt:variant>
      <vt:variant>
        <vt:lpwstr>http://www.ncbi.nlm.nih.gov/pubmed/23414106</vt:lpwstr>
      </vt:variant>
      <vt:variant>
        <vt:lpwstr/>
      </vt:variant>
      <vt:variant>
        <vt:i4>3407911</vt:i4>
      </vt:variant>
      <vt:variant>
        <vt:i4>120</vt:i4>
      </vt:variant>
      <vt:variant>
        <vt:i4>0</vt:i4>
      </vt:variant>
      <vt:variant>
        <vt:i4>5</vt:i4>
      </vt:variant>
      <vt:variant>
        <vt:lpwstr>http://www.ncbi.nlm.nih.gov/pubmed/11765672</vt:lpwstr>
      </vt:variant>
      <vt:variant>
        <vt:lpwstr/>
      </vt:variant>
      <vt:variant>
        <vt:i4>3145764</vt:i4>
      </vt:variant>
      <vt:variant>
        <vt:i4>117</vt:i4>
      </vt:variant>
      <vt:variant>
        <vt:i4>0</vt:i4>
      </vt:variant>
      <vt:variant>
        <vt:i4>5</vt:i4>
      </vt:variant>
      <vt:variant>
        <vt:lpwstr>http://www.ncbi.nlm.nih.gov/pubmed/12394962</vt:lpwstr>
      </vt:variant>
      <vt:variant>
        <vt:lpwstr/>
      </vt:variant>
      <vt:variant>
        <vt:i4>4653116</vt:i4>
      </vt:variant>
      <vt:variant>
        <vt:i4>114</vt:i4>
      </vt:variant>
      <vt:variant>
        <vt:i4>0</vt:i4>
      </vt:variant>
      <vt:variant>
        <vt:i4>5</vt:i4>
      </vt:variant>
      <vt:variant>
        <vt:lpwstr>http://www.ncbi.nlm.nih.gov/pubmed?term=Laggner%20AN%5BAuthor%5D&amp;cauthor=true&amp;cauthor_uid=12394962</vt:lpwstr>
      </vt:variant>
      <vt:variant>
        <vt:lpwstr/>
      </vt:variant>
      <vt:variant>
        <vt:i4>786490</vt:i4>
      </vt:variant>
      <vt:variant>
        <vt:i4>111</vt:i4>
      </vt:variant>
      <vt:variant>
        <vt:i4>0</vt:i4>
      </vt:variant>
      <vt:variant>
        <vt:i4>5</vt:i4>
      </vt:variant>
      <vt:variant>
        <vt:lpwstr>http://www.ncbi.nlm.nih.gov/pubmed?term=Seidler%20D%5BAuthor%5D&amp;cauthor=true&amp;cauthor_uid=12394962</vt:lpwstr>
      </vt:variant>
      <vt:variant>
        <vt:lpwstr/>
      </vt:variant>
      <vt:variant>
        <vt:i4>2228302</vt:i4>
      </vt:variant>
      <vt:variant>
        <vt:i4>108</vt:i4>
      </vt:variant>
      <vt:variant>
        <vt:i4>0</vt:i4>
      </vt:variant>
      <vt:variant>
        <vt:i4>5</vt:i4>
      </vt:variant>
      <vt:variant>
        <vt:lpwstr>http://www.ncbi.nlm.nih.gov/pubmed?term=Semlitsch%20HV%5BAuthor%5D&amp;cauthor=true&amp;cauthor_uid=12394962</vt:lpwstr>
      </vt:variant>
      <vt:variant>
        <vt:lpwstr/>
      </vt:variant>
      <vt:variant>
        <vt:i4>393263</vt:i4>
      </vt:variant>
      <vt:variant>
        <vt:i4>105</vt:i4>
      </vt:variant>
      <vt:variant>
        <vt:i4>0</vt:i4>
      </vt:variant>
      <vt:variant>
        <vt:i4>5</vt:i4>
      </vt:variant>
      <vt:variant>
        <vt:lpwstr>http://www.ncbi.nlm.nih.gov/pubmed?term=Anderer%20P%5BAuthor%5D&amp;cauthor=true&amp;cauthor_uid=12394962</vt:lpwstr>
      </vt:variant>
      <vt:variant>
        <vt:lpwstr/>
      </vt:variant>
      <vt:variant>
        <vt:i4>8257542</vt:i4>
      </vt:variant>
      <vt:variant>
        <vt:i4>102</vt:i4>
      </vt:variant>
      <vt:variant>
        <vt:i4>0</vt:i4>
      </vt:variant>
      <vt:variant>
        <vt:i4>5</vt:i4>
      </vt:variant>
      <vt:variant>
        <vt:lpwstr>http://www.ncbi.nlm.nih.gov/pubmed?term=Saletu%20B%5BAuthor%5D&amp;cauthor=true&amp;cauthor_uid=12394962</vt:lpwstr>
      </vt:variant>
      <vt:variant>
        <vt:lpwstr/>
      </vt:variant>
      <vt:variant>
        <vt:i4>8192147</vt:i4>
      </vt:variant>
      <vt:variant>
        <vt:i4>99</vt:i4>
      </vt:variant>
      <vt:variant>
        <vt:i4>0</vt:i4>
      </vt:variant>
      <vt:variant>
        <vt:i4>5</vt:i4>
      </vt:variant>
      <vt:variant>
        <vt:lpwstr>http://www.ncbi.nlm.nih.gov/pubmed?term=Klösch%20G%5BAuthor%5D&amp;cauthor=true&amp;cauthor_uid=12394962</vt:lpwstr>
      </vt:variant>
      <vt:variant>
        <vt:lpwstr/>
      </vt:variant>
      <vt:variant>
        <vt:i4>7602246</vt:i4>
      </vt:variant>
      <vt:variant>
        <vt:i4>96</vt:i4>
      </vt:variant>
      <vt:variant>
        <vt:i4>0</vt:i4>
      </vt:variant>
      <vt:variant>
        <vt:i4>5</vt:i4>
      </vt:variant>
      <vt:variant>
        <vt:lpwstr>http://www.ncbi.nlm.nih.gov/pubmed?term=Reinfried%20L%5BAuthor%5D&amp;cauthor=true&amp;cauthor_uid=12394962</vt:lpwstr>
      </vt:variant>
      <vt:variant>
        <vt:lpwstr/>
      </vt:variant>
      <vt:variant>
        <vt:i4>7995407</vt:i4>
      </vt:variant>
      <vt:variant>
        <vt:i4>93</vt:i4>
      </vt:variant>
      <vt:variant>
        <vt:i4>0</vt:i4>
      </vt:variant>
      <vt:variant>
        <vt:i4>5</vt:i4>
      </vt:variant>
      <vt:variant>
        <vt:lpwstr>http://www.ncbi.nlm.nih.gov/pubmed?term=Decker%20K%5BAuthor%5D&amp;cauthor=true&amp;cauthor_uid=12394962</vt:lpwstr>
      </vt:variant>
      <vt:variant>
        <vt:lpwstr/>
      </vt:variant>
      <vt:variant>
        <vt:i4>1310830</vt:i4>
      </vt:variant>
      <vt:variant>
        <vt:i4>90</vt:i4>
      </vt:variant>
      <vt:variant>
        <vt:i4>0</vt:i4>
      </vt:variant>
      <vt:variant>
        <vt:i4>5</vt:i4>
      </vt:variant>
      <vt:variant>
        <vt:lpwstr>http://www.ncbi.nlm.nih.gov/pubmed?term=Frey%20R%5BAuthor%5D&amp;cauthor=true&amp;cauthor_uid=12394962</vt:lpwstr>
      </vt:variant>
      <vt:variant>
        <vt:lpwstr/>
      </vt:variant>
      <vt:variant>
        <vt:i4>3801123</vt:i4>
      </vt:variant>
      <vt:variant>
        <vt:i4>87</vt:i4>
      </vt:variant>
      <vt:variant>
        <vt:i4>0</vt:i4>
      </vt:variant>
      <vt:variant>
        <vt:i4>5</vt:i4>
      </vt:variant>
      <vt:variant>
        <vt:lpwstr>http://www.ncbi.nlm.nih.gov/pubmed/12658250</vt:lpwstr>
      </vt:variant>
      <vt:variant>
        <vt:lpwstr/>
      </vt:variant>
      <vt:variant>
        <vt:i4>4063271</vt:i4>
      </vt:variant>
      <vt:variant>
        <vt:i4>84</vt:i4>
      </vt:variant>
      <vt:variant>
        <vt:i4>0</vt:i4>
      </vt:variant>
      <vt:variant>
        <vt:i4>5</vt:i4>
      </vt:variant>
      <vt:variant>
        <vt:lpwstr>http://www.ncbi.nlm.nih.gov/pubmed/20954413</vt:lpwstr>
      </vt:variant>
      <vt:variant>
        <vt:lpwstr/>
      </vt:variant>
      <vt:variant>
        <vt:i4>6553890</vt:i4>
      </vt:variant>
      <vt:variant>
        <vt:i4>81</vt:i4>
      </vt:variant>
      <vt:variant>
        <vt:i4>0</vt:i4>
      </vt:variant>
      <vt:variant>
        <vt:i4>5</vt:i4>
      </vt:variant>
      <vt:variant>
        <vt:lpwstr>http://www.ncbi.nlm.nih.gov/pubmed?term=Nenadović%20N%5BAuthor%5D&amp;cauthor=true&amp;cauthor_uid=20954413</vt:lpwstr>
      </vt:variant>
      <vt:variant>
        <vt:lpwstr/>
      </vt:variant>
      <vt:variant>
        <vt:i4>6553889</vt:i4>
      </vt:variant>
      <vt:variant>
        <vt:i4>78</vt:i4>
      </vt:variant>
      <vt:variant>
        <vt:i4>0</vt:i4>
      </vt:variant>
      <vt:variant>
        <vt:i4>5</vt:i4>
      </vt:variant>
      <vt:variant>
        <vt:lpwstr>http://www.ncbi.nlm.nih.gov/pubmed?term=Nenadović%20M%5BAuthor%5D&amp;cauthor=true&amp;cauthor_uid=20954413</vt:lpwstr>
      </vt:variant>
      <vt:variant>
        <vt:lpwstr/>
      </vt:variant>
      <vt:variant>
        <vt:i4>23658595</vt:i4>
      </vt:variant>
      <vt:variant>
        <vt:i4>75</vt:i4>
      </vt:variant>
      <vt:variant>
        <vt:i4>0</vt:i4>
      </vt:variant>
      <vt:variant>
        <vt:i4>5</vt:i4>
      </vt:variant>
      <vt:variant>
        <vt:lpwstr>http://www.ncbi.nlm.nih.gov/pubmed?term=Pavlović%20Z%5BAuthor%5D&amp;cauthor=true&amp;cauthor_uid=20954413</vt:lpwstr>
      </vt:variant>
      <vt:variant>
        <vt:lpwstr/>
      </vt:variant>
      <vt:variant>
        <vt:i4>18153472</vt:i4>
      </vt:variant>
      <vt:variant>
        <vt:i4>72</vt:i4>
      </vt:variant>
      <vt:variant>
        <vt:i4>0</vt:i4>
      </vt:variant>
      <vt:variant>
        <vt:i4>5</vt:i4>
      </vt:variant>
      <vt:variant>
        <vt:lpwstr>http://www.ncbi.nlm.nih.gov/pubmed?term=Dunjić%20B%5BAuthor%5D&amp;cauthor=true&amp;cauthor_uid=20954413</vt:lpwstr>
      </vt:variant>
      <vt:variant>
        <vt:lpwstr/>
      </vt:variant>
      <vt:variant>
        <vt:i4>7209275</vt:i4>
      </vt:variant>
      <vt:variant>
        <vt:i4>69</vt:i4>
      </vt:variant>
      <vt:variant>
        <vt:i4>0</vt:i4>
      </vt:variant>
      <vt:variant>
        <vt:i4>5</vt:i4>
      </vt:variant>
      <vt:variant>
        <vt:lpwstr>http://www.ncbi.nlm.nih.gov/pubmed?term=Jovanović%20A%5BAuthor%5D&amp;cauthor=true&amp;cauthor_uid=20954413</vt:lpwstr>
      </vt:variant>
      <vt:variant>
        <vt:lpwstr/>
      </vt:variant>
      <vt:variant>
        <vt:i4>23265557</vt:i4>
      </vt:variant>
      <vt:variant>
        <vt:i4>66</vt:i4>
      </vt:variant>
      <vt:variant>
        <vt:i4>0</vt:i4>
      </vt:variant>
      <vt:variant>
        <vt:i4>5</vt:i4>
      </vt:variant>
      <vt:variant>
        <vt:lpwstr>http://www.ncbi.nlm.nih.gov/pubmed?term=Vićentić%20S%5BAuthor%5D&amp;cauthor=true&amp;cauthor_uid=20954413</vt:lpwstr>
      </vt:variant>
      <vt:variant>
        <vt:lpwstr/>
      </vt:variant>
      <vt:variant>
        <vt:i4>3276833</vt:i4>
      </vt:variant>
      <vt:variant>
        <vt:i4>63</vt:i4>
      </vt:variant>
      <vt:variant>
        <vt:i4>0</vt:i4>
      </vt:variant>
      <vt:variant>
        <vt:i4>5</vt:i4>
      </vt:variant>
      <vt:variant>
        <vt:lpwstr>http://www.ncbi.nlm.nih.gov/pubmed/23324671</vt:lpwstr>
      </vt:variant>
      <vt:variant>
        <vt:lpwstr/>
      </vt:variant>
      <vt:variant>
        <vt:i4>3145767</vt:i4>
      </vt:variant>
      <vt:variant>
        <vt:i4>60</vt:i4>
      </vt:variant>
      <vt:variant>
        <vt:i4>0</vt:i4>
      </vt:variant>
      <vt:variant>
        <vt:i4>5</vt:i4>
      </vt:variant>
      <vt:variant>
        <vt:lpwstr>http://www.ncbi.nlm.nih.gov/pubmed/23346676</vt:lpwstr>
      </vt:variant>
      <vt:variant>
        <vt:lpwstr/>
      </vt:variant>
      <vt:variant>
        <vt:i4>3538976</vt:i4>
      </vt:variant>
      <vt:variant>
        <vt:i4>57</vt:i4>
      </vt:variant>
      <vt:variant>
        <vt:i4>0</vt:i4>
      </vt:variant>
      <vt:variant>
        <vt:i4>5</vt:i4>
      </vt:variant>
      <vt:variant>
        <vt:lpwstr>http://www.ncbi.nlm.nih.gov/pubmed/17380949</vt:lpwstr>
      </vt:variant>
      <vt:variant>
        <vt:lpwstr/>
      </vt:variant>
      <vt:variant>
        <vt:i4>3276842</vt:i4>
      </vt:variant>
      <vt:variant>
        <vt:i4>54</vt:i4>
      </vt:variant>
      <vt:variant>
        <vt:i4>0</vt:i4>
      </vt:variant>
      <vt:variant>
        <vt:i4>5</vt:i4>
      </vt:variant>
      <vt:variant>
        <vt:lpwstr>http://www.ncbi.nlm.nih.gov/pubmed/18325655</vt:lpwstr>
      </vt:variant>
      <vt:variant>
        <vt:lpwstr/>
      </vt:variant>
      <vt:variant>
        <vt:i4>3801131</vt:i4>
      </vt:variant>
      <vt:variant>
        <vt:i4>51</vt:i4>
      </vt:variant>
      <vt:variant>
        <vt:i4>0</vt:i4>
      </vt:variant>
      <vt:variant>
        <vt:i4>5</vt:i4>
      </vt:variant>
      <vt:variant>
        <vt:lpwstr>http://www.ncbi.nlm.nih.gov/pubmed/22080787</vt:lpwstr>
      </vt:variant>
      <vt:variant>
        <vt:lpwstr/>
      </vt:variant>
      <vt:variant>
        <vt:i4>6357014</vt:i4>
      </vt:variant>
      <vt:variant>
        <vt:i4>48</vt:i4>
      </vt:variant>
      <vt:variant>
        <vt:i4>0</vt:i4>
      </vt:variant>
      <vt:variant>
        <vt:i4>5</vt:i4>
      </vt:variant>
      <vt:variant>
        <vt:lpwstr>http://www.ncbi.nlm.nih.gov/pubmed?term=Moreno%20C%5BAuthor%5D&amp;cauthor=true&amp;cauthor_uid=22080787</vt:lpwstr>
      </vt:variant>
      <vt:variant>
        <vt:lpwstr/>
      </vt:variant>
      <vt:variant>
        <vt:i4>6750274</vt:i4>
      </vt:variant>
      <vt:variant>
        <vt:i4>45</vt:i4>
      </vt:variant>
      <vt:variant>
        <vt:i4>0</vt:i4>
      </vt:variant>
      <vt:variant>
        <vt:i4>5</vt:i4>
      </vt:variant>
      <vt:variant>
        <vt:lpwstr>http://www.ncbi.nlm.nih.gov/pubmed?term=Skene%20D%5BAuthor%5D&amp;cauthor=true&amp;cauthor_uid=22080787</vt:lpwstr>
      </vt:variant>
      <vt:variant>
        <vt:lpwstr/>
      </vt:variant>
      <vt:variant>
        <vt:i4>8060932</vt:i4>
      </vt:variant>
      <vt:variant>
        <vt:i4>42</vt:i4>
      </vt:variant>
      <vt:variant>
        <vt:i4>0</vt:i4>
      </vt:variant>
      <vt:variant>
        <vt:i4>5</vt:i4>
      </vt:variant>
      <vt:variant>
        <vt:lpwstr>http://www.ncbi.nlm.nih.gov/pubmed?term=Kantermann%20T%5BAuthor%5D&amp;cauthor=true&amp;cauthor_uid=22080787</vt:lpwstr>
      </vt:variant>
      <vt:variant>
        <vt:lpwstr/>
      </vt:variant>
      <vt:variant>
        <vt:i4>3145729</vt:i4>
      </vt:variant>
      <vt:variant>
        <vt:i4>39</vt:i4>
      </vt:variant>
      <vt:variant>
        <vt:i4>0</vt:i4>
      </vt:variant>
      <vt:variant>
        <vt:i4>5</vt:i4>
      </vt:variant>
      <vt:variant>
        <vt:lpwstr>http://www.ncbi.nlm.nih.gov/pubmed?term=Marqueze%20EC%5BAuthor%5D&amp;cauthor=true&amp;cauthor_uid=22080787</vt:lpwstr>
      </vt:variant>
      <vt:variant>
        <vt:lpwstr/>
      </vt:variant>
      <vt:variant>
        <vt:i4>12124241</vt:i4>
      </vt:variant>
      <vt:variant>
        <vt:i4>36</vt:i4>
      </vt:variant>
      <vt:variant>
        <vt:i4>0</vt:i4>
      </vt:variant>
      <vt:variant>
        <vt:i4>5</vt:i4>
      </vt:variant>
      <vt:variant>
        <vt:lpwstr>http://www.ncbi.nlm.nih.gov/pubmed?term=Ulhôa%20MA%5BAuthor%5D&amp;cauthor=true&amp;cauthor_uid=22080787</vt:lpwstr>
      </vt:variant>
      <vt:variant>
        <vt:lpwstr/>
      </vt:variant>
      <vt:variant>
        <vt:i4>3604486</vt:i4>
      </vt:variant>
      <vt:variant>
        <vt:i4>33</vt:i4>
      </vt:variant>
      <vt:variant>
        <vt:i4>0</vt:i4>
      </vt:variant>
      <vt:variant>
        <vt:i4>5</vt:i4>
      </vt:variant>
      <vt:variant>
        <vt:lpwstr>http://www.ncbi.nlm.nih.gov/pubmed?term=Alvarez-Dardet%20C%5BAuthor%5D&amp;cauthor=true&amp;cauthor_uid=10846188</vt:lpwstr>
      </vt:variant>
      <vt:variant>
        <vt:lpwstr/>
      </vt:variant>
      <vt:variant>
        <vt:i4>6553669</vt:i4>
      </vt:variant>
      <vt:variant>
        <vt:i4>30</vt:i4>
      </vt:variant>
      <vt:variant>
        <vt:i4>0</vt:i4>
      </vt:variant>
      <vt:variant>
        <vt:i4>5</vt:i4>
      </vt:variant>
      <vt:variant>
        <vt:lpwstr>http://www.ncbi.nlm.nih.gov/pubmed?term=Ronda%20E%5BAuthor%5D&amp;cauthor=true&amp;cauthor_uid=10846188</vt:lpwstr>
      </vt:variant>
      <vt:variant>
        <vt:lpwstr/>
      </vt:variant>
      <vt:variant>
        <vt:i4>3473444</vt:i4>
      </vt:variant>
      <vt:variant>
        <vt:i4>27</vt:i4>
      </vt:variant>
      <vt:variant>
        <vt:i4>0</vt:i4>
      </vt:variant>
      <vt:variant>
        <vt:i4>5</vt:i4>
      </vt:variant>
      <vt:variant>
        <vt:lpwstr>http://www.ncbi.nlm.nih.gov/pubmed/4026744</vt:lpwstr>
      </vt:variant>
      <vt:variant>
        <vt:lpwstr/>
      </vt:variant>
      <vt:variant>
        <vt:i4>4456568</vt:i4>
      </vt:variant>
      <vt:variant>
        <vt:i4>24</vt:i4>
      </vt:variant>
      <vt:variant>
        <vt:i4>0</vt:i4>
      </vt:variant>
      <vt:variant>
        <vt:i4>5</vt:i4>
      </vt:variant>
      <vt:variant>
        <vt:lpwstr>http://www.ncbi.nlm.nih.gov/pubmed?term=Cooper%20CL%5BAuthor%5D&amp;cauthor=true&amp;cauthor_uid=4026744</vt:lpwstr>
      </vt:variant>
      <vt:variant>
        <vt:lpwstr/>
      </vt:variant>
      <vt:variant>
        <vt:i4>3473443</vt:i4>
      </vt:variant>
      <vt:variant>
        <vt:i4>21</vt:i4>
      </vt:variant>
      <vt:variant>
        <vt:i4>0</vt:i4>
      </vt:variant>
      <vt:variant>
        <vt:i4>5</vt:i4>
      </vt:variant>
      <vt:variant>
        <vt:lpwstr>http://www.ncbi.nlm.nih.gov/pubmed/9223846</vt:lpwstr>
      </vt:variant>
      <vt:variant>
        <vt:lpwstr/>
      </vt:variant>
      <vt:variant>
        <vt:i4>7602206</vt:i4>
      </vt:variant>
      <vt:variant>
        <vt:i4>18</vt:i4>
      </vt:variant>
      <vt:variant>
        <vt:i4>0</vt:i4>
      </vt:variant>
      <vt:variant>
        <vt:i4>5</vt:i4>
      </vt:variant>
      <vt:variant>
        <vt:lpwstr>http://www.ncbi.nlm.nih.gov/pubmed?term=Grayham%20DA%5BAuthor%5D&amp;cauthor=true&amp;cauthor_uid=9223846</vt:lpwstr>
      </vt:variant>
      <vt:variant>
        <vt:lpwstr/>
      </vt:variant>
      <vt:variant>
        <vt:i4>3538990</vt:i4>
      </vt:variant>
      <vt:variant>
        <vt:i4>15</vt:i4>
      </vt:variant>
      <vt:variant>
        <vt:i4>0</vt:i4>
      </vt:variant>
      <vt:variant>
        <vt:i4>5</vt:i4>
      </vt:variant>
      <vt:variant>
        <vt:lpwstr>http://www.ncbi.nlm.nih.gov/pubmed/?term=A+synthesis+of+the+evidence+for+managing+stress+at+work%3A+a+review+of+the+reviews+reporting+on+anxiety%2C+depression%2C+and+absenteeism.</vt:lpwstr>
      </vt:variant>
      <vt:variant>
        <vt:lpwstr/>
      </vt:variant>
      <vt:variant>
        <vt:i4>3866689</vt:i4>
      </vt:variant>
      <vt:variant>
        <vt:i4>12</vt:i4>
      </vt:variant>
      <vt:variant>
        <vt:i4>0</vt:i4>
      </vt:variant>
      <vt:variant>
        <vt:i4>5</vt:i4>
      </vt:variant>
      <vt:variant>
        <vt:lpwstr>http://www.ncbi.nlm.nih.gov/pubmed?term=White%20PD%5BAuthor%5D&amp;cauthor=true&amp;cauthor_uid=22496705</vt:lpwstr>
      </vt:variant>
      <vt:variant>
        <vt:lpwstr/>
      </vt:variant>
      <vt:variant>
        <vt:i4>3276889</vt:i4>
      </vt:variant>
      <vt:variant>
        <vt:i4>9</vt:i4>
      </vt:variant>
      <vt:variant>
        <vt:i4>0</vt:i4>
      </vt:variant>
      <vt:variant>
        <vt:i4>5</vt:i4>
      </vt:variant>
      <vt:variant>
        <vt:lpwstr>http://www.ncbi.nlm.nih.gov/pubmed?term=Stansfeld%20SA%5BAuthor%5D&amp;cauthor=true&amp;cauthor_uid=22496705</vt:lpwstr>
      </vt:variant>
      <vt:variant>
        <vt:lpwstr/>
      </vt:variant>
      <vt:variant>
        <vt:i4>7209054</vt:i4>
      </vt:variant>
      <vt:variant>
        <vt:i4>6</vt:i4>
      </vt:variant>
      <vt:variant>
        <vt:i4>0</vt:i4>
      </vt:variant>
      <vt:variant>
        <vt:i4>5</vt:i4>
      </vt:variant>
      <vt:variant>
        <vt:lpwstr>http://www.ncbi.nlm.nih.gov/pubmed?term=Dinos%20S%5BAuthor%5D&amp;cauthor=true&amp;cauthor_uid=22496705</vt:lpwstr>
      </vt:variant>
      <vt:variant>
        <vt:lpwstr/>
      </vt:variant>
      <vt:variant>
        <vt:i4>2424855</vt:i4>
      </vt:variant>
      <vt:variant>
        <vt:i4>3</vt:i4>
      </vt:variant>
      <vt:variant>
        <vt:i4>0</vt:i4>
      </vt:variant>
      <vt:variant>
        <vt:i4>5</vt:i4>
      </vt:variant>
      <vt:variant>
        <vt:lpwstr>http://www.ncbi.nlm.nih.gov/pubmed?term=Bhui%20KS%5BAuthor%5D&amp;cauthor=true&amp;cauthor_uid=22496705</vt:lpwstr>
      </vt:variant>
      <vt:variant>
        <vt:lpwstr/>
      </vt:variant>
      <vt:variant>
        <vt:i4>3801123</vt:i4>
      </vt:variant>
      <vt:variant>
        <vt:i4>0</vt:i4>
      </vt:variant>
      <vt:variant>
        <vt:i4>0</vt:i4>
      </vt:variant>
      <vt:variant>
        <vt:i4>5</vt:i4>
      </vt:variant>
      <vt:variant>
        <vt:lpwstr>http://www.ncbi.nlm.nih.gov/pubmed/12658250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Protocole de Recherche Clinique</dc:title>
  <dc:subject/>
  <dc:creator>Dr GOETZ C</dc:creator>
  <cp:keywords/>
  <cp:lastModifiedBy>Frédéric DUTHEIL</cp:lastModifiedBy>
  <cp:revision>2</cp:revision>
  <cp:lastPrinted>2014-03-13T10:05:00Z</cp:lastPrinted>
  <dcterms:created xsi:type="dcterms:W3CDTF">2017-05-06T12:48:00Z</dcterms:created>
  <dcterms:modified xsi:type="dcterms:W3CDTF">2017-05-06T12:48:00Z</dcterms:modified>
</cp:coreProperties>
</file>