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"/>
        <w:tblpPr w:leftFromText="180" w:rightFromText="180" w:horzAnchor="margin" w:tblpXSpec="center" w:tblpY="-280"/>
        <w:tblW w:w="0" w:type="auto"/>
        <w:tblLook w:val="0400" w:firstRow="0" w:lastRow="0" w:firstColumn="0" w:lastColumn="0" w:noHBand="0" w:noVBand="1"/>
      </w:tblPr>
      <w:tblGrid>
        <w:gridCol w:w="2527"/>
        <w:gridCol w:w="1261"/>
        <w:gridCol w:w="2660"/>
        <w:gridCol w:w="693"/>
        <w:gridCol w:w="1443"/>
        <w:gridCol w:w="805"/>
      </w:tblGrid>
      <w:tr w:rsidR="008C7DD4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D4" w:rsidRPr="008C7DD4" w:rsidRDefault="008C7DD4" w:rsidP="007568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C7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SNP</w:t>
            </w:r>
            <w:r w:rsidR="002F36F2" w:rsidRPr="002F36F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 w:rsidRPr="008C7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D4" w:rsidRPr="008C7DD4" w:rsidRDefault="008C7DD4" w:rsidP="007568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D4" w:rsidRPr="008C7DD4" w:rsidRDefault="008C7DD4" w:rsidP="007568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D4" w:rsidRPr="008C7DD4" w:rsidRDefault="000C1955" w:rsidP="007568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BTA</w:t>
            </w:r>
            <w:r w:rsidR="002F36F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D4" w:rsidRPr="008C7DD4" w:rsidRDefault="008C7DD4" w:rsidP="007568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</w:t>
            </w:r>
            <w:r w:rsidR="000C1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0C1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bp</w:t>
            </w:r>
            <w:proofErr w:type="spellEnd"/>
            <w:r w:rsidR="000C19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2F36F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D4" w:rsidRPr="008C7DD4" w:rsidRDefault="008C7DD4" w:rsidP="007568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D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ARS-BFGL-NGS-67327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rs110505759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Weight (mature)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72519744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ARS-BFGL-NGS-41839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rs110564947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Weight (mature)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76416854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ARS-BFGL-NGS-39379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rs110421124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Weight (mature)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106269362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ARS-BFGL-NGS-18900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rs110059753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Weight (mature)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93218452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[1]</w:t>
            </w:r>
          </w:p>
        </w:tc>
      </w:tr>
      <w:tr w:rsidR="007568B7" w:rsidRPr="008C7DD4" w:rsidTr="007568B7">
        <w:trPr>
          <w:trHeight w:val="356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ARS-BFGL-NGS-6079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rs110835938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Weight (mature)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21595908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[1]</w:t>
            </w:r>
          </w:p>
        </w:tc>
      </w:tr>
      <w:tr w:rsidR="0090529F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90529F" w:rsidRPr="0090529F" w:rsidRDefault="0090529F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ARS-BFGL-NGS-97944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90529F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rs41711496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90529F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Daughter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Rate/Prod. Life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90529F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90529F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75567844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BTB-01271264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rs42397090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Early Embryonic Survival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27557552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ARS-BFGL-NGS-45806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rs110721971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Early Embryonic Survival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37025686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ARS-BFGL-NGS-103355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rs110464321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Early Embryonic Survival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19590132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[3]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Hapmap58887-rs29013502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rs29013502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28907154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Hapmap47861-BTA-120563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rs41622115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89472174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Hapmap47403-BTA-76048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rs41567027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45153190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Hapmap46698-BTA-38760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rs41579673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35317388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Hapmap39941-BTA-70878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rs41573162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64386271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Hapmap30420-BTC-039335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rs109279094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45175137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BTB-01646599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rs42761380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28941584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BTB-01485274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rs42609685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28877547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BTB-01267080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rs42394542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89512928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BTB-01267042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rs42393904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89568937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BTB-00638221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rs41798380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35272426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BTA-27496-no-rs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rs41609304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2500836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ARS-BFGL-NGS-89847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rs110209659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2457750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ARS-BFGL-NGS-71584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rs42090237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20290497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ARS-BFGL-NGS-458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rs111023020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64351574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ARS-BFGL-NGS-41140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rs42042561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28975828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ARS-BFGL-NGS-35716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rs110012069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29013292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ARS-BFGL-NGS-29516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rs109002679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14246801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ARS-BFGL-NGS-23064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rs109890402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20365711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ARS-BFGL-NGS-16848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rs110076378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2924302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ARS-BFGL-NGS-108847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rs43719996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58500249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ARS-BFGL-NGS-107395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rs110333567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47527067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ARS-BFGL-NGS-106628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rs110691682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35172005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ARS-BFGL-NGS-10307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rs109477915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20259486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ARS-BFGL-NGS-100932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rs41798395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35230105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ARS-BFGL-NGS-100006 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rs41568955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 Stress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14215024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[4]</w:t>
            </w:r>
          </w:p>
        </w:tc>
      </w:tr>
      <w:tr w:rsidR="0090529F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90529F" w:rsidRPr="0090529F" w:rsidRDefault="0090529F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ARS-BFGL-NGS-34049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90529F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rs109262355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3001BE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Heifer </w:t>
            </w:r>
            <w:r w:rsidR="0090529F"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Conception Rate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90529F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90529F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35249040</w:t>
            </w:r>
          </w:p>
        </w:tc>
        <w:tc>
          <w:tcPr>
            <w:tcW w:w="0" w:type="auto"/>
            <w:noWrap/>
            <w:vAlign w:val="center"/>
            <w:hideMark/>
          </w:tcPr>
          <w:p w:rsidR="0090529F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[2]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UA-IFASA-6878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rs41629750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2002873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UA-IFASA-6228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rs110718625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6859824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Hapmap32236-BTC-049785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rs42215845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6795860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Hapmap32234-BTC-048199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rs108995214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7314869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Hapmap30646-BTC-002054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rs110060785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2553525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Hapmap30374-BTC-002159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rs109529219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2468020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Hapmap30086-BTC-002066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rs110199901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2524432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Hapmap29888-BTC-003509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rs110237430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2803998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Hapmap26598-BTC-062212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rs41597129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8173920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Hapmap24715-BTC-001973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rs110323635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2239085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Hapmap23454-BTC-046932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rs108971409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5831267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BTA-35941-no-rs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rs41627764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2276443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ARS-BFGL-NGS-94706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rs17870736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1696470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ARS-BFGL-NGS-4939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rs109421300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1801116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ARS-BFGL-NGS-3571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rs110351374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5225467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ARS-BFGL-NGS-34135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rs109968515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1675278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ARS-BFGL-NGS-26520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rs109617015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2386688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ARS-BFGL-NGS-107379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rs109350371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2054457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ARS-BFGL-NGS-102953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rs110856800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7542584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ARS-BFGL-NGS-100480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rs110017379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4364952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ARS-BFGL-BAC-24804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rs110236070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5795431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[5]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Hapmap32136-BTA-160383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rs110220642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92705191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[6]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Hapmap48796-BTA-51083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rs41635833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63120443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[7]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Hapmap47184-BTA-114107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rs41613557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33173961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[7]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Hapmap33541-BTC-016426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rs111008794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1431881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[7]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ARS-BFGL-NGS-56044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rs110529685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43170091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[7]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ARS-BFGL-NGS-3562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rs109557202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1489008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[7]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Hapmap38412-BTA-50496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rs41581070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37468100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[8]</w:t>
            </w:r>
          </w:p>
        </w:tc>
      </w:tr>
      <w:tr w:rsidR="007568B7" w:rsidRPr="008C7DD4" w:rsidTr="007568B7">
        <w:trPr>
          <w:trHeight w:val="315"/>
        </w:trPr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BTA-50482-no-rs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rs41581068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 Yield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90529F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36336225</w:t>
            </w:r>
          </w:p>
        </w:tc>
        <w:tc>
          <w:tcPr>
            <w:tcW w:w="0" w:type="auto"/>
            <w:noWrap/>
            <w:vAlign w:val="center"/>
            <w:hideMark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[8]</w:t>
            </w:r>
          </w:p>
        </w:tc>
      </w:tr>
      <w:tr w:rsidR="007568B7" w:rsidRPr="008C7DD4" w:rsidTr="00756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568B7" w:rsidRPr="006B6D20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B6D20">
              <w:rPr>
                <w:rFonts w:ascii="Times New Roman" w:hAnsi="Times New Roman" w:cs="Times New Roman"/>
                <w:color w:val="000000"/>
                <w:sz w:val="20"/>
              </w:rPr>
              <w:t>BTA-37177-no-rs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568B7" w:rsidRPr="006B6D20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B6D20">
              <w:rPr>
                <w:rFonts w:ascii="Times New Roman" w:hAnsi="Times New Roman" w:cs="Times New Roman"/>
                <w:color w:val="000000"/>
                <w:sz w:val="20"/>
              </w:rPr>
              <w:t>rs41583256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568B7" w:rsidRPr="006B6D20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B6D20">
              <w:rPr>
                <w:rFonts w:ascii="Times New Roman" w:hAnsi="Times New Roman" w:cs="Times New Roman"/>
                <w:color w:val="000000"/>
                <w:sz w:val="20"/>
              </w:rPr>
              <w:t>Milk Yield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568B7" w:rsidRPr="006B6D20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B6D20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568B7" w:rsidRPr="006B6D20" w:rsidRDefault="007568B7" w:rsidP="007568B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B6D20">
              <w:rPr>
                <w:rFonts w:ascii="Times New Roman" w:hAnsi="Times New Roman" w:cs="Times New Roman"/>
                <w:color w:val="000000"/>
                <w:sz w:val="20"/>
              </w:rPr>
              <w:t>58775396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7568B7" w:rsidRPr="00A14159" w:rsidRDefault="007568B7" w:rsidP="00756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[8]</w:t>
            </w:r>
          </w:p>
        </w:tc>
      </w:tr>
      <w:tr w:rsidR="007568B7" w:rsidRPr="008C7DD4" w:rsidTr="00E93F38">
        <w:trPr>
          <w:trHeight w:val="755"/>
        </w:trPr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68B7" w:rsidRDefault="002F36F2" w:rsidP="00E93F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75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SNP: single-nucleotide polymorphism</w:t>
            </w:r>
          </w:p>
          <w:p w:rsidR="007568B7" w:rsidRDefault="002F36F2" w:rsidP="00E93F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75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BTA: </w:t>
            </w:r>
            <w:proofErr w:type="spellStart"/>
            <w:r w:rsidR="007568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Bos</w:t>
            </w:r>
            <w:proofErr w:type="spellEnd"/>
            <w:r w:rsidR="007568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68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</w:t>
            </w:r>
            <w:r w:rsidR="007568B7" w:rsidRPr="003A6BD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aurus</w:t>
            </w:r>
            <w:proofErr w:type="spellEnd"/>
            <w:r w:rsidR="0075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autosome</w:t>
            </w:r>
          </w:p>
          <w:p w:rsidR="007568B7" w:rsidRDefault="002F36F2" w:rsidP="00E93F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75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Location (</w:t>
            </w:r>
            <w:proofErr w:type="spellStart"/>
            <w:r w:rsidR="0075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</w:t>
            </w:r>
            <w:proofErr w:type="spellEnd"/>
            <w:r w:rsidR="00756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location of SNP on chromosome measured as base-pairs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from the UMD3.1 assembly</w:t>
            </w:r>
            <w:r w:rsidR="00300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F36F2" w:rsidRPr="005A77A9" w:rsidRDefault="002F36F2" w:rsidP="00E93F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B379E" w:rsidRDefault="002B379E"/>
    <w:p w:rsidR="007568B7" w:rsidRDefault="007568B7"/>
    <w:p w:rsidR="007568B7" w:rsidRDefault="007568B7"/>
    <w:p w:rsidR="007568B7" w:rsidRDefault="007568B7"/>
    <w:p w:rsidR="007568B7" w:rsidRDefault="007568B7"/>
    <w:p w:rsidR="00E62116" w:rsidRDefault="00E62116"/>
    <w:p w:rsidR="00E62116" w:rsidRDefault="00E62116"/>
    <w:p w:rsidR="00E62116" w:rsidRPr="00E62116" w:rsidRDefault="00E62116">
      <w:pPr>
        <w:rPr>
          <w:rFonts w:ascii="Times New Roman" w:hAnsi="Times New Roman" w:cs="Times New Roman"/>
        </w:rPr>
      </w:pPr>
    </w:p>
    <w:p w:rsidR="007568B7" w:rsidRPr="00E62116" w:rsidRDefault="007568B7">
      <w:pPr>
        <w:rPr>
          <w:rFonts w:ascii="Times New Roman" w:hAnsi="Times New Roman" w:cs="Times New Roman"/>
          <w:b/>
        </w:rPr>
      </w:pPr>
      <w:r w:rsidRPr="00E62116">
        <w:rPr>
          <w:rFonts w:ascii="Times New Roman" w:hAnsi="Times New Roman" w:cs="Times New Roman"/>
          <w:b/>
        </w:rPr>
        <w:t>Literature Cited.</w:t>
      </w:r>
    </w:p>
    <w:p w:rsidR="007568B7" w:rsidRPr="00E62116" w:rsidRDefault="007568B7" w:rsidP="007568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Saatchi M, Schnabel RD, Taylor JF, Garrick DJ (2014) Large-effect pleiotropic or closely linked QTL segregate within and across ten US cattle breeds.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BMC genomics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15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(1):442. </w:t>
      </w:r>
      <w:proofErr w:type="spellStart"/>
      <w:proofErr w:type="gram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doi</w:t>
      </w:r>
      <w:proofErr w:type="spellEnd"/>
      <w:proofErr w:type="gram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: 10.1186/1471-2164-15-442.</w:t>
      </w:r>
    </w:p>
    <w:p w:rsidR="007568B7" w:rsidRPr="00E62116" w:rsidRDefault="007568B7" w:rsidP="007568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"/>
        </w:rPr>
      </w:pP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Cochran SD, Cole JB, Null DJ, Hansen PJ (2013) Discovery of single nucleotide polymorphisms in candidate genes associated with fertility and production traits in Holstein cattle.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BMC </w:t>
      </w:r>
      <w:proofErr w:type="gramStart"/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Genet.14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gram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1):49.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doi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E62116"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E62116">
        <w:rPr>
          <w:rFonts w:ascii="Times New Roman" w:hAnsi="Times New Roman" w:cs="Times New Roman"/>
          <w:sz w:val="24"/>
          <w:szCs w:val="24"/>
          <w:lang w:val="en"/>
        </w:rPr>
        <w:t>10.1186/1471-2156-14-49</w:t>
      </w:r>
    </w:p>
    <w:p w:rsidR="007568B7" w:rsidRPr="00E62116" w:rsidRDefault="007568B7" w:rsidP="007568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Huang W, Kirkpatrick BW, Rosa GJM,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Khatib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  (2010) A genome</w:t>
      </w:r>
      <w:r w:rsidRPr="00E62116">
        <w:rPr>
          <w:rFonts w:ascii="Cambria Math" w:eastAsia="Times New Roman" w:hAnsi="Cambria Math" w:cs="Cambria Math"/>
          <w:color w:val="222222"/>
          <w:sz w:val="24"/>
          <w:szCs w:val="24"/>
        </w:rPr>
        <w:t>‐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wide association study using selective DNA pooling identifies candidate markers for fertility in Holstein cattle.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Animal Genet. 41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(6):570-578.</w:t>
      </w:r>
    </w:p>
    <w:p w:rsidR="007568B7" w:rsidRPr="00E62116" w:rsidRDefault="007568B7" w:rsidP="007568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Dikmen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S, Cole JB, Null DJ, Hansen PJ (2013) Genome-wide association mapping for identification of quantitative trait loci for rectal temperature during heat stress in Holstein cattle. </w:t>
      </w:r>
      <w:proofErr w:type="spellStart"/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PLoS</w:t>
      </w:r>
      <w:proofErr w:type="spellEnd"/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One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8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(7), p.e69202. </w:t>
      </w:r>
      <w:proofErr w:type="spellStart"/>
      <w:proofErr w:type="gram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doi</w:t>
      </w:r>
      <w:proofErr w:type="spellEnd"/>
      <w:proofErr w:type="gram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: 10.1371/journal/one.0069202.</w:t>
      </w:r>
    </w:p>
    <w:p w:rsidR="007568B7" w:rsidRPr="00E62116" w:rsidRDefault="007568B7" w:rsidP="007568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Meredith BK, Kearney FJ, Finlay EK, Bradley DG, Fahey AG, Berry DP, Lynn DJ (2012) Genome-wide associations for milk production and somatic cell score in Holstein-Friesian cattle in Ireland.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BMC Genetic.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13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(1): 21.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doi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: 10.1186/1471-2156-13-21</w:t>
      </w:r>
    </w:p>
    <w:p w:rsidR="007568B7" w:rsidRPr="00E62116" w:rsidRDefault="007568B7" w:rsidP="007568B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Maxa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Neuditschko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M, Russ I,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Förster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Medugorac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(2012) Genome-wide association mapping of milk production traits in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Braunvieh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cattle.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J Dairy Sci.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95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(9): 5357-5364. </w:t>
      </w:r>
      <w:hyperlink r:id="rId7" w:tgtFrame="doilink" w:history="1">
        <w:r w:rsidRPr="00E62116">
          <w:rPr>
            <w:rFonts w:ascii="Times New Roman" w:eastAsia="Times New Roman" w:hAnsi="Times New Roman" w:cs="Times New Roman"/>
            <w:sz w:val="24"/>
            <w:szCs w:val="24"/>
          </w:rPr>
          <w:t>doi:10.3168/jds.2011-4673</w:t>
        </w:r>
      </w:hyperlink>
    </w:p>
    <w:p w:rsidR="007568B7" w:rsidRPr="00E62116" w:rsidRDefault="007568B7" w:rsidP="007568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 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Guo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Jorjani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Carlborg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Ö (2012) </w:t>
      </w:r>
      <w:proofErr w:type="gram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genome-wide association study using international breeding-evaluation data identifies major loci affecting production traits and stature in the Brown Swiss cattle breed. </w:t>
      </w:r>
      <w:proofErr w:type="gramStart"/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BMC Genet.</w:t>
      </w:r>
      <w:proofErr w:type="gram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2: </w:t>
      </w:r>
      <w:r w:rsidRPr="00E62116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13 (1)</w:t>
      </w: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82. </w:t>
      </w:r>
      <w:proofErr w:type="gram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doi:</w:t>
      </w:r>
      <w:proofErr w:type="gram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10.1186/1471-2156-13-82</w:t>
      </w:r>
    </w:p>
    <w:p w:rsidR="007568B7" w:rsidRPr="00E62116" w:rsidRDefault="007568B7" w:rsidP="007568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  Chamberlain AJ, Hayes BJ,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Savin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Bolormaa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McPartlan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HC, Bowman PJ, Van Der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Jagt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C, </w:t>
      </w:r>
      <w:proofErr w:type="spell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MacEachern</w:t>
      </w:r>
      <w:proofErr w:type="spell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S, Goddard ME. (2012) Validation of single nucleotide polymorphisms associated with milk production traits in dairy cattle. J Dairy Sci. 95(2): 865-875. </w:t>
      </w:r>
      <w:proofErr w:type="spellStart"/>
      <w:proofErr w:type="gramStart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doi</w:t>
      </w:r>
      <w:proofErr w:type="spellEnd"/>
      <w:proofErr w:type="gramEnd"/>
      <w:r w:rsidRPr="00E62116">
        <w:rPr>
          <w:rFonts w:ascii="Times New Roman" w:eastAsia="Times New Roman" w:hAnsi="Times New Roman" w:cs="Times New Roman"/>
          <w:color w:val="222222"/>
          <w:sz w:val="24"/>
          <w:szCs w:val="24"/>
        </w:rPr>
        <w:t>: 10.3168/jds.2010-3786</w:t>
      </w:r>
    </w:p>
    <w:p w:rsidR="007568B7" w:rsidRPr="00E62116" w:rsidRDefault="007568B7">
      <w:pPr>
        <w:rPr>
          <w:rFonts w:ascii="Times New Roman" w:hAnsi="Times New Roman" w:cs="Times New Roman"/>
        </w:rPr>
      </w:pPr>
    </w:p>
    <w:p w:rsidR="007568B7" w:rsidRPr="00E62116" w:rsidRDefault="007568B7">
      <w:pPr>
        <w:rPr>
          <w:rFonts w:ascii="Times New Roman" w:hAnsi="Times New Roman" w:cs="Times New Roman"/>
        </w:rPr>
      </w:pPr>
    </w:p>
    <w:sectPr w:rsidR="007568B7" w:rsidRPr="00E62116" w:rsidSect="005A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D17"/>
    <w:multiLevelType w:val="hybridMultilevel"/>
    <w:tmpl w:val="95E0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D4"/>
    <w:rsid w:val="00024F4C"/>
    <w:rsid w:val="00040BCB"/>
    <w:rsid w:val="000C1955"/>
    <w:rsid w:val="001239CF"/>
    <w:rsid w:val="001D3FA5"/>
    <w:rsid w:val="002A4357"/>
    <w:rsid w:val="002B379E"/>
    <w:rsid w:val="002F36F2"/>
    <w:rsid w:val="003001BE"/>
    <w:rsid w:val="003A6BD5"/>
    <w:rsid w:val="005A77A9"/>
    <w:rsid w:val="00641899"/>
    <w:rsid w:val="006B6D20"/>
    <w:rsid w:val="007568B7"/>
    <w:rsid w:val="00860283"/>
    <w:rsid w:val="008833A5"/>
    <w:rsid w:val="008C7DD4"/>
    <w:rsid w:val="0090529F"/>
    <w:rsid w:val="00CE4816"/>
    <w:rsid w:val="00E62116"/>
    <w:rsid w:val="00E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rsid w:val="008C7D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8C7D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A77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2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2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52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529F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568B7"/>
    <w:rPr>
      <w:b/>
      <w:bCs/>
    </w:rPr>
  </w:style>
  <w:style w:type="paragraph" w:styleId="ListParagraph">
    <w:name w:val="List Paragraph"/>
    <w:basedOn w:val="Normal"/>
    <w:uiPriority w:val="34"/>
    <w:qFormat/>
    <w:rsid w:val="0075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">
    <w:name w:val="Colorful Grid"/>
    <w:basedOn w:val="TableNormal"/>
    <w:uiPriority w:val="73"/>
    <w:rsid w:val="008C7D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8C7DD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D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A77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2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2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052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529F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7568B7"/>
    <w:rPr>
      <w:b/>
      <w:bCs/>
    </w:rPr>
  </w:style>
  <w:style w:type="paragraph" w:styleId="ListParagraph">
    <w:name w:val="List Paragraph"/>
    <w:basedOn w:val="Normal"/>
    <w:uiPriority w:val="34"/>
    <w:qFormat/>
    <w:rsid w:val="0075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x.doi.org/10.3168/jds.2011-46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60EF-9F12-4E27-A942-7344847A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Krehbiel</dc:creator>
  <cp:lastModifiedBy>Bethany Krehbiel</cp:lastModifiedBy>
  <cp:revision>2</cp:revision>
  <cp:lastPrinted>2016-05-11T17:04:00Z</cp:lastPrinted>
  <dcterms:created xsi:type="dcterms:W3CDTF">2017-04-14T22:20:00Z</dcterms:created>
  <dcterms:modified xsi:type="dcterms:W3CDTF">2017-04-14T22:20:00Z</dcterms:modified>
</cp:coreProperties>
</file>