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07" w:rsidRPr="000B79A0" w:rsidRDefault="00917107" w:rsidP="00917107">
      <w:pPr>
        <w:pStyle w:val="1"/>
        <w:rPr>
          <w:b w:val="0"/>
          <w:color w:val="000000" w:themeColor="text1"/>
        </w:rPr>
      </w:pPr>
      <w:proofErr w:type="gramStart"/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>S</w:t>
      </w:r>
      <w:r w:rsidRPr="005F26CE">
        <w:rPr>
          <w:rFonts w:ascii="Times New Roman" w:hAnsi="Times New Roman" w:cs="Times New Roman" w:hint="eastAsia"/>
          <w:bCs w:val="0"/>
          <w:color w:val="000000" w:themeColor="text1"/>
          <w:sz w:val="24"/>
        </w:rPr>
        <w:t>7</w:t>
      </w:r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Table.</w:t>
      </w:r>
      <w:proofErr w:type="gramEnd"/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GO enrichment analysis</w:t>
      </w:r>
      <w:r w:rsidRPr="005F26CE">
        <w:rPr>
          <w:rFonts w:ascii="Times New Roman" w:hAnsi="Times New Roman" w:cs="Times New Roman" w:hint="eastAsia"/>
          <w:bCs w:val="0"/>
          <w:color w:val="000000" w:themeColor="text1"/>
          <w:sz w:val="24"/>
        </w:rPr>
        <w:t xml:space="preserve"> of </w:t>
      </w:r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>all 42 modules</w:t>
      </w:r>
      <w:r w:rsidRPr="005F26CE">
        <w:rPr>
          <w:rFonts w:ascii="Times New Roman" w:hAnsi="Times New Roman" w:cs="Times New Roman" w:hint="eastAsia"/>
          <w:bCs w:val="0"/>
          <w:color w:val="000000" w:themeColor="text1"/>
          <w:sz w:val="24"/>
        </w:rPr>
        <w:t xml:space="preserve">. </w:t>
      </w:r>
      <w:r w:rsidRPr="000B79A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W</w:t>
      </w:r>
      <w:r w:rsidRPr="000B79A0">
        <w:rPr>
          <w:rFonts w:ascii="Times New Roman" w:hAnsi="Times New Roman" w:cs="Times New Roman" w:hint="eastAsia"/>
          <w:b w:val="0"/>
          <w:bCs w:val="0"/>
          <w:color w:val="000000" w:themeColor="text1"/>
          <w:sz w:val="24"/>
        </w:rPr>
        <w:t xml:space="preserve">e listed the smallest </w:t>
      </w:r>
      <w:r w:rsidRPr="000B79A0">
        <w:rPr>
          <w:rFonts w:ascii="Times New Roman" w:eastAsia="宋体" w:hAnsi="Times New Roman" w:cs="Times New Roman"/>
          <w:b w:val="0"/>
          <w:color w:val="000000" w:themeColor="text1"/>
          <w:sz w:val="24"/>
          <w:szCs w:val="24"/>
        </w:rPr>
        <w:t>p-value</w:t>
      </w:r>
      <w:r w:rsidRPr="000B79A0">
        <w:rPr>
          <w:rFonts w:ascii="Times New Roman" w:eastAsia="宋体" w:hAnsi="Times New Roman" w:cs="Times New Roman" w:hint="eastAsia"/>
          <w:b w:val="0"/>
          <w:color w:val="000000" w:themeColor="text1"/>
          <w:sz w:val="24"/>
          <w:szCs w:val="24"/>
        </w:rPr>
        <w:t xml:space="preserve"> terms of each module. If the </w:t>
      </w:r>
      <w:r w:rsidRPr="000B79A0">
        <w:rPr>
          <w:rFonts w:ascii="Times New Roman" w:hAnsi="Times New Roman" w:cs="Times New Roman" w:hint="eastAsia"/>
          <w:b w:val="0"/>
          <w:bCs w:val="0"/>
          <w:color w:val="000000" w:themeColor="text1"/>
          <w:sz w:val="24"/>
        </w:rPr>
        <w:t xml:space="preserve">smallest </w:t>
      </w:r>
      <w:r w:rsidRPr="000B79A0">
        <w:rPr>
          <w:rFonts w:ascii="Times New Roman" w:eastAsia="宋体" w:hAnsi="Times New Roman" w:cs="Times New Roman"/>
          <w:b w:val="0"/>
          <w:color w:val="000000" w:themeColor="text1"/>
          <w:sz w:val="24"/>
          <w:szCs w:val="24"/>
        </w:rPr>
        <w:t>p-value</w:t>
      </w:r>
      <w:r w:rsidRPr="000B79A0">
        <w:rPr>
          <w:rFonts w:ascii="Times New Roman" w:eastAsia="宋体" w:hAnsi="Times New Roman" w:cs="Times New Roman" w:hint="eastAsia"/>
          <w:b w:val="0"/>
          <w:color w:val="000000" w:themeColor="text1"/>
          <w:sz w:val="24"/>
          <w:szCs w:val="24"/>
        </w:rPr>
        <w:t xml:space="preserve"> &gt;0.05, we leave it blank.</w:t>
      </w:r>
      <w:bookmarkStart w:id="0" w:name="_GoBack"/>
      <w:bookmarkEnd w:id="0"/>
    </w:p>
    <w:tbl>
      <w:tblPr>
        <w:tblW w:w="10733" w:type="dxa"/>
        <w:jc w:val="center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1"/>
        <w:gridCol w:w="1813"/>
        <w:gridCol w:w="1275"/>
        <w:gridCol w:w="1843"/>
        <w:gridCol w:w="1190"/>
        <w:gridCol w:w="2268"/>
        <w:gridCol w:w="1233"/>
      </w:tblGrid>
      <w:tr w:rsidR="00917107" w:rsidRPr="005F26CE" w:rsidTr="00917107">
        <w:trPr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17107" w:rsidRPr="005F26CE" w:rsidRDefault="00917107" w:rsidP="00736F4A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Module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BP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CC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MF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Merge/>
            <w:shd w:val="clear" w:color="auto" w:fill="C9C9C9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GO</w:t>
            </w:r>
          </w:p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 xml:space="preserve"> term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p-value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GO</w:t>
            </w:r>
          </w:p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 xml:space="preserve"> term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p-value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 xml:space="preserve">GO </w:t>
            </w:r>
          </w:p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term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7107" w:rsidRPr="005F26CE" w:rsidRDefault="00917107" w:rsidP="00736F4A">
            <w:pPr>
              <w:jc w:val="center"/>
              <w:rPr>
                <w:b/>
                <w:color w:val="000000" w:themeColor="text1"/>
                <w:sz w:val="24"/>
              </w:rPr>
            </w:pPr>
            <w:r w:rsidRPr="005F26CE">
              <w:rPr>
                <w:b/>
                <w:color w:val="000000" w:themeColor="text1"/>
                <w:sz w:val="24"/>
              </w:rPr>
              <w:t>p-value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M24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zinc ion transport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8.60E-13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integral to membrane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1.94E-02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zinc ion transmembrane transporter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1.77E-11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M26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sensory perception of sound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5.26E-19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stereocilium</w:t>
            </w:r>
            <w:proofErr w:type="spellEnd"/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2.24E-12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M27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fusion of sperm to egg plasma membrane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5.73E-06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lysosome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3.32E-09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sulfuric ester hydrolase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5.28E-29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M34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GTPase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regulator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2.62E-05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M37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oxidative phosphorylation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0.00E+00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mitochondrial membrane part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0.00E+00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hydrogen ion transmembrane transporter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0.00E+00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M50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M53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indolalkylamine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metabolic process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4.28E-19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cytosol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2.62E-07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kynurenine-</w:t>
            </w:r>
            <w:proofErr w:type="spellStart"/>
            <w:r w:rsidRPr="005F26CE">
              <w:rPr>
                <w:color w:val="000000" w:themeColor="text1"/>
                <w:sz w:val="24"/>
              </w:rPr>
              <w:t>oxoglutarate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transaminase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1.22E-07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M63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prosthetic group metabolic process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2.90E-06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chloride channel complex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1.99E-05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extracellular-glycine-gated ion channel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2.98E-10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M65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ion transport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2.29E-43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calcium channel complex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9.34E-47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gated channel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3.87E-53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M80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regulation of TOR signaling cascade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8.69E-13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cytosol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1.31E-07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protein serine/threonine kinase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4.76E-05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M83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calcium-independent cell-matrix adhesion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2.75E-02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polycystin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complex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1.55E-02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M88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sex determination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2.40E-03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transcription factor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1.59E-02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M96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immune system process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9.04E-04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tumor necrosis factor receptor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4.54E-02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M105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negative regulation of mitotic prometaphase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2.26E-02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GABA-B receptor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4.31E-02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M112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  <w:lang w:val="it-IT"/>
              </w:rPr>
            </w:pPr>
            <w:r w:rsidRPr="005F26CE">
              <w:rPr>
                <w:color w:val="000000" w:themeColor="text1"/>
                <w:sz w:val="24"/>
                <w:lang w:val="it-IT"/>
              </w:rPr>
              <w:t>cerebral cortex GABAergic interneuron fate commitment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2.37E-05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transcription regulator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1.64E-05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M114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regulation of fatty acid oxidation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4.68E-22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AMP-activated protein kinase complex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1.90E-11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protein serine/threonine kinase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2.68E-15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M129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digestion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2.62E-02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apical lamina of hyaline layer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7.88E-03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armadillo repeat domain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2.67E-02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M136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chaperone mediated protein folding requiring cofactor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4.62E-05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endoplasmic reticulum lumen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6.73E-03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unfolded protein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1.83E-02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M139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thalamus development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4.75E-02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zinc ion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2.21E-03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M140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ER-Golgi intermediate compartment membrane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5.24E-04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M142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regulation of transcription from RNA polymerase II promoter involved in spinal cord association neuron specification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1.78E-02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transcription factor complex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2.66E-02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M145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negative regulation of cyclase activity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8.16E-10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integral to plasma membrane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2.81E-07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glutamate receptor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8.27E-19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M150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M155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ion transport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4.02E-69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ion channel complex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6.63E-83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gated channel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6.01E-98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M165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GTPase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activator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1.61E-02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M179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bent DNA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3.96E-02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M188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 xml:space="preserve">synaptic </w:t>
            </w:r>
            <w:r w:rsidRPr="005F26CE">
              <w:rPr>
                <w:color w:val="000000" w:themeColor="text1"/>
                <w:sz w:val="24"/>
              </w:rPr>
              <w:lastRenderedPageBreak/>
              <w:t>transmission, cholinergic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1.10E-28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 xml:space="preserve">nicotinic </w:t>
            </w:r>
            <w:r w:rsidRPr="005F26CE">
              <w:rPr>
                <w:color w:val="000000" w:themeColor="text1"/>
                <w:sz w:val="24"/>
              </w:rPr>
              <w:lastRenderedPageBreak/>
              <w:t>acetylcholine-gated receptor-channel complex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5.90E-38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 xml:space="preserve">nicotinic </w:t>
            </w:r>
            <w:r w:rsidRPr="005F26CE">
              <w:rPr>
                <w:color w:val="000000" w:themeColor="text1"/>
                <w:sz w:val="24"/>
              </w:rPr>
              <w:lastRenderedPageBreak/>
              <w:t>acetylcholine-activated cation-selective channel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9.95E-35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M190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regulation of transcription, DNA-dependent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7.83E-09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nucleus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9.54E-06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nucleic acid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4.00E-05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M197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membrane invagination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1.35E-09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coated pit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5.83E-07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lipoprotein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1.68E-09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M208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muscle organ development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3.62E-09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dystrophin-associated glycoprotein complex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1.09E-42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calcium ion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8.94E-04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M219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cell-cell adhesion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2.12E-04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integral to plasma membrane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1.29E-04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integrin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3.25E-03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M225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neurotransmitter transport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3.98E-16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synapse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1.02E-19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Rab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F26CE">
              <w:rPr>
                <w:color w:val="000000" w:themeColor="text1"/>
                <w:sz w:val="24"/>
              </w:rPr>
              <w:t>geranylgeranyltransferase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2.62E-06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M229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regulation of cell shape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5.79E-05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cytoplasmic membrane-bounded vesicle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9.66E-03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D3 dopamine receptor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8.29E-03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M230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protein localization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6.44E-15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endosome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3.62E-29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M232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proteolysis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1.50E-09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integral to membrane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7.26E-03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metalloendopeptidase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4.37E-16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M234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 xml:space="preserve">regulation of Rap </w:t>
            </w:r>
            <w:proofErr w:type="spellStart"/>
            <w:r w:rsidRPr="005F26CE">
              <w:rPr>
                <w:color w:val="000000" w:themeColor="text1"/>
                <w:sz w:val="24"/>
              </w:rPr>
              <w:t>GTPase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activity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5.73E-03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postsynaptic density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2.09E-05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M252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activation of store-operated calcium channel activity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6.16E-06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calcium ion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5.61E-03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M253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actin filament capping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1.03E-11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spectrin</w:t>
            </w:r>
            <w:proofErr w:type="spellEnd"/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4.05E-16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structural constituent of cytoskeleton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1.86E-10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M266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positive regulation of heart rate in baroreceptor response to decreased systemic arterial blood pressure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1.33E-02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anchored to membrane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5.00E-02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adenylate cyclase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2.95E-02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M271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 xml:space="preserve">neurotransmitter </w:t>
            </w:r>
            <w:r w:rsidRPr="005F26CE">
              <w:rPr>
                <w:color w:val="000000" w:themeColor="text1"/>
                <w:sz w:val="24"/>
              </w:rPr>
              <w:lastRenderedPageBreak/>
              <w:t>transport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1.58E-23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 xml:space="preserve">integral to </w:t>
            </w:r>
            <w:r w:rsidRPr="005F26CE">
              <w:rPr>
                <w:color w:val="000000" w:themeColor="text1"/>
                <w:sz w:val="24"/>
              </w:rPr>
              <w:lastRenderedPageBreak/>
              <w:t>plasma membrane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2.83E-14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neurotransmitter:sod</w:t>
            </w:r>
            <w:r w:rsidRPr="005F26CE">
              <w:rPr>
                <w:color w:val="000000" w:themeColor="text1"/>
                <w:sz w:val="24"/>
              </w:rPr>
              <w:lastRenderedPageBreak/>
              <w:t>ium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1.21E-33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lastRenderedPageBreak/>
              <w:t>M279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cell division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1.25E-07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F26CE">
              <w:rPr>
                <w:color w:val="000000" w:themeColor="text1"/>
                <w:sz w:val="24"/>
              </w:rPr>
              <w:t>septin</w:t>
            </w:r>
            <w:proofErr w:type="spellEnd"/>
            <w:r w:rsidRPr="005F26CE">
              <w:rPr>
                <w:color w:val="000000" w:themeColor="text1"/>
                <w:sz w:val="24"/>
              </w:rPr>
              <w:t xml:space="preserve"> cytoskeleton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5.91E-23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GTP binding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4.15E-09</w:t>
            </w:r>
          </w:p>
        </w:tc>
      </w:tr>
      <w:tr w:rsidR="00917107" w:rsidRPr="005F26CE" w:rsidTr="00917107">
        <w:trPr>
          <w:jc w:val="center"/>
        </w:trPr>
        <w:tc>
          <w:tcPr>
            <w:tcW w:w="1111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M300</w:t>
            </w:r>
          </w:p>
        </w:tc>
        <w:tc>
          <w:tcPr>
            <w:tcW w:w="181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transcription from mitochondrial promoter</w:t>
            </w:r>
          </w:p>
        </w:tc>
        <w:tc>
          <w:tcPr>
            <w:tcW w:w="1275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1.97E-04</w:t>
            </w:r>
          </w:p>
        </w:tc>
        <w:tc>
          <w:tcPr>
            <w:tcW w:w="184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nucleoid</w:t>
            </w:r>
          </w:p>
        </w:tc>
        <w:tc>
          <w:tcPr>
            <w:tcW w:w="1190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1.71E-06</w:t>
            </w:r>
          </w:p>
        </w:tc>
        <w:tc>
          <w:tcPr>
            <w:tcW w:w="2268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RNA methyltransferase activity</w:t>
            </w:r>
          </w:p>
        </w:tc>
        <w:tc>
          <w:tcPr>
            <w:tcW w:w="1233" w:type="dxa"/>
            <w:vAlign w:val="center"/>
          </w:tcPr>
          <w:p w:rsidR="00917107" w:rsidRPr="005F26CE" w:rsidRDefault="00917107" w:rsidP="00736F4A">
            <w:pPr>
              <w:jc w:val="center"/>
              <w:rPr>
                <w:color w:val="000000" w:themeColor="text1"/>
                <w:sz w:val="24"/>
              </w:rPr>
            </w:pPr>
            <w:r w:rsidRPr="005F26CE">
              <w:rPr>
                <w:color w:val="000000" w:themeColor="text1"/>
                <w:sz w:val="24"/>
              </w:rPr>
              <w:t>1.35E-03</w:t>
            </w:r>
          </w:p>
        </w:tc>
      </w:tr>
    </w:tbl>
    <w:p w:rsidR="006E3F79" w:rsidRDefault="006E3F79"/>
    <w:sectPr w:rsidR="006E3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AA" w:rsidRDefault="00F537AA" w:rsidP="00917107">
      <w:r>
        <w:separator/>
      </w:r>
    </w:p>
  </w:endnote>
  <w:endnote w:type="continuationSeparator" w:id="0">
    <w:p w:rsidR="00F537AA" w:rsidRDefault="00F537AA" w:rsidP="0091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AA" w:rsidRDefault="00F537AA" w:rsidP="00917107">
      <w:r>
        <w:separator/>
      </w:r>
    </w:p>
  </w:footnote>
  <w:footnote w:type="continuationSeparator" w:id="0">
    <w:p w:rsidR="00F537AA" w:rsidRDefault="00F537AA" w:rsidP="0091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81"/>
    <w:rsid w:val="00181B35"/>
    <w:rsid w:val="00193A63"/>
    <w:rsid w:val="006D40D7"/>
    <w:rsid w:val="006E3F79"/>
    <w:rsid w:val="00917107"/>
    <w:rsid w:val="00F11D81"/>
    <w:rsid w:val="00F537AA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710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107"/>
    <w:rPr>
      <w:kern w:val="2"/>
      <w:sz w:val="18"/>
      <w:szCs w:val="18"/>
    </w:rPr>
  </w:style>
  <w:style w:type="paragraph" w:styleId="a4">
    <w:name w:val="footer"/>
    <w:basedOn w:val="a"/>
    <w:link w:val="Char0"/>
    <w:rsid w:val="0091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10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7107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710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107"/>
    <w:rPr>
      <w:kern w:val="2"/>
      <w:sz w:val="18"/>
      <w:szCs w:val="18"/>
    </w:rPr>
  </w:style>
  <w:style w:type="paragraph" w:styleId="a4">
    <w:name w:val="footer"/>
    <w:basedOn w:val="a"/>
    <w:link w:val="Char0"/>
    <w:rsid w:val="0091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10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7107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2017-03-25T11:51:00Z</dcterms:created>
  <dcterms:modified xsi:type="dcterms:W3CDTF">2017-03-25T11:53:00Z</dcterms:modified>
</cp:coreProperties>
</file>