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AD7B" w14:textId="392B9EC8" w:rsidR="00583A20" w:rsidRPr="00DB6FEB" w:rsidRDefault="00DB6FEB" w:rsidP="00DB6FEB">
      <w:pPr>
        <w:pStyle w:val="Heading2"/>
        <w:rPr>
          <w:rStyle w:val="Heading1Char"/>
          <w:b/>
          <w:caps w:val="0"/>
          <w:sz w:val="22"/>
          <w:szCs w:val="26"/>
          <w:lang w:val="en-US"/>
        </w:rPr>
      </w:pPr>
      <w:bookmarkStart w:id="0" w:name="_Toc456874229"/>
      <w:bookmarkStart w:id="1" w:name="_Toc456874215"/>
      <w:bookmarkStart w:id="2" w:name="_Toc456874223"/>
      <w:r>
        <w:rPr>
          <w:rStyle w:val="Heading1Char"/>
          <w:b/>
          <w:caps w:val="0"/>
          <w:sz w:val="22"/>
          <w:szCs w:val="26"/>
          <w:lang w:val="en-US"/>
        </w:rPr>
        <w:t>S1 Table.</w:t>
      </w:r>
      <w:r w:rsidR="00583A20" w:rsidRPr="00DB6FEB">
        <w:rPr>
          <w:rStyle w:val="Heading1Char"/>
          <w:b/>
          <w:caps w:val="0"/>
          <w:sz w:val="22"/>
          <w:szCs w:val="26"/>
          <w:lang w:val="en-US"/>
        </w:rPr>
        <w:t xml:space="preserve"> Intervention practice characteristics</w:t>
      </w:r>
      <w:bookmarkEnd w:id="0"/>
      <w:r w:rsidR="00AF7996">
        <w:rPr>
          <w:rStyle w:val="Heading1Char"/>
          <w:b/>
          <w:caps w:val="0"/>
          <w:sz w:val="22"/>
          <w:szCs w:val="26"/>
          <w:lang w:val="en-US"/>
        </w:rPr>
        <w:t>.</w:t>
      </w:r>
    </w:p>
    <w:tbl>
      <w:tblPr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659"/>
        <w:gridCol w:w="1659"/>
        <w:gridCol w:w="1644"/>
      </w:tblGrid>
      <w:tr w:rsidR="00760CA2" w:rsidRPr="00583A20" w14:paraId="3FF58336" w14:textId="77777777" w:rsidTr="00760CA2">
        <w:trPr>
          <w:trHeight w:val="377"/>
        </w:trPr>
        <w:tc>
          <w:tcPr>
            <w:tcW w:w="8359" w:type="dxa"/>
            <w:vAlign w:val="center"/>
          </w:tcPr>
          <w:p w14:paraId="41191B4E" w14:textId="77777777" w:rsidR="00760CA2" w:rsidRPr="00583A20" w:rsidRDefault="00760CA2" w:rsidP="00760CA2">
            <w:pPr>
              <w:rPr>
                <w:b/>
                <w:bCs/>
                <w:sz w:val="20"/>
                <w:lang w:val="en-US"/>
              </w:rPr>
            </w:pPr>
            <w:r w:rsidRPr="00583A20">
              <w:rPr>
                <w:b/>
                <w:bCs/>
                <w:sz w:val="20"/>
                <w:lang w:val="en-US"/>
              </w:rPr>
              <w:t>Indicator</w:t>
            </w:r>
          </w:p>
        </w:tc>
        <w:tc>
          <w:tcPr>
            <w:tcW w:w="1659" w:type="dxa"/>
            <w:vAlign w:val="center"/>
          </w:tcPr>
          <w:p w14:paraId="38521079" w14:textId="27F02664" w:rsidR="00760CA2" w:rsidRPr="00583A20" w:rsidRDefault="00760CA2" w:rsidP="00760CA2">
            <w:pPr>
              <w:rPr>
                <w:b/>
                <w:bCs/>
                <w:sz w:val="20"/>
                <w:lang w:val="en-US"/>
              </w:rPr>
            </w:pPr>
            <w:r w:rsidRPr="00583A20">
              <w:rPr>
                <w:b/>
                <w:bCs/>
                <w:sz w:val="20"/>
                <w:lang w:val="en-US"/>
              </w:rPr>
              <w:t>Low dose</w:t>
            </w:r>
          </w:p>
        </w:tc>
        <w:tc>
          <w:tcPr>
            <w:tcW w:w="1659" w:type="dxa"/>
            <w:vAlign w:val="center"/>
          </w:tcPr>
          <w:p w14:paraId="7B394E15" w14:textId="6A32DC96" w:rsidR="00760CA2" w:rsidRPr="00583A20" w:rsidRDefault="00760CA2" w:rsidP="00760CA2">
            <w:pPr>
              <w:rPr>
                <w:b/>
                <w:bCs/>
                <w:sz w:val="20"/>
                <w:lang w:val="en-US"/>
              </w:rPr>
            </w:pPr>
            <w:r w:rsidRPr="00583A20">
              <w:rPr>
                <w:b/>
                <w:bCs/>
                <w:sz w:val="20"/>
                <w:lang w:val="en-US"/>
              </w:rPr>
              <w:t>High dose</w:t>
            </w:r>
          </w:p>
        </w:tc>
        <w:tc>
          <w:tcPr>
            <w:tcW w:w="1644" w:type="dxa"/>
            <w:vAlign w:val="center"/>
          </w:tcPr>
          <w:p w14:paraId="158F928A" w14:textId="77777777" w:rsidR="00760CA2" w:rsidRPr="00583A20" w:rsidRDefault="00760CA2" w:rsidP="00760CA2">
            <w:pPr>
              <w:rPr>
                <w:b/>
                <w:bCs/>
                <w:sz w:val="20"/>
                <w:lang w:val="en-US"/>
              </w:rPr>
            </w:pPr>
            <w:r w:rsidRPr="00583A20">
              <w:rPr>
                <w:b/>
                <w:bCs/>
                <w:sz w:val="20"/>
                <w:lang w:val="en-US"/>
              </w:rPr>
              <w:t>p value</w:t>
            </w:r>
          </w:p>
        </w:tc>
      </w:tr>
      <w:tr w:rsidR="00760CA2" w:rsidRPr="00583A20" w14:paraId="247377F5" w14:textId="77777777" w:rsidTr="00760CA2">
        <w:trPr>
          <w:trHeight w:val="454"/>
        </w:trPr>
        <w:tc>
          <w:tcPr>
            <w:tcW w:w="8359" w:type="dxa"/>
            <w:vAlign w:val="center"/>
          </w:tcPr>
          <w:p w14:paraId="48B7889B" w14:textId="77777777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 xml:space="preserve">Average variation of the allocated ESA at the end of treatment, </w:t>
            </w:r>
            <w:r w:rsidRPr="00583A20">
              <w:rPr>
                <w:bCs/>
                <w:sz w:val="20"/>
                <w:lang w:val="en-US"/>
              </w:rPr>
              <w:t>mean difference (SEM)</w:t>
            </w:r>
          </w:p>
        </w:tc>
        <w:tc>
          <w:tcPr>
            <w:tcW w:w="1659" w:type="dxa"/>
            <w:vAlign w:val="center"/>
          </w:tcPr>
          <w:p w14:paraId="49A008CE" w14:textId="42FD9B1A" w:rsidR="00760CA2" w:rsidRPr="00583A20" w:rsidRDefault="00760CA2" w:rsidP="00760CA2">
            <w:pPr>
              <w:rPr>
                <w:rFonts w:eastAsia="Times New Roman"/>
                <w:color w:val="000000"/>
                <w:sz w:val="20"/>
                <w:lang w:val="en-US" w:eastAsia="it-IT"/>
              </w:rPr>
            </w:pPr>
            <w:r w:rsidRPr="00583A20">
              <w:rPr>
                <w:rFonts w:eastAsia="Times New Roman"/>
                <w:color w:val="000000"/>
                <w:sz w:val="20"/>
                <w:lang w:val="en-US" w:eastAsia="it-IT"/>
              </w:rPr>
              <w:t>5158 (563)</w:t>
            </w:r>
          </w:p>
        </w:tc>
        <w:tc>
          <w:tcPr>
            <w:tcW w:w="1659" w:type="dxa"/>
            <w:vAlign w:val="center"/>
          </w:tcPr>
          <w:p w14:paraId="440081EB" w14:textId="4B2307A0" w:rsidR="00760CA2" w:rsidRPr="00583A20" w:rsidRDefault="00760CA2" w:rsidP="00760CA2">
            <w:pPr>
              <w:rPr>
                <w:rFonts w:eastAsia="Times New Roman"/>
                <w:color w:val="000000"/>
                <w:sz w:val="20"/>
                <w:lang w:val="en-US" w:eastAsia="it-IT"/>
              </w:rPr>
            </w:pPr>
            <w:r w:rsidRPr="00583A20">
              <w:rPr>
                <w:rFonts w:eastAsia="Times New Roman"/>
                <w:color w:val="000000"/>
                <w:sz w:val="20"/>
                <w:lang w:val="en-US" w:eastAsia="it-IT"/>
              </w:rPr>
              <w:t>-7285 (561)</w:t>
            </w:r>
          </w:p>
        </w:tc>
        <w:tc>
          <w:tcPr>
            <w:tcW w:w="1644" w:type="dxa"/>
            <w:vAlign w:val="center"/>
          </w:tcPr>
          <w:p w14:paraId="1F65EE4B" w14:textId="0BC568F6" w:rsidR="00760CA2" w:rsidRPr="00583A20" w:rsidRDefault="00760CA2" w:rsidP="00760C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583A20">
              <w:rPr>
                <w:b/>
                <w:bCs/>
                <w:color w:val="000000"/>
                <w:sz w:val="20"/>
                <w:lang w:val="en-US"/>
              </w:rPr>
              <w:t>&lt;0</w:t>
            </w:r>
            <w:r>
              <w:rPr>
                <w:b/>
                <w:bCs/>
                <w:color w:val="000000"/>
                <w:sz w:val="20"/>
                <w:lang w:val="en-US"/>
              </w:rPr>
              <w:t>.</w:t>
            </w:r>
            <w:r w:rsidRPr="00583A20">
              <w:rPr>
                <w:b/>
                <w:bCs/>
                <w:color w:val="000000"/>
                <w:sz w:val="20"/>
                <w:lang w:val="en-US"/>
              </w:rPr>
              <w:t>001</w:t>
            </w:r>
          </w:p>
        </w:tc>
      </w:tr>
      <w:tr w:rsidR="00760CA2" w:rsidRPr="00583A20" w14:paraId="20895085" w14:textId="77777777" w:rsidTr="00760CA2">
        <w:trPr>
          <w:trHeight w:val="454"/>
        </w:trPr>
        <w:tc>
          <w:tcPr>
            <w:tcW w:w="8359" w:type="dxa"/>
            <w:vAlign w:val="center"/>
          </w:tcPr>
          <w:p w14:paraId="7CCDBB21" w14:textId="77777777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 xml:space="preserve">Average variation of the allocated ESA at the end of treatment, adjusted by body max index, </w:t>
            </w:r>
            <w:r w:rsidRPr="00583A20">
              <w:rPr>
                <w:bCs/>
                <w:sz w:val="20"/>
                <w:lang w:val="en-US"/>
              </w:rPr>
              <w:t>mean difference (SEM)</w:t>
            </w:r>
          </w:p>
        </w:tc>
        <w:tc>
          <w:tcPr>
            <w:tcW w:w="1659" w:type="dxa"/>
            <w:vAlign w:val="center"/>
          </w:tcPr>
          <w:p w14:paraId="616E7AF8" w14:textId="163406F2" w:rsidR="00760CA2" w:rsidRPr="00583A20" w:rsidRDefault="00760CA2" w:rsidP="00760CA2">
            <w:pPr>
              <w:rPr>
                <w:color w:val="000000"/>
                <w:sz w:val="20"/>
                <w:lang w:val="en-US"/>
              </w:rPr>
            </w:pPr>
            <w:r w:rsidRPr="00583A20">
              <w:rPr>
                <w:color w:val="000000"/>
                <w:sz w:val="20"/>
                <w:lang w:val="en-US"/>
              </w:rPr>
              <w:t>4776 (483)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B90EBFA" w14:textId="0093324C" w:rsidR="00760CA2" w:rsidRPr="00583A20" w:rsidRDefault="00760CA2" w:rsidP="00760CA2">
            <w:pPr>
              <w:rPr>
                <w:color w:val="000000"/>
                <w:sz w:val="20"/>
                <w:lang w:val="en-US"/>
              </w:rPr>
            </w:pPr>
            <w:r w:rsidRPr="00583A20">
              <w:rPr>
                <w:color w:val="000000"/>
                <w:sz w:val="20"/>
                <w:lang w:val="en-US"/>
              </w:rPr>
              <w:t>-7352 (484)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03F98C" w14:textId="6994BC50" w:rsidR="00760CA2" w:rsidRPr="00583A20" w:rsidRDefault="00760CA2" w:rsidP="00760C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583A20">
              <w:rPr>
                <w:b/>
                <w:bCs/>
                <w:color w:val="000000"/>
                <w:sz w:val="20"/>
                <w:lang w:val="en-US"/>
              </w:rPr>
              <w:t>&lt;0</w:t>
            </w:r>
            <w:r>
              <w:rPr>
                <w:b/>
                <w:bCs/>
                <w:color w:val="000000"/>
                <w:sz w:val="20"/>
                <w:lang w:val="en-US"/>
              </w:rPr>
              <w:t>.</w:t>
            </w:r>
            <w:r w:rsidRPr="00583A20">
              <w:rPr>
                <w:b/>
                <w:bCs/>
                <w:color w:val="000000"/>
                <w:sz w:val="20"/>
                <w:lang w:val="en-US"/>
              </w:rPr>
              <w:t>001</w:t>
            </w:r>
          </w:p>
        </w:tc>
      </w:tr>
      <w:tr w:rsidR="00760CA2" w:rsidRPr="00583A20" w14:paraId="0880723B" w14:textId="77777777" w:rsidTr="00760CA2">
        <w:trPr>
          <w:trHeight w:val="454"/>
        </w:trPr>
        <w:tc>
          <w:tcPr>
            <w:tcW w:w="8359" w:type="dxa"/>
            <w:vAlign w:val="center"/>
          </w:tcPr>
          <w:p w14:paraId="4EE2D4EF" w14:textId="6B401675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Number of patients with stable hemoglobin levels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 w:rsidRPr="00583A20">
              <w:rPr>
                <w:sz w:val="20"/>
                <w:lang w:val="en-US"/>
              </w:rPr>
              <w:t>without need for &gt;50% change in the allocated dose of ESA</w:t>
            </w:r>
          </w:p>
        </w:tc>
        <w:tc>
          <w:tcPr>
            <w:tcW w:w="1659" w:type="dxa"/>
            <w:vAlign w:val="center"/>
          </w:tcPr>
          <w:p w14:paraId="022F9A60" w14:textId="64FB24DD" w:rsidR="00760CA2" w:rsidRPr="00583A20" w:rsidRDefault="00760CA2" w:rsidP="00760CA2">
            <w:pPr>
              <w:rPr>
                <w:color w:val="000000"/>
                <w:sz w:val="20"/>
                <w:lang w:val="en-US"/>
              </w:rPr>
            </w:pPr>
            <w:r w:rsidRPr="00583A20">
              <w:rPr>
                <w:color w:val="000000"/>
                <w:sz w:val="20"/>
                <w:lang w:val="en-US"/>
              </w:rPr>
              <w:t>191 (62)</w:t>
            </w:r>
          </w:p>
        </w:tc>
        <w:tc>
          <w:tcPr>
            <w:tcW w:w="1659" w:type="dxa"/>
            <w:vAlign w:val="center"/>
          </w:tcPr>
          <w:p w14:paraId="6F0FADC3" w14:textId="73B99A88" w:rsidR="00760CA2" w:rsidRPr="00583A20" w:rsidRDefault="00760CA2" w:rsidP="00760CA2">
            <w:pPr>
              <w:rPr>
                <w:color w:val="000000"/>
                <w:sz w:val="20"/>
                <w:lang w:val="en-US"/>
              </w:rPr>
            </w:pPr>
            <w:r w:rsidRPr="00583A20">
              <w:rPr>
                <w:color w:val="000000"/>
                <w:sz w:val="20"/>
                <w:lang w:val="en-US"/>
              </w:rPr>
              <w:t>186 (60)</w:t>
            </w:r>
          </w:p>
        </w:tc>
        <w:tc>
          <w:tcPr>
            <w:tcW w:w="1644" w:type="dxa"/>
            <w:vAlign w:val="center"/>
          </w:tcPr>
          <w:p w14:paraId="14A13BD1" w14:textId="1FD6D831" w:rsidR="00760CA2" w:rsidRPr="00583A20" w:rsidRDefault="00760CA2" w:rsidP="00760CA2">
            <w:pPr>
              <w:rPr>
                <w:color w:val="000000"/>
                <w:sz w:val="20"/>
                <w:lang w:val="en-US"/>
              </w:rPr>
            </w:pPr>
            <w:r w:rsidRPr="00583A20"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  <w:lang w:val="en-US"/>
              </w:rPr>
              <w:t>.</w:t>
            </w:r>
            <w:r w:rsidRPr="00583A20">
              <w:rPr>
                <w:color w:val="000000"/>
                <w:sz w:val="20"/>
                <w:lang w:val="en-US"/>
              </w:rPr>
              <w:t>64</w:t>
            </w:r>
          </w:p>
        </w:tc>
      </w:tr>
      <w:tr w:rsidR="00760CA2" w:rsidRPr="00583A20" w14:paraId="232FC813" w14:textId="77777777" w:rsidTr="00760CA2">
        <w:trPr>
          <w:trHeight w:val="454"/>
        </w:trPr>
        <w:tc>
          <w:tcPr>
            <w:tcW w:w="8359" w:type="dxa"/>
            <w:vAlign w:val="center"/>
          </w:tcPr>
          <w:p w14:paraId="42AB08D7" w14:textId="4BE33D0C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Time from randomization to the first ESA dose variation (days)</w:t>
            </w:r>
          </w:p>
        </w:tc>
        <w:tc>
          <w:tcPr>
            <w:tcW w:w="1659" w:type="dxa"/>
            <w:vAlign w:val="center"/>
          </w:tcPr>
          <w:p w14:paraId="3A4A41C0" w14:textId="11C21FE9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61 (32-110)</w:t>
            </w:r>
          </w:p>
        </w:tc>
        <w:tc>
          <w:tcPr>
            <w:tcW w:w="1659" w:type="dxa"/>
            <w:vAlign w:val="center"/>
          </w:tcPr>
          <w:p w14:paraId="367EFDEB" w14:textId="35203D6B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54 (31-92)</w:t>
            </w:r>
          </w:p>
        </w:tc>
        <w:tc>
          <w:tcPr>
            <w:tcW w:w="1644" w:type="dxa"/>
            <w:vAlign w:val="center"/>
          </w:tcPr>
          <w:p w14:paraId="68306216" w14:textId="2FE40F92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>.</w:t>
            </w:r>
            <w:r w:rsidRPr="00583A20">
              <w:rPr>
                <w:sz w:val="20"/>
                <w:lang w:val="en-US"/>
              </w:rPr>
              <w:t>17</w:t>
            </w:r>
          </w:p>
        </w:tc>
      </w:tr>
      <w:tr w:rsidR="00760CA2" w:rsidRPr="00583A20" w14:paraId="036E22CD" w14:textId="77777777" w:rsidTr="00760CA2">
        <w:trPr>
          <w:trHeight w:val="454"/>
        </w:trPr>
        <w:tc>
          <w:tcPr>
            <w:tcW w:w="8359" w:type="dxa"/>
            <w:vAlign w:val="center"/>
          </w:tcPr>
          <w:p w14:paraId="7B1B51D2" w14:textId="12F7F8BB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Time from randomization to hemoglobin stabilization (days)</w:t>
            </w:r>
          </w:p>
        </w:tc>
        <w:tc>
          <w:tcPr>
            <w:tcW w:w="1659" w:type="dxa"/>
            <w:vAlign w:val="center"/>
          </w:tcPr>
          <w:p w14:paraId="3C657BAF" w14:textId="5F4ED727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34 (28-87)</w:t>
            </w:r>
          </w:p>
        </w:tc>
        <w:tc>
          <w:tcPr>
            <w:tcW w:w="1659" w:type="dxa"/>
            <w:vAlign w:val="center"/>
          </w:tcPr>
          <w:p w14:paraId="621EEC15" w14:textId="455CED59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34 (28-92)</w:t>
            </w:r>
          </w:p>
        </w:tc>
        <w:tc>
          <w:tcPr>
            <w:tcW w:w="1644" w:type="dxa"/>
            <w:vAlign w:val="center"/>
          </w:tcPr>
          <w:p w14:paraId="46BE090D" w14:textId="460CBF1F" w:rsidR="00760CA2" w:rsidRPr="00583A20" w:rsidRDefault="00760CA2" w:rsidP="00760CA2">
            <w:pPr>
              <w:rPr>
                <w:sz w:val="20"/>
                <w:lang w:val="en-US"/>
              </w:rPr>
            </w:pPr>
            <w:r w:rsidRPr="00583A20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>.</w:t>
            </w:r>
            <w:r w:rsidRPr="00583A20">
              <w:rPr>
                <w:sz w:val="20"/>
                <w:lang w:val="en-US"/>
              </w:rPr>
              <w:t>41</w:t>
            </w:r>
          </w:p>
        </w:tc>
      </w:tr>
    </w:tbl>
    <w:p w14:paraId="7A10DD17" w14:textId="4F9B7674" w:rsidR="00B73B8A" w:rsidRPr="00AF7996" w:rsidRDefault="00583A20" w:rsidP="00DB6FEB">
      <w:pPr>
        <w:spacing w:before="240"/>
        <w:ind w:right="2478"/>
        <w:rPr>
          <w:rFonts w:cs="Times New Roman"/>
          <w:sz w:val="20"/>
          <w:szCs w:val="20"/>
          <w:lang w:val="en-US"/>
        </w:rPr>
      </w:pPr>
      <w:bookmarkStart w:id="3" w:name="_GoBack"/>
      <w:r w:rsidRPr="00AF7996">
        <w:rPr>
          <w:sz w:val="20"/>
          <w:szCs w:val="20"/>
          <w:lang w:val="en-US"/>
        </w:rPr>
        <w:t>Data are mean (standard error of mean), median (interquartile range), or number (proportion). Hemoglobin level stabilization was defined as two consecutive measurements between 10 and 12 g/dL.</w:t>
      </w:r>
      <w:bookmarkEnd w:id="1"/>
      <w:bookmarkEnd w:id="2"/>
    </w:p>
    <w:bookmarkEnd w:id="3"/>
    <w:p w14:paraId="73FEA514" w14:textId="77777777" w:rsidR="00B73B8A" w:rsidRPr="00583A20" w:rsidRDefault="00B73B8A" w:rsidP="00B73B8A">
      <w:pPr>
        <w:rPr>
          <w:rFonts w:cs="Times New Roman"/>
          <w:lang w:val="en-US"/>
        </w:rPr>
      </w:pPr>
    </w:p>
    <w:p w14:paraId="0B0FD57F" w14:textId="75E12511" w:rsidR="008765DF" w:rsidRPr="00583A20" w:rsidRDefault="008765DF">
      <w:pPr>
        <w:rPr>
          <w:lang w:val="en-US"/>
        </w:rPr>
      </w:pPr>
    </w:p>
    <w:sectPr w:rsidR="008765DF" w:rsidRPr="00583A20" w:rsidSect="00DB6FE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A2B9" w14:textId="77777777" w:rsidR="00740B69" w:rsidRDefault="00740B69" w:rsidP="00670579">
      <w:r>
        <w:separator/>
      </w:r>
    </w:p>
  </w:endnote>
  <w:endnote w:type="continuationSeparator" w:id="0">
    <w:p w14:paraId="34587FDE" w14:textId="77777777" w:rsidR="00740B69" w:rsidRDefault="00740B69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314B85EF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DED0" w14:textId="77777777" w:rsidR="00740B69" w:rsidRDefault="00740B69" w:rsidP="00670579">
      <w:r>
        <w:separator/>
      </w:r>
    </w:p>
  </w:footnote>
  <w:footnote w:type="continuationSeparator" w:id="0">
    <w:p w14:paraId="76645B1A" w14:textId="77777777" w:rsidR="00740B69" w:rsidRDefault="00740B69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42CD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3390F"/>
    <w:rsid w:val="00643992"/>
    <w:rsid w:val="00670579"/>
    <w:rsid w:val="0068006B"/>
    <w:rsid w:val="00695BB0"/>
    <w:rsid w:val="006A6AE6"/>
    <w:rsid w:val="00740B69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AF7996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D269FA"/>
    <w:rsid w:val="00D423CC"/>
    <w:rsid w:val="00D67EE7"/>
    <w:rsid w:val="00DB6FEB"/>
    <w:rsid w:val="00DC0A3F"/>
    <w:rsid w:val="00DC7887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FF0A-EA44-4E79-A609-59CC1F08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4</cp:revision>
  <dcterms:created xsi:type="dcterms:W3CDTF">2016-12-19T02:33:00Z</dcterms:created>
  <dcterms:modified xsi:type="dcterms:W3CDTF">2016-12-19T02:37:00Z</dcterms:modified>
</cp:coreProperties>
</file>