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6D4D" w14:textId="1FB297C5" w:rsidR="00670579" w:rsidRPr="00583A20" w:rsidRDefault="00F07CF9" w:rsidP="00670579">
      <w:pPr>
        <w:pStyle w:val="Heading2"/>
      </w:pPr>
      <w:bookmarkStart w:id="0" w:name="_Toc456874222"/>
      <w:bookmarkStart w:id="1" w:name="_Toc456874221"/>
      <w:r>
        <w:t>S5 Appendix.</w:t>
      </w:r>
      <w:r w:rsidR="00670579" w:rsidRPr="00583A20">
        <w:t xml:space="preserve"> </w:t>
      </w:r>
      <w:r w:rsidR="009D0E02" w:rsidRPr="00583A20">
        <w:t>Non-randomized s</w:t>
      </w:r>
      <w:r w:rsidR="00670579" w:rsidRPr="00583A20">
        <w:t>tandards of care</w:t>
      </w:r>
      <w:bookmarkEnd w:id="0"/>
      <w:r>
        <w:t>.</w:t>
      </w:r>
      <w:bookmarkStart w:id="2" w:name="_GoBack"/>
      <w:bookmarkEnd w:id="2"/>
    </w:p>
    <w:p w14:paraId="45620BCC" w14:textId="16F6FB22" w:rsidR="00670579" w:rsidRPr="00583A20" w:rsidRDefault="00670579" w:rsidP="00670579">
      <w:pPr>
        <w:spacing w:line="360" w:lineRule="auto"/>
        <w:rPr>
          <w:rFonts w:cs="Times New Roman"/>
          <w:color w:val="000000"/>
          <w:szCs w:val="20"/>
          <w:lang w:val="en-US"/>
        </w:rPr>
      </w:pPr>
      <w:r w:rsidRPr="00583A20">
        <w:rPr>
          <w:rFonts w:cs="Times New Roman"/>
          <w:lang w:val="en-US"/>
        </w:rPr>
        <w:t>During follow up, patients received, in a non-</w:t>
      </w:r>
      <w:r w:rsidR="00583A20">
        <w:rPr>
          <w:rFonts w:cs="Times New Roman"/>
          <w:lang w:val="en-US"/>
        </w:rPr>
        <w:t>randomized</w:t>
      </w:r>
      <w:r w:rsidRPr="00583A20">
        <w:rPr>
          <w:rFonts w:cs="Times New Roman"/>
          <w:lang w:val="en-US"/>
        </w:rPr>
        <w:t xml:space="preserve"> fashion, additional co-interventions as per their usual attending physician’s practice to achieve and maintain the following standard dialysis clinical performance measures:</w:t>
      </w:r>
    </w:p>
    <w:p w14:paraId="5D6B6F71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szCs w:val="20"/>
          <w:lang w:val="en-US"/>
        </w:rPr>
        <w:t>Kt/V</w:t>
      </w:r>
      <w:r w:rsidRPr="00583A20">
        <w:rPr>
          <w:rFonts w:cs="Times New Roman"/>
          <w:szCs w:val="20"/>
          <w:vertAlign w:val="subscript"/>
          <w:lang w:val="en-US"/>
        </w:rPr>
        <w:t xml:space="preserve">urea </w:t>
      </w:r>
      <w:r w:rsidRPr="00583A20">
        <w:rPr>
          <w:rFonts w:cs="Times New Roman"/>
          <w:szCs w:val="20"/>
          <w:lang w:val="en-US"/>
        </w:rPr>
        <w:t>≥ 1.3</w:t>
      </w:r>
    </w:p>
    <w:p w14:paraId="7D9F3630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lang w:val="en-US"/>
        </w:rPr>
        <w:t>Serum Albumin</w:t>
      </w:r>
      <w:r w:rsidRPr="00583A20">
        <w:rPr>
          <w:rFonts w:cs="Times New Roman"/>
          <w:szCs w:val="20"/>
          <w:lang w:val="en-US"/>
        </w:rPr>
        <w:t xml:space="preserve"> &gt;35 g/L</w:t>
      </w:r>
    </w:p>
    <w:p w14:paraId="5FEEBE1B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szCs w:val="20"/>
          <w:lang w:val="en-US"/>
        </w:rPr>
        <w:t>nPCR&gt;1.0 g/kg/day</w:t>
      </w:r>
    </w:p>
    <w:p w14:paraId="64FFF696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szCs w:val="20"/>
          <w:lang w:val="en-US"/>
        </w:rPr>
        <w:t xml:space="preserve">Ferritin 200-500 </w:t>
      </w:r>
      <w:r w:rsidRPr="00583A20">
        <w:rPr>
          <w:rFonts w:cs="Times New Roman"/>
          <w:szCs w:val="20"/>
          <w:lang w:val="en-US"/>
        </w:rPr>
        <w:sym w:font="Symbol" w:char="F06D"/>
      </w:r>
      <w:r w:rsidRPr="00583A20">
        <w:rPr>
          <w:rFonts w:cs="Times New Roman"/>
          <w:szCs w:val="20"/>
          <w:lang w:val="en-US"/>
        </w:rPr>
        <w:t>g/L</w:t>
      </w:r>
    </w:p>
    <w:p w14:paraId="4AA3BE18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szCs w:val="20"/>
          <w:lang w:val="en-US"/>
        </w:rPr>
        <w:t>TSAT 30-40%</w:t>
      </w:r>
    </w:p>
    <w:p w14:paraId="06C08440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szCs w:val="20"/>
          <w:lang w:val="en-US"/>
        </w:rPr>
        <w:t>Calcium 8.4-9.5 mg/dL (2.1–2.4 mmol/L)</w:t>
      </w:r>
    </w:p>
    <w:p w14:paraId="229E4373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szCs w:val="20"/>
          <w:lang w:val="en-US"/>
        </w:rPr>
        <w:t>Phosphorus 3.5–5.5 mg/dL (1.1–1.8 mmol/L)</w:t>
      </w:r>
    </w:p>
    <w:p w14:paraId="2C8E4F19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szCs w:val="20"/>
          <w:lang w:val="en-US"/>
        </w:rPr>
        <w:t>PTH: 150–300 pg/mL (16.5–33 pmol/l)</w:t>
      </w:r>
    </w:p>
    <w:p w14:paraId="6A7D2E06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lang w:val="en-US"/>
        </w:rPr>
        <w:t xml:space="preserve">Systolic blood pressure </w:t>
      </w:r>
      <w:r w:rsidRPr="00583A20">
        <w:rPr>
          <w:rFonts w:cs="Times New Roman"/>
          <w:szCs w:val="20"/>
          <w:lang w:val="en-US"/>
        </w:rPr>
        <w:t xml:space="preserve">(predialysis) </w:t>
      </w:r>
      <w:r w:rsidRPr="00583A20">
        <w:rPr>
          <w:rFonts w:cs="Times New Roman"/>
          <w:szCs w:val="20"/>
          <w:lang w:val="en-US"/>
        </w:rPr>
        <w:sym w:font="Symbol" w:char="F0A3"/>
      </w:r>
      <w:r w:rsidRPr="00583A20">
        <w:rPr>
          <w:rFonts w:cs="Times New Roman"/>
          <w:szCs w:val="20"/>
          <w:lang w:val="en-US"/>
        </w:rPr>
        <w:t>140 mmHg</w:t>
      </w:r>
    </w:p>
    <w:p w14:paraId="5F5B8201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lang w:val="en-US"/>
        </w:rPr>
        <w:t xml:space="preserve">Diastolic blood pressure </w:t>
      </w:r>
      <w:r w:rsidRPr="00583A20">
        <w:rPr>
          <w:rFonts w:cs="Times New Roman"/>
          <w:szCs w:val="20"/>
          <w:lang w:val="en-US"/>
        </w:rPr>
        <w:t xml:space="preserve">(predialysis) </w:t>
      </w:r>
      <w:r w:rsidRPr="00583A20">
        <w:rPr>
          <w:rFonts w:cs="Times New Roman"/>
          <w:szCs w:val="20"/>
          <w:lang w:val="en-US"/>
        </w:rPr>
        <w:sym w:font="Symbol" w:char="F0A3"/>
      </w:r>
      <w:r w:rsidRPr="00583A20">
        <w:rPr>
          <w:rFonts w:cs="Times New Roman"/>
          <w:szCs w:val="20"/>
          <w:lang w:val="en-US"/>
        </w:rPr>
        <w:t>90 mmHg</w:t>
      </w:r>
    </w:p>
    <w:p w14:paraId="54975ACC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lang w:val="en-US"/>
        </w:rPr>
        <w:t xml:space="preserve">Average inter-dialytic weight gain for month </w:t>
      </w:r>
      <w:r w:rsidRPr="00583A20">
        <w:rPr>
          <w:rFonts w:cs="Times New Roman"/>
          <w:szCs w:val="20"/>
          <w:lang w:val="en-US"/>
        </w:rPr>
        <w:sym w:font="Symbol" w:char="F0A3"/>
      </w:r>
      <w:r w:rsidRPr="00583A20">
        <w:rPr>
          <w:rFonts w:cs="Times New Roman"/>
          <w:szCs w:val="20"/>
          <w:lang w:val="en-US"/>
        </w:rPr>
        <w:t xml:space="preserve">4% </w:t>
      </w:r>
      <w:r w:rsidRPr="00583A20">
        <w:rPr>
          <w:rFonts w:cs="Times New Roman"/>
          <w:lang w:val="en-US"/>
        </w:rPr>
        <w:t>of dry weight</w:t>
      </w:r>
    </w:p>
    <w:p w14:paraId="4D83164E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szCs w:val="20"/>
          <w:lang w:val="en-US"/>
        </w:rPr>
      </w:pPr>
      <w:r w:rsidRPr="00583A20">
        <w:rPr>
          <w:rFonts w:cs="Times New Roman"/>
          <w:lang w:val="en-US"/>
        </w:rPr>
        <w:t>Dialysis blood flow rate</w:t>
      </w:r>
      <w:r w:rsidRPr="00583A20">
        <w:rPr>
          <w:rFonts w:cs="Times New Roman"/>
          <w:szCs w:val="20"/>
          <w:lang w:val="en-US"/>
        </w:rPr>
        <w:t xml:space="preserve"> &gt;300 mL/min</w:t>
      </w:r>
    </w:p>
    <w:p w14:paraId="38FB9224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color w:val="000000"/>
          <w:szCs w:val="20"/>
          <w:lang w:val="en-US"/>
        </w:rPr>
      </w:pPr>
      <w:r w:rsidRPr="00583A20">
        <w:rPr>
          <w:rFonts w:cs="Times New Roman"/>
          <w:lang w:val="en-US"/>
        </w:rPr>
        <w:t xml:space="preserve">Total Cholesterol </w:t>
      </w:r>
      <w:r w:rsidRPr="00583A20">
        <w:rPr>
          <w:rFonts w:cs="Times New Roman"/>
          <w:color w:val="000000"/>
          <w:szCs w:val="20"/>
          <w:lang w:val="en-US"/>
        </w:rPr>
        <w:t>&lt;175 mg/dl (4.5 mmol/l)</w:t>
      </w:r>
    </w:p>
    <w:p w14:paraId="262246D2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color w:val="000000"/>
          <w:szCs w:val="20"/>
          <w:lang w:val="en-US"/>
        </w:rPr>
      </w:pPr>
      <w:r w:rsidRPr="00583A20">
        <w:rPr>
          <w:rFonts w:cs="Times New Roman"/>
          <w:color w:val="000000"/>
          <w:szCs w:val="20"/>
          <w:lang w:val="en-US"/>
        </w:rPr>
        <w:t xml:space="preserve">LDL </w:t>
      </w:r>
      <w:r w:rsidRPr="00583A20">
        <w:rPr>
          <w:rFonts w:cs="Times New Roman"/>
          <w:lang w:val="en-US"/>
        </w:rPr>
        <w:t>Cholesterol</w:t>
      </w:r>
      <w:r w:rsidRPr="00583A20">
        <w:rPr>
          <w:rFonts w:cs="Times New Roman"/>
          <w:color w:val="000000"/>
          <w:szCs w:val="20"/>
          <w:lang w:val="en-US"/>
        </w:rPr>
        <w:t xml:space="preserve"> &lt;100 mg/dl (2.59 mmol/l)</w:t>
      </w:r>
    </w:p>
    <w:p w14:paraId="0C03B4AB" w14:textId="77777777" w:rsidR="00670579" w:rsidRPr="00583A20" w:rsidRDefault="00670579" w:rsidP="00670579">
      <w:pPr>
        <w:numPr>
          <w:ilvl w:val="0"/>
          <w:numId w:val="2"/>
        </w:numPr>
        <w:spacing w:line="360" w:lineRule="auto"/>
        <w:rPr>
          <w:rFonts w:cs="Times New Roman"/>
          <w:color w:val="000000"/>
          <w:szCs w:val="20"/>
          <w:lang w:val="en-US"/>
        </w:rPr>
      </w:pPr>
      <w:r w:rsidRPr="00583A20">
        <w:rPr>
          <w:rFonts w:cs="Times New Roman"/>
          <w:color w:val="000000"/>
          <w:szCs w:val="20"/>
          <w:lang w:val="en-US"/>
        </w:rPr>
        <w:t xml:space="preserve">HDL </w:t>
      </w:r>
      <w:r w:rsidRPr="00583A20">
        <w:rPr>
          <w:rFonts w:cs="Times New Roman"/>
          <w:lang w:val="en-US"/>
        </w:rPr>
        <w:t>Cholesterol</w:t>
      </w:r>
      <w:r w:rsidRPr="00583A20">
        <w:rPr>
          <w:rFonts w:cs="Times New Roman"/>
          <w:color w:val="000000"/>
          <w:szCs w:val="20"/>
          <w:lang w:val="en-US"/>
        </w:rPr>
        <w:t xml:space="preserve"> </w:t>
      </w:r>
      <w:r w:rsidRPr="00583A20">
        <w:rPr>
          <w:rFonts w:cs="Times New Roman"/>
          <w:color w:val="000000"/>
          <w:szCs w:val="20"/>
          <w:lang w:val="en-US"/>
        </w:rPr>
        <w:sym w:font="Symbol" w:char="F0B3"/>
      </w:r>
      <w:r w:rsidRPr="00583A20">
        <w:rPr>
          <w:rFonts w:cs="Times New Roman"/>
          <w:color w:val="000000"/>
          <w:szCs w:val="20"/>
          <w:lang w:val="en-US"/>
        </w:rPr>
        <w:t>40 mg/dl (1.0 mmol/l)</w:t>
      </w:r>
    </w:p>
    <w:p w14:paraId="7A10DD17" w14:textId="38DAE9DF" w:rsidR="00B73B8A" w:rsidRPr="00F07CF9" w:rsidRDefault="00670579" w:rsidP="0098508D">
      <w:pPr>
        <w:numPr>
          <w:ilvl w:val="0"/>
          <w:numId w:val="2"/>
        </w:numPr>
        <w:spacing w:line="360" w:lineRule="auto"/>
        <w:jc w:val="both"/>
        <w:rPr>
          <w:rFonts w:cs="Times New Roman"/>
          <w:lang w:val="en-US"/>
        </w:rPr>
      </w:pPr>
      <w:r w:rsidRPr="00F07CF9">
        <w:rPr>
          <w:rFonts w:cs="Times New Roman"/>
          <w:color w:val="000000"/>
          <w:szCs w:val="20"/>
          <w:lang w:val="en-US"/>
        </w:rPr>
        <w:t>T</w:t>
      </w:r>
      <w:r w:rsidRPr="00F07CF9">
        <w:rPr>
          <w:rFonts w:cs="Times New Roman"/>
          <w:lang w:val="en-US"/>
        </w:rPr>
        <w:t>riglycerides</w:t>
      </w:r>
      <w:r w:rsidRPr="00F07CF9">
        <w:rPr>
          <w:rFonts w:cs="Times New Roman"/>
          <w:color w:val="000000"/>
          <w:szCs w:val="20"/>
          <w:lang w:val="en-US"/>
        </w:rPr>
        <w:t xml:space="preserve"> &lt;180 mg/dl (2.0 mmol/l)</w:t>
      </w:r>
      <w:bookmarkEnd w:id="1"/>
    </w:p>
    <w:p w14:paraId="73FEA514" w14:textId="77777777" w:rsidR="00B73B8A" w:rsidRPr="00583A20" w:rsidRDefault="00B73B8A" w:rsidP="00B73B8A">
      <w:pPr>
        <w:rPr>
          <w:rFonts w:cs="Times New Roman"/>
          <w:lang w:val="en-US"/>
        </w:rPr>
      </w:pPr>
    </w:p>
    <w:p w14:paraId="0B0FD57F" w14:textId="75E12511" w:rsidR="008765DF" w:rsidRPr="00583A20" w:rsidRDefault="008765DF">
      <w:pPr>
        <w:rPr>
          <w:lang w:val="en-US"/>
        </w:rPr>
      </w:pPr>
    </w:p>
    <w:sectPr w:rsidR="008765DF" w:rsidRPr="00583A20" w:rsidSect="00583A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94BD" w14:textId="77777777" w:rsidR="0013528C" w:rsidRDefault="0013528C" w:rsidP="00670579">
      <w:r>
        <w:separator/>
      </w:r>
    </w:p>
  </w:endnote>
  <w:endnote w:type="continuationSeparator" w:id="0">
    <w:p w14:paraId="6ACF1D8C" w14:textId="77777777" w:rsidR="0013528C" w:rsidRDefault="0013528C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61C1D5CE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B1EE" w14:textId="77777777" w:rsidR="0013528C" w:rsidRDefault="0013528C" w:rsidP="00670579">
      <w:r>
        <w:separator/>
      </w:r>
    </w:p>
  </w:footnote>
  <w:footnote w:type="continuationSeparator" w:id="0">
    <w:p w14:paraId="70801F17" w14:textId="77777777" w:rsidR="0013528C" w:rsidRDefault="0013528C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0BD9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3528C"/>
    <w:rsid w:val="001465D7"/>
    <w:rsid w:val="001547BA"/>
    <w:rsid w:val="00184010"/>
    <w:rsid w:val="001841D5"/>
    <w:rsid w:val="00192FC3"/>
    <w:rsid w:val="00215F7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D269FA"/>
    <w:rsid w:val="00D423CC"/>
    <w:rsid w:val="00D67EE7"/>
    <w:rsid w:val="00DC0A3F"/>
    <w:rsid w:val="00DC7887"/>
    <w:rsid w:val="00E572E0"/>
    <w:rsid w:val="00EB3501"/>
    <w:rsid w:val="00ED59A0"/>
    <w:rsid w:val="00F058F5"/>
    <w:rsid w:val="00F07CF9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3E7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3E7"/>
    <w:rPr>
      <w:rFonts w:ascii="Times New Roman" w:eastAsiaTheme="majorEastAsia" w:hAnsi="Times New Roman" w:cstheme="majorBidi"/>
      <w:b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54BA-D934-4C4A-896F-6636E769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3</cp:revision>
  <dcterms:created xsi:type="dcterms:W3CDTF">2016-12-19T02:26:00Z</dcterms:created>
  <dcterms:modified xsi:type="dcterms:W3CDTF">2016-12-19T02:27:00Z</dcterms:modified>
</cp:coreProperties>
</file>