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6850" w14:textId="1E6E8068" w:rsidR="00B73B8A" w:rsidRPr="00583A20" w:rsidRDefault="007F4F0E" w:rsidP="00580684">
      <w:pPr>
        <w:pStyle w:val="Heading2"/>
      </w:pPr>
      <w:bookmarkStart w:id="0" w:name="_Toc456874216"/>
      <w:r>
        <w:t>S4 Appendix.</w:t>
      </w:r>
      <w:r w:rsidR="003178BC" w:rsidRPr="00583A20">
        <w:t xml:space="preserve"> </w:t>
      </w:r>
      <w:r w:rsidR="00B73B8A" w:rsidRPr="00583A20">
        <w:t xml:space="preserve">Therapeutic algorithm for management of ESA dose and </w:t>
      </w:r>
      <w:r w:rsidR="00583A20" w:rsidRPr="00583A20">
        <w:t>hemoglobin</w:t>
      </w:r>
      <w:r w:rsidR="00B73B8A" w:rsidRPr="00583A20">
        <w:t xml:space="preserve"> levels</w:t>
      </w:r>
      <w:bookmarkEnd w:id="0"/>
      <w:r>
        <w:t>.</w:t>
      </w:r>
    </w:p>
    <w:p w14:paraId="79ACC806" w14:textId="2CB2EF16" w:rsidR="00B73B8A" w:rsidRPr="00583A20" w:rsidRDefault="00B73B8A" w:rsidP="00EB3501">
      <w:pPr>
        <w:spacing w:line="276" w:lineRule="auto"/>
        <w:rPr>
          <w:rFonts w:cs="Times New Roman"/>
          <w:szCs w:val="24"/>
          <w:lang w:val="en-US"/>
        </w:rPr>
      </w:pPr>
      <w:r w:rsidRPr="00583A20">
        <w:rPr>
          <w:rFonts w:cs="Times New Roman"/>
          <w:szCs w:val="24"/>
          <w:lang w:val="en-US"/>
        </w:rPr>
        <w:t>As for usual clinical practice, we suggest to treat patients with ESA by 2-3 e</w:t>
      </w:r>
      <w:r w:rsidR="00BA14DE" w:rsidRPr="00583A20">
        <w:rPr>
          <w:rFonts w:cs="Times New Roman"/>
          <w:szCs w:val="24"/>
          <w:lang w:val="en-US"/>
        </w:rPr>
        <w:t xml:space="preserve">poetin alfa or beta (EPO) </w:t>
      </w:r>
      <w:r w:rsidRPr="00583A20">
        <w:rPr>
          <w:rFonts w:cs="Times New Roman"/>
          <w:szCs w:val="24"/>
          <w:lang w:val="en-US"/>
        </w:rPr>
        <w:t xml:space="preserve">administrations at week or by darbepoetin </w:t>
      </w:r>
      <w:r w:rsidR="00BA14DE" w:rsidRPr="00583A20">
        <w:rPr>
          <w:rFonts w:cs="Times New Roman"/>
          <w:szCs w:val="24"/>
          <w:lang w:val="en-US"/>
        </w:rPr>
        <w:t xml:space="preserve">alfa </w:t>
      </w:r>
      <w:r w:rsidRPr="00583A20">
        <w:rPr>
          <w:rFonts w:cs="Times New Roman"/>
          <w:szCs w:val="24"/>
          <w:lang w:val="en-US"/>
        </w:rPr>
        <w:t>administration once a week, as follows:</w:t>
      </w:r>
    </w:p>
    <w:p w14:paraId="748289E2" w14:textId="3E2F813C" w:rsidR="00B73B8A" w:rsidRPr="00583A20" w:rsidRDefault="00B73B8A" w:rsidP="00B73B8A">
      <w:pPr>
        <w:numPr>
          <w:ilvl w:val="0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High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 xml:space="preserve"> ESA dose arm. Patients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randomized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to ESA </w:t>
      </w:r>
      <w:r w:rsidR="00BA14DE" w:rsidRPr="00583A20">
        <w:rPr>
          <w:rFonts w:cs="Times New Roman"/>
          <w:bCs/>
          <w:color w:val="000000"/>
          <w:szCs w:val="24"/>
          <w:lang w:val="en-US"/>
        </w:rPr>
        <w:t>high dose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will receive:</w:t>
      </w:r>
    </w:p>
    <w:p w14:paraId="4EF09F1B" w14:textId="77777777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6000 IU for 3/week or</w:t>
      </w:r>
    </w:p>
    <w:p w14:paraId="0014C054" w14:textId="77777777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beta 6000 IU for 3/week or</w:t>
      </w:r>
    </w:p>
    <w:p w14:paraId="3723111C" w14:textId="77777777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90 (40+50 o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60+30 o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80+10) microgr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ams/once a week</w:t>
      </w:r>
    </w:p>
    <w:p w14:paraId="57543AA9" w14:textId="1965EEBA" w:rsidR="00B73B8A" w:rsidRPr="00583A20" w:rsidRDefault="00B73B8A" w:rsidP="00B73B8A">
      <w:pPr>
        <w:numPr>
          <w:ilvl w:val="0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Low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 xml:space="preserve"> ESA dose arm. Patients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randomized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to </w:t>
      </w:r>
      <w:r w:rsidR="00BA14DE" w:rsidRPr="00583A20">
        <w:rPr>
          <w:rFonts w:cs="Times New Roman"/>
          <w:bCs/>
          <w:color w:val="000000"/>
          <w:szCs w:val="24"/>
          <w:lang w:val="en-US"/>
        </w:rPr>
        <w:t>low dose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will receive:</w:t>
      </w:r>
    </w:p>
    <w:p w14:paraId="555B448D" w14:textId="77777777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2000 UI for 3/week or</w:t>
      </w:r>
    </w:p>
    <w:p w14:paraId="2961C94A" w14:textId="77777777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beta 2000 UI for 3/week or</w:t>
      </w:r>
    </w:p>
    <w:p w14:paraId="2773DD39" w14:textId="51CE8796" w:rsidR="00B73B8A" w:rsidRPr="00583A20" w:rsidRDefault="00B73B8A" w:rsidP="00EB3501">
      <w:pPr>
        <w:pStyle w:val="ListParagraph"/>
        <w:numPr>
          <w:ilvl w:val="1"/>
          <w:numId w:val="7"/>
        </w:numPr>
        <w:spacing w:after="200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20 microgr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ams</w:t>
      </w:r>
      <w:r w:rsidRPr="00583A20">
        <w:rPr>
          <w:rFonts w:cs="Times New Roman"/>
          <w:bCs/>
          <w:color w:val="000000"/>
          <w:szCs w:val="24"/>
          <w:lang w:val="en-US"/>
        </w:rPr>
        <w:t>/ once a week</w:t>
      </w:r>
    </w:p>
    <w:p w14:paraId="22FA962C" w14:textId="505197D2" w:rsidR="00B73B8A" w:rsidRPr="00583A20" w:rsidRDefault="00EB3501" w:rsidP="00ED59A0">
      <w:pPr>
        <w:spacing w:line="276" w:lineRule="auto"/>
        <w:jc w:val="both"/>
        <w:rPr>
          <w:rFonts w:cs="Times New Roman"/>
          <w:bCs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If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values, detected in two consecutive blood samples, are </w:t>
      </w:r>
      <w:r w:rsidR="00B73B8A" w:rsidRPr="00583A20">
        <w:rPr>
          <w:rFonts w:cs="Times New Roman"/>
          <w:bCs/>
          <w:szCs w:val="24"/>
          <w:lang w:val="en-US"/>
        </w:rPr>
        <w:t xml:space="preserve">below </w:t>
      </w:r>
      <w:r w:rsidR="00A34A93" w:rsidRPr="00583A20">
        <w:rPr>
          <w:rFonts w:cs="Times New Roman"/>
          <w:szCs w:val="24"/>
          <w:lang w:val="en-US"/>
        </w:rPr>
        <w:t>9.5 g/dL</w:t>
      </w:r>
      <w:r w:rsidR="00B73B8A" w:rsidRPr="00583A20">
        <w:rPr>
          <w:rFonts w:cs="Times New Roman"/>
          <w:szCs w:val="24"/>
          <w:lang w:val="en-US"/>
        </w:rPr>
        <w:t xml:space="preserve"> or </w:t>
      </w:r>
      <w:r w:rsidR="00B73B8A" w:rsidRPr="00583A20">
        <w:rPr>
          <w:rFonts w:cs="Times New Roman"/>
          <w:bCs/>
          <w:szCs w:val="24"/>
          <w:lang w:val="en-US"/>
        </w:rPr>
        <w:t xml:space="preserve">above </w:t>
      </w:r>
      <w:r w:rsidR="00B73B8A" w:rsidRPr="00583A20">
        <w:rPr>
          <w:rFonts w:cs="Times New Roman"/>
          <w:szCs w:val="24"/>
          <w:lang w:val="en-US"/>
        </w:rPr>
        <w:t>12.5 g/dL,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ESA dose should be gradually changed by 25%, according to the current clinical practice guidelines. A therapeutic algorithm for management of these changes is below.</w:t>
      </w:r>
    </w:p>
    <w:p w14:paraId="23CE89B1" w14:textId="77777777" w:rsidR="00670579" w:rsidRPr="00583A20" w:rsidRDefault="00670579" w:rsidP="00670579">
      <w:pPr>
        <w:rPr>
          <w:lang w:val="en-US"/>
        </w:rPr>
      </w:pPr>
      <w:bookmarkStart w:id="1" w:name="_Toc456874217"/>
    </w:p>
    <w:p w14:paraId="025FCDE3" w14:textId="7ABF7646" w:rsidR="00B73B8A" w:rsidRPr="00583A20" w:rsidRDefault="00EB3501" w:rsidP="00670579">
      <w:pPr>
        <w:rPr>
          <w:b/>
          <w:u w:val="single"/>
          <w:lang w:val="en-US"/>
        </w:rPr>
      </w:pPr>
      <w:r w:rsidRPr="00583A20">
        <w:rPr>
          <w:b/>
          <w:u w:val="single"/>
          <w:lang w:val="en-US"/>
        </w:rPr>
        <w:t xml:space="preserve">Lowering ESA dose in patients </w:t>
      </w:r>
      <w:r w:rsidR="00583A20" w:rsidRPr="00583A20">
        <w:rPr>
          <w:b/>
          <w:u w:val="single"/>
          <w:lang w:val="en-US"/>
        </w:rPr>
        <w:t>randomized</w:t>
      </w:r>
      <w:r w:rsidRPr="00583A20">
        <w:rPr>
          <w:b/>
          <w:u w:val="single"/>
          <w:lang w:val="en-US"/>
        </w:rPr>
        <w:t xml:space="preserve"> to fixed high dose </w:t>
      </w:r>
      <w:r w:rsidR="00B73B8A" w:rsidRPr="00583A20">
        <w:rPr>
          <w:b/>
          <w:u w:val="single"/>
          <w:lang w:val="en-US"/>
        </w:rPr>
        <w:t>(</w:t>
      </w:r>
      <w:r w:rsidRPr="00583A20">
        <w:rPr>
          <w:b/>
          <w:u w:val="single"/>
          <w:lang w:val="en-US"/>
        </w:rPr>
        <w:t xml:space="preserve">epoetin alfa or beta </w:t>
      </w:r>
      <w:r w:rsidR="00B73B8A" w:rsidRPr="00583A20">
        <w:rPr>
          <w:b/>
          <w:u w:val="single"/>
          <w:lang w:val="en-US"/>
        </w:rPr>
        <w:t xml:space="preserve">18000 IU/week or </w:t>
      </w:r>
      <w:r w:rsidRPr="00583A20">
        <w:rPr>
          <w:b/>
          <w:u w:val="single"/>
          <w:lang w:val="en-US"/>
        </w:rPr>
        <w:t xml:space="preserve">darbepoetin </w:t>
      </w:r>
      <w:r w:rsidR="00B73B8A" w:rsidRPr="00583A20">
        <w:rPr>
          <w:b/>
          <w:u w:val="single"/>
          <w:lang w:val="en-US"/>
        </w:rPr>
        <w:t>90 microg</w:t>
      </w:r>
      <w:r w:rsidRPr="00583A20">
        <w:rPr>
          <w:b/>
          <w:u w:val="single"/>
          <w:lang w:val="en-US"/>
        </w:rPr>
        <w:t>rams</w:t>
      </w:r>
      <w:r w:rsidR="00B73B8A" w:rsidRPr="00583A20">
        <w:rPr>
          <w:b/>
          <w:u w:val="single"/>
          <w:lang w:val="en-US"/>
        </w:rPr>
        <w:t xml:space="preserve">/week) </w:t>
      </w:r>
      <w:r w:rsidRPr="00583A20">
        <w:rPr>
          <w:b/>
          <w:u w:val="single"/>
          <w:lang w:val="en-US"/>
        </w:rPr>
        <w:t xml:space="preserve">for persisting </w:t>
      </w:r>
      <w:r w:rsidR="00583A20" w:rsidRPr="00583A20">
        <w:rPr>
          <w:b/>
          <w:u w:val="single"/>
          <w:lang w:val="en-US"/>
        </w:rPr>
        <w:t>hemoglobin</w:t>
      </w:r>
      <w:r w:rsidRPr="00583A20">
        <w:rPr>
          <w:b/>
          <w:u w:val="single"/>
          <w:lang w:val="en-US"/>
        </w:rPr>
        <w:t xml:space="preserve"> levels</w:t>
      </w:r>
      <w:r w:rsidR="00B73B8A" w:rsidRPr="00583A20">
        <w:rPr>
          <w:b/>
          <w:u w:val="single"/>
          <w:lang w:val="en-US"/>
        </w:rPr>
        <w:t xml:space="preserve"> &gt; 12.5 g/dL</w:t>
      </w:r>
      <w:bookmarkEnd w:id="1"/>
    </w:p>
    <w:p w14:paraId="43B048AF" w14:textId="77777777" w:rsidR="00670579" w:rsidRPr="00583A20" w:rsidRDefault="00670579" w:rsidP="00EB3501">
      <w:pPr>
        <w:spacing w:line="276" w:lineRule="auto"/>
        <w:jc w:val="both"/>
        <w:rPr>
          <w:rFonts w:cs="Times New Roman"/>
          <w:bCs/>
          <w:color w:val="000000"/>
          <w:szCs w:val="24"/>
          <w:lang w:val="en-US"/>
        </w:rPr>
      </w:pPr>
    </w:p>
    <w:p w14:paraId="306A1DE9" w14:textId="72BBFB42" w:rsidR="00B73B8A" w:rsidRPr="00583A20" w:rsidRDefault="00B73B8A" w:rsidP="00EB3501">
      <w:pPr>
        <w:spacing w:line="276" w:lineRule="auto"/>
        <w:jc w:val="both"/>
        <w:rPr>
          <w:rFonts w:cs="Times New Roman"/>
          <w:b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If patients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randomized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to fixed high ESA dose have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 xml:space="preserve"> levels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&gt;12.5 g/dL, detected after two</w:t>
      </w:r>
      <w:r w:rsidRPr="00583A20">
        <w:rPr>
          <w:rFonts w:cs="Times New Roman"/>
          <w:bCs/>
          <w:szCs w:val="24"/>
          <w:lang w:val="en-US"/>
        </w:rPr>
        <w:t xml:space="preserve"> consecutive assessments,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ESA dose should be decreased, as follows:</w:t>
      </w:r>
    </w:p>
    <w:p w14:paraId="720A4012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14000 IU/week or</w:t>
      </w:r>
    </w:p>
    <w:p w14:paraId="0E48EDE0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70 microg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/week</w:t>
      </w:r>
    </w:p>
    <w:p w14:paraId="1EDA5D41" w14:textId="77777777" w:rsidR="00B73B8A" w:rsidRPr="00583A20" w:rsidRDefault="00B73B8A" w:rsidP="00B73B8A">
      <w:pPr>
        <w:ind w:left="714"/>
        <w:jc w:val="both"/>
        <w:rPr>
          <w:rFonts w:cs="Times New Roman"/>
          <w:color w:val="000000"/>
          <w:szCs w:val="24"/>
          <w:lang w:val="en-US"/>
        </w:rPr>
      </w:pPr>
    </w:p>
    <w:p w14:paraId="3A3846E7" w14:textId="2C287188" w:rsidR="00B73B8A" w:rsidRPr="00583A20" w:rsidRDefault="00ED59A0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="00B73B8A" w:rsidRPr="00583A20">
        <w:rPr>
          <w:rFonts w:cs="Times New Roman"/>
          <w:color w:val="000000"/>
          <w:szCs w:val="24"/>
          <w:lang w:val="en-US"/>
        </w:rPr>
        <w:t xml:space="preserve"> level is still &gt;12.5 g/dL and this value is confirmed by a second blood sample, ESA dose should be decreased 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>as follows:</w:t>
      </w:r>
    </w:p>
    <w:p w14:paraId="1C04DFEA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10000 IU/week or</w:t>
      </w:r>
    </w:p>
    <w:p w14:paraId="020EDF3D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50 microg</w:t>
      </w:r>
      <w:r w:rsidR="00EB3501"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/ week</w:t>
      </w:r>
    </w:p>
    <w:p w14:paraId="0F96E8BA" w14:textId="77777777" w:rsidR="00B73B8A" w:rsidRPr="00583A20" w:rsidRDefault="00B73B8A" w:rsidP="00B73B8A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2B6AD894" w14:textId="794F96C8" w:rsidR="00B73B8A" w:rsidRPr="00583A20" w:rsidRDefault="00B73B8A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Pr="00583A20">
        <w:rPr>
          <w:rFonts w:cs="Times New Roman"/>
          <w:color w:val="000000"/>
          <w:szCs w:val="24"/>
          <w:lang w:val="en-US"/>
        </w:rPr>
        <w:t xml:space="preserve"> level persists &gt;12.5 g/dL and this value is confirmed by a second blood sample, ESA dose should be decreased </w:t>
      </w:r>
      <w:r w:rsidRPr="00583A20">
        <w:rPr>
          <w:rFonts w:cs="Times New Roman"/>
          <w:bCs/>
          <w:color w:val="000000"/>
          <w:szCs w:val="24"/>
          <w:lang w:val="en-US"/>
        </w:rPr>
        <w:t>as follows:</w:t>
      </w:r>
      <w:r w:rsidRPr="00583A20">
        <w:rPr>
          <w:rFonts w:cs="Times New Roman"/>
          <w:color w:val="000000"/>
          <w:szCs w:val="24"/>
          <w:lang w:val="en-US"/>
        </w:rPr>
        <w:t xml:space="preserve"> </w:t>
      </w:r>
    </w:p>
    <w:p w14:paraId="3D03684D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8000 IU/week or</w:t>
      </w:r>
    </w:p>
    <w:p w14:paraId="46C53733" w14:textId="77777777" w:rsidR="00B73B8A" w:rsidRPr="00583A20" w:rsidRDefault="00EB3501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40 microg</w:t>
      </w:r>
      <w:r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/week</w:t>
      </w:r>
    </w:p>
    <w:p w14:paraId="16E38894" w14:textId="77777777" w:rsidR="00B73B8A" w:rsidRPr="00583A20" w:rsidRDefault="00B73B8A" w:rsidP="00B73B8A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31FB6291" w14:textId="252BEB3C" w:rsidR="00B73B8A" w:rsidRPr="00583A20" w:rsidRDefault="00B73B8A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Pr="00583A20">
        <w:rPr>
          <w:rFonts w:cs="Times New Roman"/>
          <w:color w:val="000000"/>
          <w:szCs w:val="24"/>
          <w:lang w:val="en-US"/>
        </w:rPr>
        <w:t xml:space="preserve"> level persists &gt;12.5 g/dL and this value is confirmed by a second blood sample, ESA dose should be decreased </w:t>
      </w:r>
      <w:r w:rsidRPr="00583A20">
        <w:rPr>
          <w:rFonts w:cs="Times New Roman"/>
          <w:bCs/>
          <w:color w:val="000000"/>
          <w:szCs w:val="24"/>
          <w:lang w:val="en-US"/>
        </w:rPr>
        <w:t>as follows:</w:t>
      </w:r>
      <w:r w:rsidRPr="00583A20">
        <w:rPr>
          <w:rFonts w:cs="Times New Roman"/>
          <w:color w:val="000000"/>
          <w:szCs w:val="24"/>
          <w:lang w:val="en-US"/>
        </w:rPr>
        <w:t xml:space="preserve"> </w:t>
      </w:r>
    </w:p>
    <w:p w14:paraId="1401357C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6000 IU/week or</w:t>
      </w:r>
    </w:p>
    <w:p w14:paraId="0D6DA39A" w14:textId="77777777" w:rsidR="00B73B8A" w:rsidRPr="00583A20" w:rsidRDefault="00A34A93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30 microg</w:t>
      </w:r>
      <w:r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/week</w:t>
      </w:r>
    </w:p>
    <w:p w14:paraId="4229FE59" w14:textId="77777777" w:rsidR="00ED59A0" w:rsidRPr="00583A20" w:rsidRDefault="00ED59A0" w:rsidP="00ED59A0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600F6709" w14:textId="757A2C75" w:rsidR="00B73B8A" w:rsidRPr="00583A20" w:rsidRDefault="00B73B8A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lastRenderedPageBreak/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Pr="00583A20">
        <w:rPr>
          <w:rFonts w:cs="Times New Roman"/>
          <w:color w:val="000000"/>
          <w:szCs w:val="24"/>
          <w:lang w:val="en-US"/>
        </w:rPr>
        <w:t xml:space="preserve"> level persists &gt;12.5 g/dL and this value is confirmed by a second blood sample, ESA dose should be decreased </w:t>
      </w:r>
      <w:r w:rsidRPr="00583A20">
        <w:rPr>
          <w:rFonts w:cs="Times New Roman"/>
          <w:bCs/>
          <w:color w:val="000000"/>
          <w:szCs w:val="24"/>
          <w:lang w:val="en-US"/>
        </w:rPr>
        <w:t>as follows:</w:t>
      </w:r>
      <w:r w:rsidRPr="00583A20">
        <w:rPr>
          <w:rFonts w:cs="Times New Roman"/>
          <w:color w:val="000000"/>
          <w:szCs w:val="24"/>
          <w:lang w:val="en-US"/>
        </w:rPr>
        <w:t xml:space="preserve"> </w:t>
      </w:r>
    </w:p>
    <w:p w14:paraId="49F0A1C8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4000 IU/week or</w:t>
      </w:r>
    </w:p>
    <w:p w14:paraId="2F7B4382" w14:textId="77777777" w:rsidR="00B73B8A" w:rsidRPr="00583A20" w:rsidRDefault="00A34A93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20 microg</w:t>
      </w:r>
      <w:r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>/ week</w:t>
      </w:r>
    </w:p>
    <w:p w14:paraId="26D9A181" w14:textId="77777777" w:rsidR="00C6531F" w:rsidRPr="00583A20" w:rsidRDefault="00C6531F" w:rsidP="00C6531F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06158C16" w14:textId="24FB6BDA" w:rsidR="00B73B8A" w:rsidRPr="00583A20" w:rsidRDefault="00B73B8A" w:rsidP="00B73B8A">
      <w:pPr>
        <w:spacing w:line="360" w:lineRule="auto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For persisting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level </w:t>
      </w:r>
      <w:r w:rsidRPr="00583A20">
        <w:rPr>
          <w:rFonts w:cs="Times New Roman"/>
          <w:szCs w:val="24"/>
          <w:lang w:val="en-US"/>
        </w:rPr>
        <w:t>&gt;12.5 g/dL (two consecutive assessments), detected during follow up visits (at 1, 2, 3, 6, 12, 18, 24, 30, 36, 42, 48 months) or during routine monitoring provided by standard dialysis clinical</w:t>
      </w:r>
      <w:r w:rsidRPr="00583A20">
        <w:rPr>
          <w:rFonts w:cs="Times New Roman"/>
          <w:color w:val="FF0000"/>
          <w:szCs w:val="24"/>
          <w:lang w:val="en-US"/>
        </w:rPr>
        <w:t xml:space="preserve"> </w:t>
      </w:r>
      <w:r w:rsidRPr="00583A20">
        <w:rPr>
          <w:rFonts w:cs="Times New Roman"/>
          <w:szCs w:val="24"/>
          <w:lang w:val="en-US"/>
        </w:rPr>
        <w:t xml:space="preserve">practice, ESA treatment 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should be interrupted until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 xml:space="preserve"> levels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 xml:space="preserve"> return to &lt; 12.</w:t>
      </w:r>
      <w:r w:rsidRPr="00583A20">
        <w:rPr>
          <w:rFonts w:cs="Times New Roman"/>
          <w:bCs/>
          <w:color w:val="000000"/>
          <w:szCs w:val="24"/>
          <w:lang w:val="en-US"/>
        </w:rPr>
        <w:t>5 g/dL.</w:t>
      </w:r>
    </w:p>
    <w:p w14:paraId="03ABE0A4" w14:textId="3D9D824C" w:rsidR="00B73B8A" w:rsidRPr="00583A20" w:rsidRDefault="00A34A93" w:rsidP="00670579">
      <w:pPr>
        <w:rPr>
          <w:b/>
          <w:u w:val="single"/>
          <w:lang w:val="en-US"/>
        </w:rPr>
      </w:pPr>
      <w:bookmarkStart w:id="2" w:name="_Toc456874218"/>
      <w:r w:rsidRPr="00583A20">
        <w:rPr>
          <w:b/>
          <w:u w:val="single"/>
          <w:lang w:val="en-US"/>
        </w:rPr>
        <w:t xml:space="preserve">Increasing ESA dose in patients </w:t>
      </w:r>
      <w:r w:rsidR="00583A20">
        <w:rPr>
          <w:b/>
          <w:u w:val="single"/>
          <w:lang w:val="en-US"/>
        </w:rPr>
        <w:t>randomized</w:t>
      </w:r>
      <w:r w:rsidRPr="00583A20">
        <w:rPr>
          <w:b/>
          <w:u w:val="single"/>
          <w:lang w:val="en-US"/>
        </w:rPr>
        <w:t xml:space="preserve"> to fixed high dose (epoetin alfa or beta 18000 IU/week or darbepoetin 90 micrograms/week) for persisting </w:t>
      </w:r>
      <w:r w:rsidR="00583A20" w:rsidRPr="00583A20">
        <w:rPr>
          <w:b/>
          <w:u w:val="single"/>
          <w:lang w:val="en-US"/>
        </w:rPr>
        <w:t>hemoglobin</w:t>
      </w:r>
      <w:r w:rsidRPr="00583A20">
        <w:rPr>
          <w:b/>
          <w:u w:val="single"/>
          <w:lang w:val="en-US"/>
        </w:rPr>
        <w:t xml:space="preserve"> levels </w:t>
      </w:r>
      <w:r w:rsidR="00B73B8A" w:rsidRPr="00583A20">
        <w:rPr>
          <w:b/>
          <w:u w:val="single"/>
          <w:lang w:val="en-US"/>
        </w:rPr>
        <w:t>&lt;9.5 g/dL</w:t>
      </w:r>
      <w:bookmarkEnd w:id="2"/>
    </w:p>
    <w:p w14:paraId="4C8DED98" w14:textId="77777777" w:rsidR="00670579" w:rsidRPr="00583A20" w:rsidRDefault="00670579" w:rsidP="00670579">
      <w:pPr>
        <w:rPr>
          <w:b/>
          <w:u w:val="single"/>
          <w:lang w:val="en-US"/>
        </w:rPr>
      </w:pPr>
    </w:p>
    <w:p w14:paraId="73D5B357" w14:textId="177E8C54" w:rsidR="00B73B8A" w:rsidRPr="00583A20" w:rsidRDefault="00432B8F" w:rsidP="00B73B8A">
      <w:pPr>
        <w:spacing w:line="360" w:lineRule="auto"/>
        <w:jc w:val="both"/>
        <w:rPr>
          <w:rFonts w:cs="Times New Roman"/>
          <w:b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If patients </w:t>
      </w:r>
      <w:r w:rsidR="00583A20">
        <w:rPr>
          <w:rFonts w:cs="Times New Roman"/>
          <w:bCs/>
          <w:color w:val="000000"/>
          <w:szCs w:val="24"/>
          <w:lang w:val="en-US"/>
        </w:rPr>
        <w:t>randomized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to fixed high ESA dose have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levels &lt;9.5 g/dL, detected after two</w:t>
      </w:r>
      <w:r w:rsidR="00B73B8A" w:rsidRPr="00583A20">
        <w:rPr>
          <w:rFonts w:cs="Times New Roman"/>
          <w:bCs/>
          <w:szCs w:val="24"/>
          <w:lang w:val="en-US"/>
        </w:rPr>
        <w:t xml:space="preserve"> consecutive assessments,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ESA dose should be increased, as follows:</w:t>
      </w:r>
    </w:p>
    <w:p w14:paraId="684E008C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22000 IU/week or</w:t>
      </w:r>
    </w:p>
    <w:p w14:paraId="1377E316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110 microg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rams</w:t>
      </w:r>
      <w:r w:rsidRPr="00583A20">
        <w:rPr>
          <w:rFonts w:cs="Times New Roman"/>
          <w:bCs/>
          <w:color w:val="000000"/>
          <w:szCs w:val="24"/>
          <w:lang w:val="en-US"/>
        </w:rPr>
        <w:t>/week</w:t>
      </w:r>
    </w:p>
    <w:p w14:paraId="794F8FDE" w14:textId="77777777" w:rsidR="00C6531F" w:rsidRPr="00583A20" w:rsidRDefault="00C6531F" w:rsidP="00C6531F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7C4F1F6C" w14:textId="03E16132" w:rsidR="00B73B8A" w:rsidRPr="00583A20" w:rsidRDefault="00B73B8A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Pr="00583A20">
        <w:rPr>
          <w:rFonts w:cs="Times New Roman"/>
          <w:color w:val="000000"/>
          <w:szCs w:val="24"/>
          <w:lang w:val="en-US"/>
        </w:rPr>
        <w:t xml:space="preserve"> level</w:t>
      </w:r>
      <w:r w:rsidR="00A34A93" w:rsidRPr="00583A20">
        <w:rPr>
          <w:rFonts w:cs="Times New Roman"/>
          <w:color w:val="000000"/>
          <w:szCs w:val="24"/>
          <w:lang w:val="en-US"/>
        </w:rPr>
        <w:t xml:space="preserve"> is &lt;9.</w:t>
      </w:r>
      <w:r w:rsidRPr="00583A20">
        <w:rPr>
          <w:rFonts w:cs="Times New Roman"/>
          <w:color w:val="000000"/>
          <w:szCs w:val="24"/>
          <w:lang w:val="en-US"/>
        </w:rPr>
        <w:t xml:space="preserve">5 g/dL and this value is confirmed by a second blood sample, ESA dose should be increased </w:t>
      </w:r>
      <w:r w:rsidRPr="00583A20">
        <w:rPr>
          <w:rFonts w:cs="Times New Roman"/>
          <w:bCs/>
          <w:color w:val="000000"/>
          <w:szCs w:val="24"/>
          <w:lang w:val="en-US"/>
        </w:rPr>
        <w:t>as follows:</w:t>
      </w:r>
    </w:p>
    <w:p w14:paraId="0275621B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28000 UI/ week or</w:t>
      </w:r>
    </w:p>
    <w:p w14:paraId="6C4160A0" w14:textId="77777777" w:rsidR="00B73B8A" w:rsidRPr="00583A20" w:rsidRDefault="00A34A93" w:rsidP="0013476C">
      <w:pPr>
        <w:numPr>
          <w:ilvl w:val="0"/>
          <w:numId w:val="7"/>
        </w:numPr>
        <w:spacing w:after="240"/>
        <w:ind w:left="714" w:hanging="357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140 microg</w:t>
      </w:r>
      <w:r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>/ week</w:t>
      </w:r>
    </w:p>
    <w:p w14:paraId="2324CA86" w14:textId="7DA5EAAC" w:rsidR="00B73B8A" w:rsidRPr="00583A20" w:rsidRDefault="00A34A93" w:rsidP="00B73B8A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color w:val="000000"/>
          <w:szCs w:val="24"/>
          <w:lang w:val="en-US"/>
        </w:rPr>
        <w:t xml:space="preserve">If at next assessment </w:t>
      </w:r>
      <w:r w:rsidR="00583A20" w:rsidRPr="00583A20">
        <w:rPr>
          <w:rFonts w:cs="Times New Roman"/>
          <w:color w:val="000000"/>
          <w:szCs w:val="24"/>
          <w:lang w:val="en-US"/>
        </w:rPr>
        <w:t>hemoglobin</w:t>
      </w:r>
      <w:r w:rsidR="00C6531F" w:rsidRPr="00583A20">
        <w:rPr>
          <w:rFonts w:cs="Times New Roman"/>
          <w:color w:val="000000"/>
          <w:szCs w:val="24"/>
          <w:lang w:val="en-US"/>
        </w:rPr>
        <w:t xml:space="preserve"> level persists &lt;9.</w:t>
      </w:r>
      <w:r w:rsidR="00B73B8A" w:rsidRPr="00583A20">
        <w:rPr>
          <w:rFonts w:cs="Times New Roman"/>
          <w:color w:val="000000"/>
          <w:szCs w:val="24"/>
          <w:lang w:val="en-US"/>
        </w:rPr>
        <w:t xml:space="preserve">5 g/dL and this value is confirmed by a second blood sample, ESA dose should be increased 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>as follows:</w:t>
      </w:r>
      <w:r w:rsidR="00B73B8A" w:rsidRPr="00583A20">
        <w:rPr>
          <w:rFonts w:cs="Times New Roman"/>
          <w:color w:val="000000"/>
          <w:szCs w:val="24"/>
          <w:lang w:val="en-US"/>
        </w:rPr>
        <w:t xml:space="preserve"> </w:t>
      </w:r>
    </w:p>
    <w:p w14:paraId="557A2C8D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432B8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35000 UI/ week or</w:t>
      </w:r>
    </w:p>
    <w:p w14:paraId="4B0C0E10" w14:textId="77777777" w:rsidR="00B73B8A" w:rsidRPr="00583A20" w:rsidRDefault="00A34A93" w:rsidP="0013476C">
      <w:pPr>
        <w:numPr>
          <w:ilvl w:val="0"/>
          <w:numId w:val="7"/>
        </w:numPr>
        <w:spacing w:after="240"/>
        <w:ind w:left="714" w:hanging="357"/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 xml:space="preserve"> 175 microg</w:t>
      </w:r>
      <w:r w:rsidRPr="00583A20">
        <w:rPr>
          <w:rFonts w:cs="Times New Roman"/>
          <w:bCs/>
          <w:color w:val="000000"/>
          <w:szCs w:val="24"/>
          <w:lang w:val="en-US"/>
        </w:rPr>
        <w:t>rams</w:t>
      </w:r>
      <w:r w:rsidR="00B73B8A" w:rsidRPr="00583A20">
        <w:rPr>
          <w:rFonts w:cs="Times New Roman"/>
          <w:bCs/>
          <w:color w:val="000000"/>
          <w:szCs w:val="24"/>
          <w:lang w:val="en-US"/>
        </w:rPr>
        <w:t>/ week</w:t>
      </w:r>
    </w:p>
    <w:p w14:paraId="28846AC8" w14:textId="2660A9BD" w:rsidR="00B73B8A" w:rsidRPr="00583A20" w:rsidRDefault="00B73B8A" w:rsidP="00B73B8A">
      <w:pPr>
        <w:spacing w:line="360" w:lineRule="auto"/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For persisting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level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s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</w:t>
      </w:r>
      <w:r w:rsidRPr="00583A20">
        <w:rPr>
          <w:rFonts w:cs="Times New Roman"/>
          <w:szCs w:val="24"/>
          <w:lang w:val="en-US"/>
        </w:rPr>
        <w:t>&lt;9.5 g/dL (two consecutive assessments), detected during follow up visits (at 1, 2, 3, 6, 12, 18, 24, 30, 36, 42, 48 months) or during routine monitoring provided by standard dialysis clinical</w:t>
      </w:r>
      <w:r w:rsidRPr="00583A20">
        <w:rPr>
          <w:rFonts w:cs="Times New Roman"/>
          <w:color w:val="FF0000"/>
          <w:szCs w:val="24"/>
          <w:lang w:val="en-US"/>
        </w:rPr>
        <w:t xml:space="preserve"> </w:t>
      </w:r>
      <w:r w:rsidRPr="00583A20">
        <w:rPr>
          <w:rFonts w:cs="Times New Roman"/>
          <w:szCs w:val="24"/>
          <w:lang w:val="en-US"/>
        </w:rPr>
        <w:t xml:space="preserve">practice, ESA dose </w:t>
      </w:r>
      <w:r w:rsidRPr="00583A20">
        <w:rPr>
          <w:rFonts w:cs="Times New Roman"/>
          <w:bCs/>
          <w:color w:val="000000"/>
          <w:szCs w:val="24"/>
          <w:lang w:val="en-US"/>
        </w:rPr>
        <w:t>shou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ld be of 35000 EPO alfa or darbe</w:t>
      </w:r>
      <w:r w:rsidRPr="00583A20">
        <w:rPr>
          <w:rFonts w:cs="Times New Roman"/>
          <w:bCs/>
          <w:color w:val="000000"/>
          <w:szCs w:val="24"/>
          <w:lang w:val="en-US"/>
        </w:rPr>
        <w:t>poetin 175 microg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rams</w:t>
      </w:r>
      <w:r w:rsidRPr="00583A20">
        <w:rPr>
          <w:rFonts w:cs="Times New Roman"/>
          <w:bCs/>
          <w:color w:val="000000"/>
          <w:szCs w:val="24"/>
          <w:lang w:val="en-US"/>
        </w:rPr>
        <w:t>/week.</w:t>
      </w:r>
    </w:p>
    <w:p w14:paraId="7B0154DE" w14:textId="719577B7" w:rsidR="00B73B8A" w:rsidRPr="00583A20" w:rsidRDefault="00A34A93" w:rsidP="00670579">
      <w:pPr>
        <w:rPr>
          <w:b/>
          <w:u w:val="single"/>
          <w:lang w:val="en-US"/>
        </w:rPr>
      </w:pPr>
      <w:bookmarkStart w:id="3" w:name="_Toc456874219"/>
      <w:r w:rsidRPr="00583A20">
        <w:rPr>
          <w:b/>
          <w:u w:val="single"/>
          <w:lang w:val="en-US"/>
        </w:rPr>
        <w:t xml:space="preserve">Lowering ESA dose in patients </w:t>
      </w:r>
      <w:r w:rsidR="00583A20">
        <w:rPr>
          <w:b/>
          <w:u w:val="single"/>
          <w:lang w:val="en-US"/>
        </w:rPr>
        <w:t>randomized</w:t>
      </w:r>
      <w:r w:rsidRPr="00583A20">
        <w:rPr>
          <w:b/>
          <w:u w:val="single"/>
          <w:lang w:val="en-US"/>
        </w:rPr>
        <w:t xml:space="preserve"> to fixed low dose (epoetin alfa or beta</w:t>
      </w:r>
      <w:r w:rsidR="00B73B8A" w:rsidRPr="00583A20">
        <w:rPr>
          <w:b/>
          <w:u w:val="single"/>
          <w:lang w:val="en-US"/>
        </w:rPr>
        <w:t xml:space="preserve"> 4000 IU/week or </w:t>
      </w:r>
      <w:r w:rsidRPr="00583A20">
        <w:rPr>
          <w:b/>
          <w:u w:val="single"/>
          <w:lang w:val="en-US"/>
        </w:rPr>
        <w:t>darbepoetin</w:t>
      </w:r>
      <w:r w:rsidR="00B73B8A" w:rsidRPr="00583A20">
        <w:rPr>
          <w:b/>
          <w:u w:val="single"/>
          <w:lang w:val="en-US"/>
        </w:rPr>
        <w:t xml:space="preserve"> 20 microg</w:t>
      </w:r>
      <w:r w:rsidRPr="00583A20">
        <w:rPr>
          <w:b/>
          <w:u w:val="single"/>
          <w:lang w:val="en-US"/>
        </w:rPr>
        <w:t xml:space="preserve">rams/week) for persisting </w:t>
      </w:r>
      <w:r w:rsidR="00583A20" w:rsidRPr="00583A20">
        <w:rPr>
          <w:b/>
          <w:u w:val="single"/>
          <w:lang w:val="en-US"/>
        </w:rPr>
        <w:t>hemoglobin</w:t>
      </w:r>
      <w:r w:rsidRPr="00583A20">
        <w:rPr>
          <w:b/>
          <w:u w:val="single"/>
          <w:lang w:val="en-US"/>
        </w:rPr>
        <w:t xml:space="preserve"> levels &gt; 12.5 g/dL</w:t>
      </w:r>
      <w:bookmarkEnd w:id="3"/>
    </w:p>
    <w:p w14:paraId="77A22107" w14:textId="77777777" w:rsidR="00670579" w:rsidRPr="00583A20" w:rsidRDefault="00670579" w:rsidP="00670579">
      <w:pPr>
        <w:rPr>
          <w:lang w:val="en-US"/>
        </w:rPr>
      </w:pPr>
    </w:p>
    <w:p w14:paraId="7D21BD29" w14:textId="427D43D9" w:rsidR="00B73B8A" w:rsidRPr="00583A20" w:rsidRDefault="00B73B8A" w:rsidP="00B73B8A">
      <w:pPr>
        <w:spacing w:line="360" w:lineRule="auto"/>
        <w:jc w:val="both"/>
        <w:rPr>
          <w:rFonts w:cs="Times New Roman"/>
          <w:b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>If pa</w:t>
      </w:r>
      <w:r w:rsidR="00C6531F" w:rsidRPr="00583A20">
        <w:rPr>
          <w:rFonts w:cs="Times New Roman"/>
          <w:bCs/>
          <w:color w:val="000000"/>
          <w:szCs w:val="20"/>
          <w:lang w:val="en-US"/>
        </w:rPr>
        <w:t xml:space="preserve">tients </w:t>
      </w:r>
      <w:r w:rsidR="00583A20">
        <w:rPr>
          <w:rFonts w:cs="Times New Roman"/>
          <w:bCs/>
          <w:color w:val="000000"/>
          <w:szCs w:val="20"/>
          <w:lang w:val="en-US"/>
        </w:rPr>
        <w:t>randomized</w:t>
      </w:r>
      <w:r w:rsidR="00A34A93" w:rsidRPr="00583A20">
        <w:rPr>
          <w:rFonts w:cs="Times New Roman"/>
          <w:bCs/>
          <w:color w:val="000000"/>
          <w:szCs w:val="20"/>
          <w:lang w:val="en-US"/>
        </w:rPr>
        <w:t xml:space="preserve"> to fixed low 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ESA dose have </w:t>
      </w:r>
      <w:r w:rsidR="00583A20" w:rsidRPr="00583A20">
        <w:rPr>
          <w:rFonts w:cs="Times New Roman"/>
          <w:bCs/>
          <w:color w:val="000000"/>
          <w:szCs w:val="20"/>
          <w:lang w:val="en-US"/>
        </w:rPr>
        <w:t>hemoglobin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 levels &gt;12.5 g/dL, detected after </w:t>
      </w:r>
      <w:r w:rsidRPr="00583A20">
        <w:rPr>
          <w:rFonts w:cs="Times New Roman"/>
          <w:bCs/>
          <w:szCs w:val="20"/>
          <w:lang w:val="en-US"/>
        </w:rPr>
        <w:t>two consecutive assessments,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 ESA dose should be decreased, as follows:</w:t>
      </w:r>
    </w:p>
    <w:p w14:paraId="1262B91F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>EPO alfa o</w:t>
      </w:r>
      <w:r w:rsidR="00A34A93" w:rsidRPr="00583A20">
        <w:rPr>
          <w:rFonts w:cs="Times New Roman"/>
          <w:bCs/>
          <w:color w:val="000000"/>
          <w:szCs w:val="20"/>
          <w:lang w:val="en-US"/>
        </w:rPr>
        <w:t>r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 beta 3000 IU/week</w:t>
      </w:r>
    </w:p>
    <w:p w14:paraId="70648B0A" w14:textId="77777777" w:rsidR="00B73B8A" w:rsidRPr="00583A20" w:rsidRDefault="00A34A93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0"/>
          <w:lang w:val="en-US"/>
        </w:rPr>
        <w:t xml:space="preserve"> 15 microg</w:t>
      </w:r>
      <w:r w:rsidRPr="00583A20">
        <w:rPr>
          <w:rFonts w:cs="Times New Roman"/>
          <w:bCs/>
          <w:color w:val="000000"/>
          <w:szCs w:val="20"/>
          <w:lang w:val="en-US"/>
        </w:rPr>
        <w:t>rams/week</w:t>
      </w:r>
    </w:p>
    <w:p w14:paraId="5C36E1FD" w14:textId="77777777" w:rsidR="00B73B8A" w:rsidRPr="00583A20" w:rsidRDefault="00B73B8A" w:rsidP="00B73B8A">
      <w:pPr>
        <w:ind w:left="720"/>
        <w:jc w:val="both"/>
        <w:rPr>
          <w:rFonts w:cs="Times New Roman"/>
          <w:bCs/>
          <w:color w:val="000000"/>
          <w:szCs w:val="20"/>
          <w:lang w:val="en-US"/>
        </w:rPr>
      </w:pPr>
    </w:p>
    <w:p w14:paraId="40887B5B" w14:textId="58ADFDC5" w:rsidR="00B73B8A" w:rsidRPr="00583A20" w:rsidRDefault="00B73B8A" w:rsidP="00B73B8A">
      <w:pPr>
        <w:spacing w:line="360" w:lineRule="auto"/>
        <w:jc w:val="both"/>
        <w:rPr>
          <w:rFonts w:cs="Times New Roman"/>
          <w:color w:val="000000"/>
          <w:szCs w:val="20"/>
          <w:lang w:val="en-US"/>
        </w:rPr>
      </w:pPr>
      <w:r w:rsidRPr="00583A20">
        <w:rPr>
          <w:rFonts w:cs="Times New Roman"/>
          <w:color w:val="000000"/>
          <w:szCs w:val="20"/>
          <w:lang w:val="en-US"/>
        </w:rPr>
        <w:lastRenderedPageBreak/>
        <w:t xml:space="preserve">If at next assessment </w:t>
      </w:r>
      <w:r w:rsidR="00583A20" w:rsidRPr="00583A20">
        <w:rPr>
          <w:rFonts w:cs="Times New Roman"/>
          <w:color w:val="000000"/>
          <w:szCs w:val="20"/>
          <w:lang w:val="en-US"/>
        </w:rPr>
        <w:t>hemoglobin</w:t>
      </w:r>
      <w:r w:rsidRPr="00583A20">
        <w:rPr>
          <w:rFonts w:cs="Times New Roman"/>
          <w:color w:val="000000"/>
          <w:szCs w:val="20"/>
          <w:lang w:val="en-US"/>
        </w:rPr>
        <w:t xml:space="preserve"> level persists &lt;9,5 g/dL and this value is confirmed by a second blood sample, ESA dose should be decreased </w:t>
      </w:r>
      <w:r w:rsidRPr="00583A20">
        <w:rPr>
          <w:rFonts w:cs="Times New Roman"/>
          <w:bCs/>
          <w:color w:val="000000"/>
          <w:szCs w:val="20"/>
          <w:lang w:val="en-US"/>
        </w:rPr>
        <w:t>as follows:</w:t>
      </w:r>
      <w:r w:rsidRPr="00583A20">
        <w:rPr>
          <w:rFonts w:cs="Times New Roman"/>
          <w:color w:val="000000"/>
          <w:szCs w:val="20"/>
          <w:lang w:val="en-US"/>
        </w:rPr>
        <w:t xml:space="preserve"> </w:t>
      </w:r>
    </w:p>
    <w:p w14:paraId="4EF120BC" w14:textId="77777777" w:rsidR="00B73B8A" w:rsidRPr="00583A20" w:rsidRDefault="00B73B8A" w:rsidP="00B73B8A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>EPO alfa o beta 2000 IU/week</w:t>
      </w:r>
    </w:p>
    <w:p w14:paraId="13819B80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>Darbepoetin</w:t>
      </w:r>
      <w:r w:rsidR="00B73B8A" w:rsidRPr="00583A20">
        <w:rPr>
          <w:rFonts w:cs="Times New Roman"/>
          <w:bCs/>
          <w:color w:val="000000"/>
          <w:szCs w:val="20"/>
          <w:lang w:val="en-US"/>
        </w:rPr>
        <w:t xml:space="preserve"> 10 microg</w:t>
      </w:r>
      <w:r w:rsidRPr="00583A20">
        <w:rPr>
          <w:rFonts w:cs="Times New Roman"/>
          <w:bCs/>
          <w:color w:val="000000"/>
          <w:szCs w:val="20"/>
          <w:lang w:val="en-US"/>
        </w:rPr>
        <w:t>rams/ week</w:t>
      </w:r>
    </w:p>
    <w:p w14:paraId="6E3730C0" w14:textId="77777777" w:rsidR="00A34A93" w:rsidRPr="00583A20" w:rsidRDefault="00A34A93" w:rsidP="00A34A93">
      <w:pPr>
        <w:ind w:left="720"/>
        <w:jc w:val="both"/>
        <w:rPr>
          <w:rFonts w:cs="Times New Roman"/>
          <w:bCs/>
          <w:color w:val="000000"/>
          <w:szCs w:val="20"/>
          <w:lang w:val="en-US"/>
        </w:rPr>
      </w:pPr>
    </w:p>
    <w:p w14:paraId="565618E1" w14:textId="46209552" w:rsidR="00B73B8A" w:rsidRPr="00583A20" w:rsidRDefault="00B73B8A" w:rsidP="00B73B8A">
      <w:pPr>
        <w:spacing w:line="360" w:lineRule="auto"/>
        <w:jc w:val="both"/>
        <w:rPr>
          <w:rFonts w:cs="Times New Roman"/>
          <w:bCs/>
          <w:color w:val="000000"/>
          <w:szCs w:val="20"/>
          <w:lang w:val="en-US"/>
        </w:rPr>
      </w:pPr>
      <w:r w:rsidRPr="00583A20">
        <w:rPr>
          <w:rFonts w:cs="Times New Roman"/>
          <w:bCs/>
          <w:color w:val="000000"/>
          <w:szCs w:val="20"/>
          <w:lang w:val="en-US"/>
        </w:rPr>
        <w:t xml:space="preserve">For persisting </w:t>
      </w:r>
      <w:r w:rsidR="00583A20" w:rsidRPr="00583A20">
        <w:rPr>
          <w:rFonts w:cs="Times New Roman"/>
          <w:bCs/>
          <w:color w:val="000000"/>
          <w:szCs w:val="20"/>
          <w:lang w:val="en-US"/>
        </w:rPr>
        <w:t>hemoglobin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 level </w:t>
      </w:r>
      <w:r w:rsidRPr="00583A20">
        <w:rPr>
          <w:rFonts w:cs="Times New Roman"/>
          <w:szCs w:val="20"/>
          <w:lang w:val="en-US"/>
        </w:rPr>
        <w:t xml:space="preserve">&gt;12.5 g/dL (two consecutive assessments), detected during follow up visits (at 1, 2, 3, 6, 12, 18, 24, 30, 36, 42, 48 months) or during routine monitoring provided by </w:t>
      </w:r>
      <w:r w:rsidRPr="00583A20">
        <w:rPr>
          <w:rFonts w:cs="Times New Roman"/>
          <w:lang w:val="en-US"/>
        </w:rPr>
        <w:t>standard dialysis clinical</w:t>
      </w:r>
      <w:r w:rsidRPr="00583A20">
        <w:rPr>
          <w:rFonts w:cs="Times New Roman"/>
          <w:color w:val="FF0000"/>
          <w:szCs w:val="20"/>
          <w:lang w:val="en-US"/>
        </w:rPr>
        <w:t xml:space="preserve"> </w:t>
      </w:r>
      <w:r w:rsidRPr="00583A20">
        <w:rPr>
          <w:rFonts w:cs="Times New Roman"/>
          <w:szCs w:val="20"/>
          <w:lang w:val="en-US"/>
        </w:rPr>
        <w:t xml:space="preserve">practice, ESA treatment 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should be interrupted until </w:t>
      </w:r>
      <w:r w:rsidR="00583A20" w:rsidRPr="00583A20">
        <w:rPr>
          <w:rFonts w:cs="Times New Roman"/>
          <w:bCs/>
          <w:color w:val="000000"/>
          <w:szCs w:val="20"/>
          <w:lang w:val="en-US"/>
        </w:rPr>
        <w:t>hemoglobin</w:t>
      </w:r>
      <w:r w:rsidRPr="00583A20">
        <w:rPr>
          <w:rFonts w:cs="Times New Roman"/>
          <w:bCs/>
          <w:color w:val="000000"/>
          <w:szCs w:val="20"/>
          <w:lang w:val="en-US"/>
        </w:rPr>
        <w:t xml:space="preserve"> </w:t>
      </w:r>
      <w:r w:rsidR="00A34A93" w:rsidRPr="00583A20">
        <w:rPr>
          <w:rFonts w:cs="Times New Roman"/>
          <w:bCs/>
          <w:color w:val="000000"/>
          <w:szCs w:val="20"/>
          <w:lang w:val="en-US"/>
        </w:rPr>
        <w:t>levels</w:t>
      </w:r>
      <w:r w:rsidR="00C6531F" w:rsidRPr="00583A20">
        <w:rPr>
          <w:rFonts w:cs="Times New Roman"/>
          <w:bCs/>
          <w:color w:val="000000"/>
          <w:szCs w:val="20"/>
          <w:lang w:val="en-US"/>
        </w:rPr>
        <w:t xml:space="preserve"> return to &lt; 12.</w:t>
      </w:r>
      <w:r w:rsidRPr="00583A20">
        <w:rPr>
          <w:rFonts w:cs="Times New Roman"/>
          <w:bCs/>
          <w:color w:val="000000"/>
          <w:szCs w:val="20"/>
          <w:lang w:val="en-US"/>
        </w:rPr>
        <w:t>5 g/dL.</w:t>
      </w:r>
    </w:p>
    <w:p w14:paraId="2EB3BDCA" w14:textId="77777777" w:rsidR="00670579" w:rsidRPr="00583A20" w:rsidRDefault="00670579" w:rsidP="00B73B8A">
      <w:pPr>
        <w:spacing w:line="360" w:lineRule="auto"/>
        <w:jc w:val="both"/>
        <w:rPr>
          <w:rFonts w:cs="Times New Roman"/>
          <w:bCs/>
          <w:color w:val="000000"/>
          <w:szCs w:val="20"/>
          <w:lang w:val="en-US"/>
        </w:rPr>
      </w:pPr>
    </w:p>
    <w:p w14:paraId="40055591" w14:textId="20224A88" w:rsidR="00A34A93" w:rsidRPr="00583A20" w:rsidRDefault="00A34A93" w:rsidP="00670579">
      <w:pPr>
        <w:rPr>
          <w:b/>
          <w:u w:val="single"/>
          <w:lang w:val="en-US"/>
        </w:rPr>
      </w:pPr>
      <w:bookmarkStart w:id="4" w:name="_Toc456874220"/>
      <w:r w:rsidRPr="00583A20">
        <w:rPr>
          <w:b/>
          <w:u w:val="single"/>
          <w:lang w:val="en-US"/>
        </w:rPr>
        <w:t xml:space="preserve">Increasing ESA dose in patients </w:t>
      </w:r>
      <w:r w:rsidR="00583A20">
        <w:rPr>
          <w:b/>
          <w:u w:val="single"/>
          <w:lang w:val="en-US"/>
        </w:rPr>
        <w:t>randomized</w:t>
      </w:r>
      <w:r w:rsidRPr="00583A20">
        <w:rPr>
          <w:b/>
          <w:u w:val="single"/>
          <w:lang w:val="en-US"/>
        </w:rPr>
        <w:t xml:space="preserve"> to low fixed ESA dose </w:t>
      </w:r>
      <w:r w:rsidRPr="00583A20">
        <w:rPr>
          <w:rFonts w:cs="Times New Roman"/>
          <w:b/>
          <w:szCs w:val="24"/>
          <w:u w:val="single"/>
          <w:lang w:val="en-US"/>
        </w:rPr>
        <w:t>(epoetin alfa or beta</w:t>
      </w:r>
      <w:r w:rsidRPr="00583A20">
        <w:rPr>
          <w:b/>
          <w:u w:val="single"/>
          <w:lang w:val="en-US"/>
        </w:rPr>
        <w:t xml:space="preserve"> 4000 IU/week or darbepoetin 20 micrograms/week) for persisting </w:t>
      </w:r>
      <w:r w:rsidR="00583A20" w:rsidRPr="00583A20">
        <w:rPr>
          <w:b/>
          <w:u w:val="single"/>
          <w:lang w:val="en-US"/>
        </w:rPr>
        <w:t>hemoglobin</w:t>
      </w:r>
      <w:r w:rsidRPr="00583A20">
        <w:rPr>
          <w:b/>
          <w:u w:val="single"/>
          <w:lang w:val="en-US"/>
        </w:rPr>
        <w:t xml:space="preserve"> levels &lt;9.5 g/dL</w:t>
      </w:r>
      <w:bookmarkEnd w:id="4"/>
    </w:p>
    <w:p w14:paraId="11507950" w14:textId="77777777" w:rsidR="00670579" w:rsidRPr="00583A20" w:rsidRDefault="00670579" w:rsidP="00670579">
      <w:pPr>
        <w:rPr>
          <w:lang w:val="en-US"/>
        </w:rPr>
      </w:pPr>
    </w:p>
    <w:p w14:paraId="27B06FBF" w14:textId="0614B1E0" w:rsidR="00A34A93" w:rsidRPr="00583A20" w:rsidRDefault="00432B8F" w:rsidP="00A34A93">
      <w:pPr>
        <w:spacing w:line="360" w:lineRule="auto"/>
        <w:jc w:val="both"/>
        <w:rPr>
          <w:rFonts w:cs="Times New Roman"/>
          <w:b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If patients </w:t>
      </w:r>
      <w:r w:rsidR="00583A20">
        <w:rPr>
          <w:rFonts w:cs="Times New Roman"/>
          <w:bCs/>
          <w:color w:val="000000"/>
          <w:szCs w:val="24"/>
          <w:lang w:val="en-US"/>
        </w:rPr>
        <w:t>randomized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 xml:space="preserve"> to fixed low ESA dose have </w:t>
      </w:r>
      <w:r w:rsidR="00583A20" w:rsidRPr="00583A20">
        <w:rPr>
          <w:rFonts w:cs="Times New Roman"/>
          <w:bCs/>
          <w:color w:val="000000"/>
          <w:szCs w:val="24"/>
          <w:lang w:val="en-US"/>
        </w:rPr>
        <w:t>hemoglobin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 xml:space="preserve"> levels &lt;9.5 g/dL,</w:t>
      </w:r>
      <w:r w:rsidR="00A34A93" w:rsidRPr="00583A20">
        <w:rPr>
          <w:rFonts w:cs="Times New Roman"/>
          <w:bCs/>
          <w:szCs w:val="24"/>
          <w:lang w:val="en-US"/>
        </w:rPr>
        <w:t xml:space="preserve"> detected after two consecutive assessments, 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ESA dose should be decreased, as follows:</w:t>
      </w:r>
    </w:p>
    <w:p w14:paraId="36BBC495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5000 IU/week or</w:t>
      </w:r>
    </w:p>
    <w:p w14:paraId="5C716BEF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25 micrograms/week</w:t>
      </w:r>
    </w:p>
    <w:p w14:paraId="06468792" w14:textId="77777777" w:rsidR="00A34A93" w:rsidRPr="00583A20" w:rsidRDefault="00A34A93" w:rsidP="00A34A93">
      <w:pPr>
        <w:ind w:left="720"/>
        <w:jc w:val="both"/>
        <w:rPr>
          <w:rFonts w:cs="Times New Roman"/>
          <w:color w:val="000000"/>
          <w:szCs w:val="24"/>
          <w:lang w:val="en-US"/>
        </w:rPr>
      </w:pPr>
    </w:p>
    <w:p w14:paraId="5ACB940D" w14:textId="0BB0C585" w:rsidR="00A34A93" w:rsidRPr="00583A20" w:rsidRDefault="00583A20" w:rsidP="00A34A93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If at next assessment h</w:t>
      </w:r>
      <w:r w:rsidR="00A34A93" w:rsidRPr="00583A20">
        <w:rPr>
          <w:rFonts w:cs="Times New Roman"/>
          <w:color w:val="000000"/>
          <w:szCs w:val="24"/>
          <w:lang w:val="en-US"/>
        </w:rPr>
        <w:t xml:space="preserve">emoglobin level is still &lt;9.5 g/dL and this value is confirmed by a second blood sample, ESA dose should be increased 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as follows:</w:t>
      </w:r>
    </w:p>
    <w:p w14:paraId="4EFB9069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6000 IU/week or</w:t>
      </w:r>
    </w:p>
    <w:p w14:paraId="23DFF63F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Darbepoetin 30 micrograms/ week</w:t>
      </w:r>
    </w:p>
    <w:p w14:paraId="61F68A27" w14:textId="77777777" w:rsidR="00A34A93" w:rsidRPr="00583A20" w:rsidRDefault="00A34A93" w:rsidP="00A34A93">
      <w:pPr>
        <w:ind w:left="720"/>
        <w:jc w:val="both"/>
        <w:rPr>
          <w:rFonts w:cs="Times New Roman"/>
          <w:bCs/>
          <w:color w:val="000000"/>
          <w:szCs w:val="24"/>
          <w:lang w:val="en-US"/>
        </w:rPr>
      </w:pPr>
    </w:p>
    <w:p w14:paraId="4A1EEE02" w14:textId="5969B6C7" w:rsidR="00A34A93" w:rsidRPr="00583A20" w:rsidRDefault="00583A20" w:rsidP="00A34A93">
      <w:pPr>
        <w:spacing w:line="360" w:lineRule="auto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If at next assessment h</w:t>
      </w:r>
      <w:r w:rsidR="00A34A93" w:rsidRPr="00583A20">
        <w:rPr>
          <w:rFonts w:cs="Times New Roman"/>
          <w:color w:val="000000"/>
          <w:szCs w:val="24"/>
          <w:lang w:val="en-US"/>
        </w:rPr>
        <w:t xml:space="preserve">emoglobin level persists &lt;9.5 g/dL and this value is confirmed by a second blood sample, ESA dose should be increased 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as follows:</w:t>
      </w:r>
      <w:r w:rsidR="00A34A93" w:rsidRPr="00583A20">
        <w:rPr>
          <w:rFonts w:cs="Times New Roman"/>
          <w:color w:val="000000"/>
          <w:szCs w:val="24"/>
          <w:lang w:val="en-US"/>
        </w:rPr>
        <w:t xml:space="preserve"> </w:t>
      </w:r>
    </w:p>
    <w:p w14:paraId="1F9D9586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bCs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>EPO alfa o</w:t>
      </w:r>
      <w:r w:rsidR="00C6531F" w:rsidRPr="00583A20">
        <w:rPr>
          <w:rFonts w:cs="Times New Roman"/>
          <w:bCs/>
          <w:color w:val="000000"/>
          <w:szCs w:val="24"/>
          <w:lang w:val="en-US"/>
        </w:rPr>
        <w:t>r</w:t>
      </w:r>
      <w:r w:rsidRPr="00583A20">
        <w:rPr>
          <w:rFonts w:cs="Times New Roman"/>
          <w:bCs/>
          <w:color w:val="000000"/>
          <w:szCs w:val="24"/>
          <w:lang w:val="en-US"/>
        </w:rPr>
        <w:t xml:space="preserve"> beta 8000 IU/week or</w:t>
      </w:r>
    </w:p>
    <w:p w14:paraId="7B7E0480" w14:textId="77777777" w:rsidR="00A34A93" w:rsidRPr="00583A20" w:rsidRDefault="00A34A93" w:rsidP="00A34A93">
      <w:pPr>
        <w:numPr>
          <w:ilvl w:val="0"/>
          <w:numId w:val="7"/>
        </w:numPr>
        <w:jc w:val="both"/>
        <w:rPr>
          <w:rFonts w:cs="Times New Roman"/>
          <w:color w:val="000000"/>
          <w:szCs w:val="24"/>
          <w:lang w:val="en-US"/>
        </w:rPr>
      </w:pPr>
      <w:r w:rsidRPr="00583A20">
        <w:rPr>
          <w:rFonts w:cs="Times New Roman"/>
          <w:bCs/>
          <w:color w:val="000000"/>
          <w:szCs w:val="24"/>
          <w:lang w:val="en-US"/>
        </w:rPr>
        <w:t xml:space="preserve">Darbepoetin 40 micrograms/ week </w:t>
      </w:r>
    </w:p>
    <w:p w14:paraId="2C7FA600" w14:textId="77777777" w:rsidR="00A34A93" w:rsidRPr="00583A20" w:rsidRDefault="00A34A93" w:rsidP="00A34A93">
      <w:pPr>
        <w:ind w:left="720"/>
        <w:jc w:val="both"/>
        <w:rPr>
          <w:rFonts w:cs="Times New Roman"/>
          <w:color w:val="000000"/>
          <w:szCs w:val="24"/>
          <w:lang w:val="en-US"/>
        </w:rPr>
      </w:pPr>
    </w:p>
    <w:p w14:paraId="7A10DD17" w14:textId="1CFFCA9F" w:rsidR="00B73B8A" w:rsidRPr="00583A20" w:rsidRDefault="00583A20" w:rsidP="00546921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bCs/>
          <w:color w:val="000000"/>
          <w:szCs w:val="24"/>
          <w:lang w:val="en-US"/>
        </w:rPr>
        <w:t>For persisting h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 xml:space="preserve">emoglobin level </w:t>
      </w:r>
      <w:r w:rsidR="00A34A93" w:rsidRPr="00583A20">
        <w:rPr>
          <w:rFonts w:cs="Times New Roman"/>
          <w:szCs w:val="24"/>
          <w:lang w:val="en-US"/>
        </w:rPr>
        <w:t>&lt;9.5 g/dL (two consecutive assessments), detected during follow up visits (at 1, 2, 3, 6, 12, 18, 24, 30, 36, 42, 48 months) or during routine monitoring provided by standard dialysis clinical</w:t>
      </w:r>
      <w:r w:rsidR="00A34A93" w:rsidRPr="00583A20">
        <w:rPr>
          <w:rFonts w:cs="Times New Roman"/>
          <w:color w:val="FF0000"/>
          <w:szCs w:val="24"/>
          <w:lang w:val="en-US"/>
        </w:rPr>
        <w:t xml:space="preserve"> </w:t>
      </w:r>
      <w:r w:rsidR="00A34A93" w:rsidRPr="00583A20">
        <w:rPr>
          <w:rFonts w:cs="Times New Roman"/>
          <w:szCs w:val="24"/>
          <w:lang w:val="en-US"/>
        </w:rPr>
        <w:t xml:space="preserve">practice, ESA dose 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could b</w:t>
      </w:r>
      <w:r>
        <w:rPr>
          <w:rFonts w:cs="Times New Roman"/>
          <w:bCs/>
          <w:color w:val="000000"/>
          <w:szCs w:val="24"/>
          <w:lang w:val="en-US"/>
        </w:rPr>
        <w:t>e increased until h</w:t>
      </w:r>
      <w:r w:rsidR="00A34A93" w:rsidRPr="00583A20">
        <w:rPr>
          <w:rFonts w:cs="Times New Roman"/>
          <w:bCs/>
          <w:color w:val="000000"/>
          <w:szCs w:val="24"/>
          <w:lang w:val="en-US"/>
        </w:rPr>
        <w:t>emoglobin levels become &gt;9.5 g/dL.</w:t>
      </w:r>
      <w:bookmarkStart w:id="5" w:name="_GoBack"/>
      <w:bookmarkEnd w:id="5"/>
    </w:p>
    <w:p w14:paraId="73FEA514" w14:textId="77777777" w:rsidR="00B73B8A" w:rsidRPr="00583A20" w:rsidRDefault="00B73B8A" w:rsidP="00B73B8A">
      <w:pPr>
        <w:rPr>
          <w:rFonts w:cs="Times New Roman"/>
          <w:lang w:val="en-US"/>
        </w:rPr>
      </w:pPr>
    </w:p>
    <w:p w14:paraId="0B0FD57F" w14:textId="75E12511" w:rsidR="008765DF" w:rsidRPr="00583A20" w:rsidRDefault="008765DF">
      <w:pPr>
        <w:rPr>
          <w:lang w:val="en-US"/>
        </w:rPr>
      </w:pPr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7741" w14:textId="77777777" w:rsidR="00CA7898" w:rsidRDefault="00CA7898" w:rsidP="00670579">
      <w:r>
        <w:separator/>
      </w:r>
    </w:p>
  </w:endnote>
  <w:endnote w:type="continuationSeparator" w:id="0">
    <w:p w14:paraId="4509B091" w14:textId="77777777" w:rsidR="00CA7898" w:rsidRDefault="00CA7898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4431B20B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7C9A" w14:textId="77777777" w:rsidR="00CA7898" w:rsidRDefault="00CA7898" w:rsidP="00670579">
      <w:r>
        <w:separator/>
      </w:r>
    </w:p>
  </w:footnote>
  <w:footnote w:type="continuationSeparator" w:id="0">
    <w:p w14:paraId="09C189E8" w14:textId="77777777" w:rsidR="00CA7898" w:rsidRDefault="00CA7898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1C212D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46921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7F4F0E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B5D0F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CA7898"/>
    <w:rsid w:val="00D269FA"/>
    <w:rsid w:val="00D423CC"/>
    <w:rsid w:val="00D67EE7"/>
    <w:rsid w:val="00DC0A3F"/>
    <w:rsid w:val="00DC7887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87A6-8842-4D55-B434-896C8F32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4</cp:revision>
  <dcterms:created xsi:type="dcterms:W3CDTF">2016-12-19T02:25:00Z</dcterms:created>
  <dcterms:modified xsi:type="dcterms:W3CDTF">2016-12-19T02:27:00Z</dcterms:modified>
</cp:coreProperties>
</file>