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D" w:rsidRPr="004B147E" w:rsidRDefault="004B147E" w:rsidP="0063338D">
      <w:pPr>
        <w:spacing w:before="240" w:after="0"/>
        <w:rPr>
          <w:rFonts w:ascii="Times New Roman" w:hAnsi="Times New Roman" w:cs="Times New Roman"/>
          <w:b/>
        </w:rPr>
      </w:pPr>
      <w:r w:rsidRPr="004B147E">
        <w:rPr>
          <w:rFonts w:ascii="Times New Roman" w:hAnsi="Times New Roman" w:cs="Times New Roman"/>
          <w:b/>
        </w:rPr>
        <w:t xml:space="preserve">S3 </w:t>
      </w:r>
      <w:r w:rsidR="00643218" w:rsidRPr="004B147E">
        <w:rPr>
          <w:rFonts w:ascii="Times New Roman" w:hAnsi="Times New Roman" w:cs="Times New Roman"/>
          <w:b/>
        </w:rPr>
        <w:t>Appendix</w:t>
      </w:r>
      <w:r w:rsidR="0063338D" w:rsidRPr="004B147E">
        <w:rPr>
          <w:rFonts w:ascii="Times New Roman" w:hAnsi="Times New Roman" w:cs="Times New Roman"/>
          <w:b/>
        </w:rPr>
        <w:t xml:space="preserve">. </w:t>
      </w:r>
      <w:r w:rsidR="00643218" w:rsidRPr="004B147E">
        <w:rPr>
          <w:rFonts w:ascii="Times New Roman" w:hAnsi="Times New Roman" w:cs="Times New Roman"/>
          <w:b/>
        </w:rPr>
        <w:t xml:space="preserve">Summary of </w:t>
      </w:r>
      <w:r w:rsidR="0063338D" w:rsidRPr="004B147E">
        <w:rPr>
          <w:rFonts w:ascii="Times New Roman" w:hAnsi="Times New Roman" w:cs="Times New Roman"/>
          <w:b/>
        </w:rPr>
        <w:t>top 25</w:t>
      </w:r>
      <w:r w:rsidR="0063338D" w:rsidRPr="004B147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percentile</w:t>
      </w:r>
      <w:r w:rsidR="00643218" w:rsidRPr="004B147E">
        <w:rPr>
          <w:rFonts w:ascii="Times New Roman" w:hAnsi="Times New Roman" w:cs="Times New Roman"/>
          <w:b/>
        </w:rPr>
        <w:t xml:space="preserve"> Economic Evaluations </w:t>
      </w:r>
      <w:r w:rsidR="0063338D" w:rsidRPr="004B147E">
        <w:rPr>
          <w:rFonts w:ascii="Times New Roman" w:hAnsi="Times New Roman" w:cs="Times New Roman"/>
          <w:b/>
        </w:rPr>
        <w:t>in order of CHEERS item checklist reporting</w:t>
      </w:r>
      <w:r w:rsidR="00643218" w:rsidRPr="004B147E">
        <w:rPr>
          <w:rFonts w:ascii="Times New Roman" w:hAnsi="Times New Roman" w:cs="Times New Roman"/>
          <w:b/>
        </w:rPr>
        <w:t>, from highest to lowest</w:t>
      </w: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1891"/>
        <w:gridCol w:w="1439"/>
        <w:gridCol w:w="1171"/>
        <w:gridCol w:w="1528"/>
        <w:gridCol w:w="1531"/>
        <w:gridCol w:w="1799"/>
        <w:gridCol w:w="2763"/>
      </w:tblGrid>
      <w:tr w:rsidR="004B62AA" w:rsidRPr="004B62AA" w:rsidTr="004B62AA">
        <w:trPr>
          <w:trHeight w:val="908"/>
          <w:tblHeader/>
        </w:trPr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63338D" w:rsidRPr="004B62AA" w:rsidRDefault="0063338D" w:rsidP="0063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Author (year) Country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Analytic method/ model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Interventions studied/N per group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Time horizon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Discount rate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Currency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(base year)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Costs Perspective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Consequences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 range of intervention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Conclusions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Guerriero</w:t>
            </w:r>
            <w:proofErr w:type="spellEnd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(2013)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344" w:type="pct"/>
            <w:tcBorders>
              <w:top w:val="single" w:sz="12" w:space="0" w:color="auto"/>
            </w:tcBorders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 / Markov model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SMS-based support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 arm</w:t>
            </w:r>
            <w:r w:rsidR="004B62AA"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(SP=1000)</w:t>
            </w: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Lifetime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3.5%</w:t>
            </w:r>
            <w:bookmarkStart w:id="0" w:name="_GoBack"/>
            <w:bookmarkEnd w:id="0"/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 pounds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(2009-10)</w:t>
            </w: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health service</w:t>
            </w:r>
          </w:p>
        </w:tc>
        <w:tc>
          <w:tcPr>
            <w:tcW w:w="531" w:type="pct"/>
            <w:tcBorders>
              <w:top w:val="single" w:sz="12" w:space="0" w:color="auto"/>
            </w:tcBorders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Development of smoking related disease </w:t>
            </w:r>
          </w:p>
        </w:tc>
        <w:tc>
          <w:tcPr>
            <w:tcW w:w="532" w:type="pct"/>
            <w:tcBorders>
              <w:top w:val="single" w:sz="12" w:space="0" w:color="auto"/>
            </w:tcBorders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QALY gained 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£16,120 per 1000 enrolled smokers</w:t>
            </w: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Personalized smoking cessation advice and support was cost-effective (£278 per quitter, ICER £141 per LY gained and £89 per QALY gained)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Hunchangsith</w:t>
            </w:r>
            <w:proofErr w:type="spellEnd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(2012)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Thailand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 / Monte Carlo simulation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DOT strategies, </w:t>
            </w: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SMS reminder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SAT (SP=2000)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Lifetime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(I$)</w:t>
            </w:r>
            <w:proofErr w:type="spellStart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Interna-tional</w:t>
            </w:r>
            <w:proofErr w:type="spellEnd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dollar 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(2005)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Health-care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Tuberculosis related morbidity and mortality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DALY averted, cost of each intervention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I$1100-I$9000 per DALY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mobile phone reminder system was not cost-effective, because the mortality rate associated with it was much higher than that associated with the other treatment strategies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  <w:hideMark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Lowres</w:t>
            </w:r>
            <w:proofErr w:type="spellEnd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(2014),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Australia 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iECG</w:t>
            </w:r>
            <w:proofErr w:type="spellEnd"/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(sensor)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screening at 5 treatment adherence levels (40%-80%) (N=1,000)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non-screening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Lifetime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$AUD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Australian Health Funder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Prevention of stroke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QALY gained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cost per </w:t>
            </w:r>
            <w:proofErr w:type="spellStart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iECG</w:t>
            </w:r>
            <w:proofErr w:type="spellEnd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screen $USD13.5. Base case $AUD 8,509-$AUD 3,888)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ICER: $USD 4,066 per QALY gained and $USD 20,695 for prevention one stroke. Screening with </w:t>
            </w:r>
            <w:proofErr w:type="spellStart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iECG</w:t>
            </w:r>
            <w:proofErr w:type="spellEnd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pharmacies with an automated algorithm was cost-effective and improved with increased treatment adherence. 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</w:tcPr>
          <w:p w:rsidR="0063338D" w:rsidRPr="004B62AA" w:rsidRDefault="0063338D" w:rsidP="0063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Burn (2015) Australia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MobileMums</w:t>
            </w:r>
            <w:proofErr w:type="spellEnd"/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(n=133)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usual care (n=130)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years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$AUD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(2014)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Government department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Increased physical activity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Incremental cost per QALY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8608 AUD per QALY gained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ICER of 8608 AUD per QALY is expected to be cost-effective at a cost-effective threshold of 64,000 AUD. Varying modelling assumptions had little effect on result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  <w:hideMark/>
          </w:tcPr>
          <w:p w:rsidR="0063338D" w:rsidRPr="004B62AA" w:rsidRDefault="0063338D" w:rsidP="0063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Hagberg</w:t>
            </w:r>
            <w:proofErr w:type="spellEnd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(2014)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Sweden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Individual counseling, home follow-</w:t>
            </w:r>
            <w:proofErr w:type="spellStart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up,</w:t>
            </w: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SMS</w:t>
            </w:r>
            <w:proofErr w:type="spellEnd"/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support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(n=31)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usual care (n=35) 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Lifetime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Swedish to USD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(2012)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Societal  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Weight loss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QALY gained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$583.80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Cost per gained QALY $USD 8,643-9,758 (for follow-up year)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  <w:hideMark/>
          </w:tcPr>
          <w:p w:rsidR="0063338D" w:rsidRPr="004B62AA" w:rsidRDefault="0063338D" w:rsidP="00633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Wong (2015)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Hong Kong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 / Markov Model</w:t>
            </w:r>
          </w:p>
        </w:tc>
        <w:tc>
          <w:tcPr>
            <w:tcW w:w="657" w:type="pct"/>
          </w:tcPr>
          <w:p w:rsidR="0063338D" w:rsidRPr="004B62AA" w:rsidRDefault="004B62AA" w:rsidP="004B62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SMS program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usual care 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Lifetime 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USD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(2011)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Health service provider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Prevention of diabetes type 2 in prediabetics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LY gained, QALY gained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Net intervention costs $42.03 per subject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SMS intervention gained an additional 0.071 QALY and saved $1020.35 per person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000000" w:fill="FFFFFF"/>
            <w:noWrap/>
            <w:hideMark/>
          </w:tcPr>
          <w:p w:rsidR="0063338D" w:rsidRPr="004B62AA" w:rsidRDefault="0063338D" w:rsidP="0063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Larson-Cooper (2016)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344" w:type="pct"/>
            <w:shd w:val="clear" w:color="auto" w:fill="auto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Mobile phone based tips and reminders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interactive voice response</w:t>
            </w:r>
          </w:p>
          <w:p w:rsidR="0063338D" w:rsidRPr="004B62AA" w:rsidRDefault="004B62AA" w:rsidP="004B62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63338D"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onusers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3338D"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(9,798 users)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1/2011- 6/2013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USD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(2013)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Program-</w:t>
            </w:r>
            <w:proofErr w:type="spellStart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matic</w:t>
            </w:r>
            <w:proofErr w:type="spellEnd"/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Improvement of maternal, newborn, and child health indicators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Cost per user, per contact with user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$29.33 per user and $4.33 per successful contact.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average cost for each user experiencing a change in indicator ranged from $67 to $355 The sensitivity analyses showed that cost per user could be reduced by 48% if the service were to operate at full capacity. 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  <w:hideMark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Ryan (2012),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England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twice daily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recording and </w:t>
            </w: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mobile phone app based transmission of symptoms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(n=145)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usual care (n=143)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2008-9 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Pounds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 NR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health service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Asthma control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self-efficacy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difference in cost of mHealth intervention compared with paper-based was minimal  (−£1.26, −£51.47 to £48.95)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Mobile technology did not improve asthma control or increase self-efficacy compared with paper based monitoring and was not cost effective.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  <w:hideMark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Zurovac</w:t>
            </w:r>
            <w:proofErr w:type="spellEnd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(2012),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Kenya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657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implementation scenarios for </w:t>
            </w: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SMS reminders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Trial conditions, 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 Ministry of Health in same study location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National scale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year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USD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(2010)</w:t>
            </w:r>
          </w:p>
        </w:tc>
        <w:tc>
          <w:tcPr>
            <w:tcW w:w="407" w:type="pct"/>
          </w:tcPr>
          <w:p w:rsidR="0063338D" w:rsidRPr="004B62AA" w:rsidRDefault="0063338D" w:rsidP="006333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 implementer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Adherence to malaria management guidelines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Cost per child correctly managed</w:t>
            </w:r>
          </w:p>
        </w:tc>
        <w:tc>
          <w:tcPr>
            <w:tcW w:w="625" w:type="pct"/>
          </w:tcPr>
          <w:p w:rsidR="0063338D" w:rsidRPr="004B62AA" w:rsidRDefault="0063338D" w:rsidP="00633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Cost per additional child correctly managed: USD 0.50 under study conditions, 0.36 if implemented by the </w:t>
            </w:r>
            <w:proofErr w:type="spellStart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MoH</w:t>
            </w:r>
            <w:proofErr w:type="spellEnd"/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the same area, and 0.03 if implemented nationally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Simple text messaging inexpensive under study conditions with substantial economies if deployed at national scale 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</w:tcPr>
          <w:p w:rsidR="0063338D" w:rsidRPr="004B62AA" w:rsidRDefault="0063338D" w:rsidP="0063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Adepoju</w:t>
            </w:r>
            <w:proofErr w:type="spellEnd"/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(2014) USA</w:t>
            </w:r>
          </w:p>
        </w:tc>
        <w:tc>
          <w:tcPr>
            <w:tcW w:w="344" w:type="pct"/>
            <w:shd w:val="clear" w:color="auto" w:fill="auto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657" w:type="pct"/>
            <w:shd w:val="clear" w:color="auto" w:fill="auto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Personal digital assistant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(n=81)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Chronic diabetes self-management program (n=101)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Combined (n=99)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usual care (n=95)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years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Employer 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Diabetes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related premature mortality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productivity loss (indirect costs only)</w:t>
            </w:r>
          </w:p>
        </w:tc>
        <w:tc>
          <w:tcPr>
            <w:tcW w:w="625" w:type="pct"/>
          </w:tcPr>
          <w:p w:rsidR="0063338D" w:rsidRPr="004B62AA" w:rsidRDefault="005B07A3" w:rsidP="005B0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$9814 - $11,459 USD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evidence found that the chronic disease self-management programs examined in the trial affected indirect productivity losses. 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Armstrong (2014), Canada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 / Monte Carlo simulation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Mobile app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follow-up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in-person follow-up visits (SP=1000)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days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Societal and healthcare system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Ambulatory surgical follow-up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Patient lost leisure time (use varied mobile app success rates (90-96%) 0.04 QALY between no complication and minor skin infection)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societal cost of mobile app follow-up care was 135 CAD and in-person was 383.55 CAD per patient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Mobile app follow-up care is suitably targeted to low-risk postop ambulatory patients. It can be cost-effective from a societal and health care system perspective</w:t>
            </w:r>
          </w:p>
        </w:tc>
      </w:tr>
      <w:tr w:rsidR="004B62AA" w:rsidRPr="004B62AA" w:rsidTr="004B62AA">
        <w:trPr>
          <w:trHeight w:val="144"/>
        </w:trPr>
        <w:tc>
          <w:tcPr>
            <w:tcW w:w="444" w:type="pct"/>
            <w:shd w:val="clear" w:color="auto" w:fill="auto"/>
            <w:noWrap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Maddison (2015), New Zealand</w:t>
            </w:r>
          </w:p>
        </w:tc>
        <w:tc>
          <w:tcPr>
            <w:tcW w:w="344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CUA</w:t>
            </w:r>
          </w:p>
        </w:tc>
        <w:tc>
          <w:tcPr>
            <w:tcW w:w="657" w:type="pct"/>
          </w:tcPr>
          <w:p w:rsidR="0063338D" w:rsidRPr="004B62AA" w:rsidRDefault="0063338D" w:rsidP="004B62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Personalize SMS package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 secure website with video messages</w:t>
            </w:r>
            <w:r w:rsidRPr="004B62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(n=85)</w:t>
            </w:r>
          </w:p>
          <w:p w:rsidR="0063338D" w:rsidRPr="004B62AA" w:rsidRDefault="0063338D" w:rsidP="004B62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usual care (n=86)</w:t>
            </w:r>
          </w:p>
        </w:tc>
        <w:tc>
          <w:tcPr>
            <w:tcW w:w="500" w:type="pct"/>
          </w:tcPr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years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3.5%)</w:t>
            </w:r>
          </w:p>
          <w:p w:rsidR="0063338D" w:rsidRPr="004B62AA" w:rsidRDefault="0063338D" w:rsidP="006333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3" w:hanging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$NZ</w:t>
            </w:r>
          </w:p>
          <w:p w:rsidR="0063338D" w:rsidRPr="004B62AA" w:rsidRDefault="0063338D" w:rsidP="00070893">
            <w:pPr>
              <w:pStyle w:val="ListParagraph"/>
              <w:spacing w:after="0" w:line="240" w:lineRule="auto"/>
              <w:ind w:left="16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(2012)</w:t>
            </w:r>
          </w:p>
        </w:tc>
        <w:tc>
          <w:tcPr>
            <w:tcW w:w="407" w:type="pct"/>
          </w:tcPr>
          <w:p w:rsidR="0063338D" w:rsidRPr="004B62AA" w:rsidRDefault="0063338D" w:rsidP="0007089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 health and clinical</w:t>
            </w:r>
          </w:p>
        </w:tc>
        <w:tc>
          <w:tcPr>
            <w:tcW w:w="531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Cardiovascular disease</w:t>
            </w: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related change in peak O2 from baseline</w:t>
            </w:r>
          </w:p>
        </w:tc>
        <w:tc>
          <w:tcPr>
            <w:tcW w:w="532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QALY for outcomes with a significant treatment effect</w:t>
            </w:r>
          </w:p>
        </w:tc>
        <w:tc>
          <w:tcPr>
            <w:tcW w:w="625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cost per participant $22.37</w:t>
            </w:r>
          </w:p>
        </w:tc>
        <w:tc>
          <w:tcPr>
            <w:tcW w:w="960" w:type="pct"/>
          </w:tcPr>
          <w:p w:rsidR="0063338D" w:rsidRPr="004B62AA" w:rsidRDefault="0063338D" w:rsidP="00070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effective at increasing exercise capacity (primary outcome) over and above usual care, was effective and probably cost-effective for increasing physical activity</w:t>
            </w:r>
          </w:p>
        </w:tc>
      </w:tr>
    </w:tbl>
    <w:p w:rsidR="008F4115" w:rsidRDefault="0063338D" w:rsidP="0063338D">
      <w:r w:rsidRPr="00377BEF">
        <w:rPr>
          <w:rFonts w:ascii="Times New Roman" w:hAnsi="Times New Roman" w:cs="Times New Roman"/>
          <w:color w:val="000000"/>
          <w:sz w:val="20"/>
          <w:szCs w:val="20"/>
        </w:rPr>
        <w:t>Note. Disability-adjusted life years (DALYs), Quality Adjusted Life Years (QALY), Life year (LY)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77B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DOT=directly observed treatment,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SAT=self administration of therapy, </w:t>
      </w:r>
      <w:r w:rsidRPr="00377BEF">
        <w:rPr>
          <w:rFonts w:ascii="Times New Roman" w:eastAsia="Times New Roman" w:hAnsi="Times New Roman" w:cs="Times New Roman"/>
          <w:color w:val="000000"/>
          <w:sz w:val="20"/>
          <w:szCs w:val="20"/>
        </w:rPr>
        <w:t>SP=simulated population, I$=</w:t>
      </w:r>
      <w:r w:rsidRPr="00377BEF">
        <w:rPr>
          <w:rFonts w:ascii="Times New Roman" w:hAnsi="Times New Roman" w:cs="Times New Roman"/>
          <w:color w:val="000000"/>
          <w:sz w:val="20"/>
          <w:szCs w:val="20"/>
        </w:rPr>
        <w:t xml:space="preserve"> hypothetical currency representing purchasing power of local currency, ICER=incremental cost-effectiveness ratio</w:t>
      </w:r>
      <w:r>
        <w:rPr>
          <w:rFonts w:ascii="Times New Roman" w:hAnsi="Times New Roman" w:cs="Times New Roman"/>
          <w:color w:val="000000"/>
          <w:sz w:val="20"/>
          <w:szCs w:val="20"/>
        </w:rPr>
        <w:t>, NR=Not reported, NA=Not applicable</w:t>
      </w:r>
    </w:p>
    <w:sectPr w:rsidR="008F4115" w:rsidSect="006333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885"/>
    <w:multiLevelType w:val="hybridMultilevel"/>
    <w:tmpl w:val="D4ECDE72"/>
    <w:lvl w:ilvl="0" w:tplc="70B8D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5863"/>
    <w:multiLevelType w:val="hybridMultilevel"/>
    <w:tmpl w:val="DB829614"/>
    <w:lvl w:ilvl="0" w:tplc="F1305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F3CEF"/>
    <w:multiLevelType w:val="hybridMultilevel"/>
    <w:tmpl w:val="A51A4AE0"/>
    <w:lvl w:ilvl="0" w:tplc="92FA0EA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55BE0"/>
    <w:multiLevelType w:val="hybridMultilevel"/>
    <w:tmpl w:val="582ADC00"/>
    <w:lvl w:ilvl="0" w:tplc="881C1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81CCC"/>
    <w:multiLevelType w:val="hybridMultilevel"/>
    <w:tmpl w:val="D5A24832"/>
    <w:lvl w:ilvl="0" w:tplc="85408E5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141D1"/>
    <w:multiLevelType w:val="hybridMultilevel"/>
    <w:tmpl w:val="6B0AC7E6"/>
    <w:lvl w:ilvl="0" w:tplc="46825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6497D"/>
    <w:multiLevelType w:val="hybridMultilevel"/>
    <w:tmpl w:val="AF06FD86"/>
    <w:lvl w:ilvl="0" w:tplc="A3F44C9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60B3E"/>
    <w:multiLevelType w:val="hybridMultilevel"/>
    <w:tmpl w:val="928C9012"/>
    <w:lvl w:ilvl="0" w:tplc="8194A3E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32CB0"/>
    <w:multiLevelType w:val="hybridMultilevel"/>
    <w:tmpl w:val="D27A1BBA"/>
    <w:lvl w:ilvl="0" w:tplc="341A28D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D81A9E"/>
    <w:multiLevelType w:val="hybridMultilevel"/>
    <w:tmpl w:val="82F8DBFE"/>
    <w:lvl w:ilvl="0" w:tplc="289084F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95996"/>
    <w:multiLevelType w:val="hybridMultilevel"/>
    <w:tmpl w:val="90BA9706"/>
    <w:lvl w:ilvl="0" w:tplc="FDAC71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B35BF"/>
    <w:multiLevelType w:val="hybridMultilevel"/>
    <w:tmpl w:val="E61A18C4"/>
    <w:lvl w:ilvl="0" w:tplc="8CDA1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37C17"/>
    <w:multiLevelType w:val="hybridMultilevel"/>
    <w:tmpl w:val="EF680EB2"/>
    <w:lvl w:ilvl="0" w:tplc="3762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D"/>
    <w:rsid w:val="004B147E"/>
    <w:rsid w:val="004B62AA"/>
    <w:rsid w:val="0050777D"/>
    <w:rsid w:val="005B07A3"/>
    <w:rsid w:val="0063338D"/>
    <w:rsid w:val="00643218"/>
    <w:rsid w:val="008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F841"/>
  <w15:chartTrackingRefBased/>
  <w15:docId w15:val="{72375F44-47F1-4E5C-BEBD-278BAFAA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3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Iribarren</dc:creator>
  <cp:keywords/>
  <dc:description/>
  <cp:lastModifiedBy>Sarah Iribarren</cp:lastModifiedBy>
  <cp:revision>2</cp:revision>
  <dcterms:created xsi:type="dcterms:W3CDTF">2017-01-13T22:28:00Z</dcterms:created>
  <dcterms:modified xsi:type="dcterms:W3CDTF">2017-01-21T04:49:00Z</dcterms:modified>
</cp:coreProperties>
</file>