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6834" w14:textId="3889A2E5" w:rsidR="005F5C07" w:rsidRPr="00073D74" w:rsidRDefault="00EE1874" w:rsidP="005F5C07">
      <w:pPr>
        <w:spacing w:line="480" w:lineRule="auto"/>
        <w:rPr>
          <w:rFonts w:ascii="Times New Roman" w:hAnsi="Times New Roman" w:cs="Times New Roman"/>
          <w:b/>
        </w:rPr>
      </w:pPr>
      <w:r>
        <w:rPr>
          <w:rFonts w:ascii="Times New Roman" w:hAnsi="Times New Roman" w:cs="Times New Roman"/>
          <w:b/>
        </w:rPr>
        <w:t>S1 Appendix</w:t>
      </w:r>
      <w:r w:rsidR="005F5C07" w:rsidRPr="00073D74">
        <w:rPr>
          <w:rFonts w:ascii="Times New Roman" w:hAnsi="Times New Roman" w:cs="Times New Roman"/>
          <w:b/>
        </w:rPr>
        <w:t>: Gouldian finches at Wyndham</w:t>
      </w:r>
    </w:p>
    <w:p w14:paraId="4F7B5008" w14:textId="77777777" w:rsidR="005F5C07" w:rsidRPr="00073D74" w:rsidRDefault="005F5C07" w:rsidP="005F5C07">
      <w:pPr>
        <w:spacing w:line="480" w:lineRule="auto"/>
        <w:rPr>
          <w:rFonts w:ascii="Times New Roman" w:hAnsi="Times New Roman" w:cs="Times New Roman"/>
        </w:rPr>
      </w:pPr>
    </w:p>
    <w:p w14:paraId="48BA2523" w14:textId="56CE05BC" w:rsidR="005F5C07" w:rsidRPr="00073D74" w:rsidRDefault="005F5C07" w:rsidP="00F52315">
      <w:pPr>
        <w:spacing w:line="480" w:lineRule="auto"/>
        <w:ind w:firstLine="720"/>
        <w:rPr>
          <w:rFonts w:ascii="Times New Roman" w:hAnsi="Times New Roman" w:cs="Times New Roman"/>
        </w:rPr>
      </w:pPr>
      <w:r w:rsidRPr="00073D74">
        <w:rPr>
          <w:rFonts w:ascii="Times New Roman" w:hAnsi="Times New Roman" w:cs="Times New Roman"/>
        </w:rPr>
        <w:t>Previous banding efforts at Yinberrie Hills and Newry showed that there was much variation in the number of banded Gouldian individuals in a given year, and generally low (but variable) recapture rates</w:t>
      </w:r>
      <w:r w:rsidR="00F52315">
        <w:rPr>
          <w:rFonts w:ascii="Times New Roman" w:hAnsi="Times New Roman" w:cs="Times New Roman"/>
        </w:rPr>
        <w:t xml:space="preserve"> </w:t>
      </w:r>
      <w:r w:rsidRPr="00073D74">
        <w:rPr>
          <w:rFonts w:ascii="Times New Roman" w:hAnsi="Times New Roman" w:cs="Times New Roman"/>
        </w:rPr>
        <w:fldChar w:fldCharType="begin" w:fldLock="1"/>
      </w:r>
      <w:r w:rsidR="00F52315">
        <w:rPr>
          <w:rFonts w:ascii="Times New Roman" w:hAnsi="Times New Roman" w:cs="Times New Roman"/>
        </w:rPr>
        <w:instrText>ADDIN CSL_CITATION { "citationItems" : [ { "id" : "ITEM-1", "itemData" : { "DOI" : "10.1071/MU9920033", "author" : [ { "dropping-particle" : "", "family" : "Woinarski", "given" : "J C Z", "non-dropping-particle" : "", "parse-names" : false, "suffix" : "" }, { "dropping-particle" : "", "family" : "Tidemann", "given" : "Sonia", "non-dropping-particle" : "", "parse-names" : false, "suffix" : "" } ], "container-title" : "Emu", "id" : "ITEM-1", "issued" : { "date-parts" : [ [ "1992" ] ] }, "page" : "33-38", "title" : "Survivorship and some population parameters for the endangered Gouldian Finch Erythrura gouldiae and two other finch species at two Sites in tropical northern Australia", "type" : "article-journal", "volume" : "92" }, "uris" : [ "http://www.mendeley.com/documents/?uuid=ea315b00-3644-41dc-8c90-1c2e3bbb4da0" ] } ], "mendeley" : { "formattedCitation" : "(Woinarski &amp; Tidemann 1992)", "plainTextFormattedCitation" : "(Woinarski &amp; Tidemann 1992)", "previouslyFormattedCitation" : "(Woinarski &amp; Tidemann 1992)" }, "properties" : { "noteIndex" : 0 }, "schema" : "https://github.com/citation-style-language/schema/raw/master/csl-citation.json" }</w:instrText>
      </w:r>
      <w:r w:rsidRPr="00073D74">
        <w:rPr>
          <w:rFonts w:ascii="Times New Roman" w:hAnsi="Times New Roman" w:cs="Times New Roman"/>
        </w:rPr>
        <w:fldChar w:fldCharType="separate"/>
      </w:r>
      <w:r w:rsidRPr="00073D74">
        <w:rPr>
          <w:rFonts w:ascii="Times New Roman" w:hAnsi="Times New Roman" w:cs="Times New Roman"/>
          <w:noProof/>
        </w:rPr>
        <w:t>(Woinarski &amp; Tidemann 1992)</w:t>
      </w:r>
      <w:r w:rsidRPr="00073D74">
        <w:rPr>
          <w:rFonts w:ascii="Times New Roman" w:hAnsi="Times New Roman" w:cs="Times New Roman"/>
        </w:rPr>
        <w:fldChar w:fldCharType="end"/>
      </w:r>
      <w:r w:rsidRPr="00073D74">
        <w:rPr>
          <w:rFonts w:ascii="Times New Roman" w:hAnsi="Times New Roman" w:cs="Times New Roman"/>
        </w:rPr>
        <w:t xml:space="preserve">. Indeed, in the sample of banded birds from Mornington Sanctuary recovery rates were very low, between 5 and 19% </w:t>
      </w:r>
      <w:r w:rsidRPr="00073D74">
        <w:rPr>
          <w:rFonts w:ascii="Times New Roman" w:hAnsi="Times New Roman" w:cs="Times New Roman"/>
        </w:rPr>
        <w:fldChar w:fldCharType="begin" w:fldLock="1"/>
      </w:r>
      <w:r w:rsidRPr="00073D74">
        <w:rPr>
          <w:rFonts w:ascii="Times New Roman" w:hAnsi="Times New Roman" w:cs="Times New Roman"/>
        </w:rPr>
        <w:instrText>ADDIN CSL_CITATION { "citationItems" : [ { "id" : "ITEM-1", "itemData" : { "DOI" : "10.1371/journal.pone.0137997", "ISSN" : "1932-6203", "author" : [ { "dropping-particle" : "", "family" : "Legge", "given" : "Sarah", "non-dropping-particle" : "", "parse-names" : false, "suffix" : "" }, { "dropping-particle" : "", "family" : "Garnett", "given" : "Stephen", "non-dropping-particle" : "", "parse-names" : false, "suffix" : "" }, { "dropping-particle" : "", "family" : "Maute", "given" : "Kim", "non-dropping-particle" : "", "parse-names" : false, "suffix" : "" }, { "dropping-particle" : "", "family" : "Heathcote", "given" : "Joanne", "non-dropping-particle" : "", "parse-names" : false, "suffix" : "" }, { "dropping-particle" : "", "family" : "Murphy", "given" : "Steve", "non-dropping-particle" : "", "parse-names" : false, "suffix" : "" }, { "dropping-particle" : "", "family" : "Woinarski", "given" : "John C. Z.", "non-dropping-particle" : "", "parse-names" : false, "suffix" : "" }, { "dropping-particle" : "", "family" : "Astheimer", "given" : "Lee", "non-dropping-particle" : "", "parse-names" : false, "suffix" : "" } ], "container-title" : "Plos One", "id" : "ITEM-1", "issue" : "10", "issued" : { "date-parts" : [ [ "2015" ] ] }, "page" : "e0137997", "title" : "A Landscape-Scale, Applied Fire Management Experiment Promotes Recovery of a Population of the Threatened Gouldian Finch, Erythrura gouldiae, in Australia\u2019s Tropical Savannas", "type" : "article-journal", "volume" : "10" }, "uris" : [ "http://www.mendeley.com/documents/?uuid=dd7e1a9a-02dc-47f6-a817-f1340b2e6a07" ] } ], "mendeley" : { "formattedCitation" : "(Legge &lt;i&gt;et al.&lt;/i&gt; 2015)", "plainTextFormattedCitation" : "(Legge et al. 2015)", "previouslyFormattedCitation" : "(Legge &lt;i&gt;et al.&lt;/i&gt; 2015)" }, "properties" : { "noteIndex" : 0 }, "schema" : "https://github.com/citation-style-language/schema/raw/master/csl-citation.json" }</w:instrText>
      </w:r>
      <w:r w:rsidRPr="00073D74">
        <w:rPr>
          <w:rFonts w:ascii="Times New Roman" w:hAnsi="Times New Roman" w:cs="Times New Roman"/>
        </w:rPr>
        <w:fldChar w:fldCharType="separate"/>
      </w:r>
      <w:r w:rsidRPr="00073D74">
        <w:rPr>
          <w:rFonts w:ascii="Times New Roman" w:hAnsi="Times New Roman" w:cs="Times New Roman"/>
          <w:noProof/>
        </w:rPr>
        <w:t xml:space="preserve">(Legge </w:t>
      </w:r>
      <w:r w:rsidRPr="00073D74">
        <w:rPr>
          <w:rFonts w:ascii="Times New Roman" w:hAnsi="Times New Roman" w:cs="Times New Roman"/>
          <w:i/>
          <w:noProof/>
        </w:rPr>
        <w:t>et al.</w:t>
      </w:r>
      <w:r w:rsidRPr="00073D74">
        <w:rPr>
          <w:rFonts w:ascii="Times New Roman" w:hAnsi="Times New Roman" w:cs="Times New Roman"/>
          <w:noProof/>
        </w:rPr>
        <w:t xml:space="preserve"> 2015)</w:t>
      </w:r>
      <w:r w:rsidRPr="00073D74">
        <w:rPr>
          <w:rFonts w:ascii="Times New Roman" w:hAnsi="Times New Roman" w:cs="Times New Roman"/>
        </w:rPr>
        <w:fldChar w:fldCharType="end"/>
      </w:r>
      <w:r w:rsidRPr="00073D74">
        <w:rPr>
          <w:rFonts w:ascii="Times New Roman" w:hAnsi="Times New Roman" w:cs="Times New Roman"/>
        </w:rPr>
        <w:t xml:space="preserve">. In all banded birds in our sample from Bradshaw, Delamere and </w:t>
      </w:r>
      <w:proofErr w:type="spellStart"/>
      <w:r w:rsidRPr="00073D74">
        <w:rPr>
          <w:rFonts w:ascii="Times New Roman" w:hAnsi="Times New Roman" w:cs="Times New Roman"/>
        </w:rPr>
        <w:t>Yinberie</w:t>
      </w:r>
      <w:proofErr w:type="spellEnd"/>
      <w:r w:rsidRPr="00073D74">
        <w:rPr>
          <w:rFonts w:ascii="Times New Roman" w:hAnsi="Times New Roman" w:cs="Times New Roman"/>
        </w:rPr>
        <w:t xml:space="preserve"> Hills, in the Northern Territory, there was only a single recapture at Bradshaw. Below we present a summary of the banded birds and their recapture rates at the Wyndham site i</w:t>
      </w:r>
      <w:r w:rsidR="001470A4">
        <w:rPr>
          <w:rFonts w:ascii="Times New Roman" w:hAnsi="Times New Roman" w:cs="Times New Roman"/>
        </w:rPr>
        <w:t>n the Eastern Kimberley (Table A</w:t>
      </w:r>
      <w:bookmarkStart w:id="0" w:name="_GoBack"/>
      <w:bookmarkEnd w:id="0"/>
      <w:r w:rsidRPr="00073D74">
        <w:rPr>
          <w:rFonts w:ascii="Times New Roman" w:hAnsi="Times New Roman" w:cs="Times New Roman"/>
        </w:rPr>
        <w:t xml:space="preserve">). During these years birds were mist-netted at waterholes and nests were monitored at natural cavities and artificial nest-boxes </w:t>
      </w:r>
      <w:r w:rsidRPr="00073D74">
        <w:rPr>
          <w:rFonts w:ascii="Times New Roman" w:hAnsi="Times New Roman" w:cs="Times New Roman"/>
        </w:rPr>
        <w:fldChar w:fldCharType="begin" w:fldLock="1"/>
      </w:r>
      <w:r w:rsidRPr="00073D74">
        <w:rPr>
          <w:rFonts w:ascii="Times New Roman" w:hAnsi="Times New Roman" w:cs="Times New Roman"/>
        </w:rPr>
        <w:instrText>ADDIN CSL_CITATION { "citationItems" : [ { "id" : "ITEM-1", "itemData" : { "DOI" : "10.1007/s10682-013-9651-1", "ISSN" : "0269-7653", "author" : [ { "dropping-particle" : "", "family" : "Brazill-Boast", "given" : "James", "non-dropping-particle" : "", "parse-names" : false, "suffix" : "" }, { "dropping-particle" : "", "family" : "Griffith", "given" : "Simon C.", "non-dropping-particle" : "", "parse-names" : false, "suffix" : "" }, { "dropping-particle" : "", "family" : "Pryke", "given" : "Sarah R.", "non-dropping-particle" : "", "parse-names" : false, "suffix" : "" } ], "container-title" : "Evolutionary Ecology", "id" : "ITEM-1", "issued" : { "date-parts" : [ [ "2013", "5", "9" ] ] }, "page" : "1189-1198", "title" : "Morph-dependent resource acquisition and fitness in a polymorphic bird", "type" : "article-journal", "volume" : "27" }, "uris" : [ "http://www.mendeley.com/documents/?uuid=de9b24b9-00d9-43b9-a5bc-7097547f1f15" ] }, { "id" : "ITEM-2", "itemData" : { "DOI" : "10.1071/MU09045", "ISSN" : "0158-4197", "author" : [ { "dropping-particle" : "", "family" : "Brazill-Boast", "given" : "James", "non-dropping-particle" : "", "parse-names" : false, "suffix" : "" }, { "dropping-particle" : "", "family" : "Pryke", "given" : "Sarah R.", "non-dropping-particle" : "", "parse-names" : false, "suffix" : "" }, { "dropping-particle" : "", "family" : "Griffith", "given" : "Simon C.", "non-dropping-particle" : "", "parse-names" : false, "suffix" : "" } ], "container-title" : "Emu", "id" : "ITEM-2", "issue" : "2", "issued" : { "date-parts" : [ [ "2010" ] ] }, "page" : "170-177", "title" : "Nest-site utilisation and niche overlap in two sympatric, cavity-nesting finches", "type" : "article-journal", "volume" : "110" }, "uris" : [ "http://www.mendeley.com/documents/?uuid=e43251e9-2a3d-418a-a660-3f87c95dc25e" ] } ], "mendeley" : { "formattedCitation" : "(Brazill-Boast &lt;i&gt;et al.&lt;/i&gt; 2010, 2013)", "plainTextFormattedCitation" : "(Brazill-Boast et al. 2010, 2013)", "previouslyFormattedCitation" : "(Brazill-Boast &lt;i&gt;et al.&lt;/i&gt; 2010, 2013)" }, "properties" : { "noteIndex" : 0 }, "schema" : "https://github.com/citation-style-language/schema/raw/master/csl-citation.json" }</w:instrText>
      </w:r>
      <w:r w:rsidRPr="00073D74">
        <w:rPr>
          <w:rFonts w:ascii="Times New Roman" w:hAnsi="Times New Roman" w:cs="Times New Roman"/>
        </w:rPr>
        <w:fldChar w:fldCharType="separate"/>
      </w:r>
      <w:r w:rsidRPr="00073D74">
        <w:rPr>
          <w:rFonts w:ascii="Times New Roman" w:hAnsi="Times New Roman" w:cs="Times New Roman"/>
          <w:noProof/>
        </w:rPr>
        <w:t xml:space="preserve">(Brazill-Boast </w:t>
      </w:r>
      <w:r w:rsidRPr="00073D74">
        <w:rPr>
          <w:rFonts w:ascii="Times New Roman" w:hAnsi="Times New Roman" w:cs="Times New Roman"/>
          <w:i/>
          <w:noProof/>
        </w:rPr>
        <w:t>et al.</w:t>
      </w:r>
      <w:r w:rsidRPr="00073D74">
        <w:rPr>
          <w:rFonts w:ascii="Times New Roman" w:hAnsi="Times New Roman" w:cs="Times New Roman"/>
          <w:noProof/>
        </w:rPr>
        <w:t xml:space="preserve"> 2010, 2013)</w:t>
      </w:r>
      <w:r w:rsidRPr="00073D74">
        <w:rPr>
          <w:rFonts w:ascii="Times New Roman" w:hAnsi="Times New Roman" w:cs="Times New Roman"/>
        </w:rPr>
        <w:fldChar w:fldCharType="end"/>
      </w:r>
      <w:r w:rsidRPr="00073D74">
        <w:rPr>
          <w:rFonts w:ascii="Times New Roman" w:hAnsi="Times New Roman" w:cs="Times New Roman"/>
        </w:rPr>
        <w:t>.</w:t>
      </w:r>
      <w:r>
        <w:rPr>
          <w:rFonts w:ascii="Times New Roman" w:hAnsi="Times New Roman" w:cs="Times New Roman"/>
        </w:rPr>
        <w:t xml:space="preserve"> </w:t>
      </w:r>
      <w:r w:rsidRPr="00073D74">
        <w:rPr>
          <w:rFonts w:ascii="Times New Roman" w:hAnsi="Times New Roman" w:cs="Times New Roman"/>
        </w:rPr>
        <w:t xml:space="preserve">The longest duration between recaptures was three years, where band number 87233 was banded in 2010, and recovered again in 2013. One individual, 87237 was captured in 2011, 2012 and 2013. </w:t>
      </w:r>
      <w:r>
        <w:rPr>
          <w:rFonts w:ascii="Times New Roman" w:hAnsi="Times New Roman" w:cs="Times New Roman"/>
        </w:rPr>
        <w:t xml:space="preserve">The bird recaptured in 2012 was banded in the nest in 2010. </w:t>
      </w:r>
    </w:p>
    <w:p w14:paraId="282F8E93" w14:textId="77777777" w:rsidR="005F5C07" w:rsidRDefault="005F5C07" w:rsidP="005F5C07">
      <w:pPr>
        <w:spacing w:line="480" w:lineRule="auto"/>
        <w:rPr>
          <w:rFonts w:ascii="Times New Roman" w:hAnsi="Times New Roman" w:cs="Times New Roman"/>
        </w:rPr>
      </w:pPr>
    </w:p>
    <w:p w14:paraId="437D7598" w14:textId="77777777" w:rsidR="005F5C07" w:rsidRDefault="005F5C07" w:rsidP="005F5C07">
      <w:pPr>
        <w:spacing w:line="480" w:lineRule="auto"/>
        <w:rPr>
          <w:rFonts w:ascii="Times New Roman" w:hAnsi="Times New Roman" w:cs="Times New Roman"/>
        </w:rPr>
      </w:pPr>
    </w:p>
    <w:p w14:paraId="3F151A0A" w14:textId="77777777" w:rsidR="005F5C07" w:rsidRDefault="005F5C07" w:rsidP="005F5C07">
      <w:pPr>
        <w:spacing w:line="480" w:lineRule="auto"/>
        <w:rPr>
          <w:rFonts w:ascii="Times New Roman" w:hAnsi="Times New Roman" w:cs="Times New Roman"/>
        </w:rPr>
      </w:pPr>
    </w:p>
    <w:p w14:paraId="2794D8F6" w14:textId="77777777" w:rsidR="005F5C07" w:rsidRDefault="005F5C07" w:rsidP="005F5C07">
      <w:pPr>
        <w:spacing w:line="480" w:lineRule="auto"/>
        <w:rPr>
          <w:rFonts w:ascii="Times New Roman" w:hAnsi="Times New Roman" w:cs="Times New Roman"/>
        </w:rPr>
      </w:pPr>
    </w:p>
    <w:p w14:paraId="14541B5A" w14:textId="77777777" w:rsidR="005F5C07" w:rsidRDefault="005F5C07" w:rsidP="005F5C07">
      <w:pPr>
        <w:spacing w:line="480" w:lineRule="auto"/>
        <w:rPr>
          <w:rFonts w:ascii="Times New Roman" w:hAnsi="Times New Roman" w:cs="Times New Roman"/>
        </w:rPr>
      </w:pPr>
    </w:p>
    <w:p w14:paraId="79AA1832" w14:textId="77777777" w:rsidR="005F5C07" w:rsidRDefault="005F5C07" w:rsidP="005F5C07">
      <w:pPr>
        <w:spacing w:line="480" w:lineRule="auto"/>
        <w:rPr>
          <w:rFonts w:ascii="Times New Roman" w:hAnsi="Times New Roman" w:cs="Times New Roman"/>
        </w:rPr>
      </w:pPr>
    </w:p>
    <w:p w14:paraId="0D6F2177" w14:textId="77777777" w:rsidR="005F5C07" w:rsidRDefault="005F5C07" w:rsidP="005F5C07">
      <w:pPr>
        <w:spacing w:line="480" w:lineRule="auto"/>
        <w:rPr>
          <w:rFonts w:ascii="Times New Roman" w:hAnsi="Times New Roman" w:cs="Times New Roman"/>
        </w:rPr>
      </w:pPr>
    </w:p>
    <w:p w14:paraId="7B6389E6" w14:textId="77777777" w:rsidR="005F5C07" w:rsidRDefault="005F5C07" w:rsidP="005F5C07">
      <w:pPr>
        <w:spacing w:line="480" w:lineRule="auto"/>
        <w:rPr>
          <w:rFonts w:ascii="Times New Roman" w:hAnsi="Times New Roman" w:cs="Times New Roman"/>
        </w:rPr>
      </w:pPr>
    </w:p>
    <w:p w14:paraId="34AE3B2F" w14:textId="77777777" w:rsidR="005F5C07" w:rsidRDefault="005F5C07" w:rsidP="005F5C07">
      <w:pPr>
        <w:spacing w:line="480" w:lineRule="auto"/>
        <w:rPr>
          <w:rFonts w:ascii="Times New Roman" w:hAnsi="Times New Roman" w:cs="Times New Roman"/>
        </w:rPr>
      </w:pPr>
    </w:p>
    <w:p w14:paraId="1B215304" w14:textId="77777777" w:rsidR="005F5C07" w:rsidRDefault="005F5C07" w:rsidP="005F5C07">
      <w:pPr>
        <w:spacing w:line="480" w:lineRule="auto"/>
        <w:rPr>
          <w:rFonts w:ascii="Times New Roman" w:hAnsi="Times New Roman" w:cs="Times New Roman"/>
        </w:rPr>
        <w:sectPr w:rsidR="005F5C07" w:rsidSect="00E13103">
          <w:pgSz w:w="11900" w:h="16840"/>
          <w:pgMar w:top="1440" w:right="1800" w:bottom="1440" w:left="1800" w:header="708" w:footer="708" w:gutter="0"/>
          <w:cols w:space="708"/>
          <w:docGrid w:linePitch="360"/>
        </w:sectPr>
      </w:pPr>
    </w:p>
    <w:p w14:paraId="687A8B3B" w14:textId="22A8D018" w:rsidR="005F5C07" w:rsidRPr="00073D74" w:rsidRDefault="003D2CEC" w:rsidP="005F5C07">
      <w:pPr>
        <w:spacing w:line="480" w:lineRule="auto"/>
        <w:rPr>
          <w:rFonts w:ascii="Times New Roman" w:hAnsi="Times New Roman" w:cs="Times New Roman"/>
        </w:rPr>
      </w:pPr>
      <w:r>
        <w:rPr>
          <w:rFonts w:ascii="Times New Roman" w:hAnsi="Times New Roman" w:cs="Times New Roman"/>
          <w:b/>
        </w:rPr>
        <w:lastRenderedPageBreak/>
        <w:t>Table A</w:t>
      </w:r>
      <w:r w:rsidR="005F5C07" w:rsidRPr="00073D74">
        <w:rPr>
          <w:rFonts w:ascii="Times New Roman" w:hAnsi="Times New Roman" w:cs="Times New Roman"/>
          <w:b/>
        </w:rPr>
        <w:t>:</w:t>
      </w:r>
      <w:r w:rsidR="005F5C07" w:rsidRPr="00073D74">
        <w:rPr>
          <w:rFonts w:ascii="Times New Roman" w:hAnsi="Times New Roman" w:cs="Times New Roman"/>
        </w:rPr>
        <w:t xml:space="preserve"> Summar</w:t>
      </w:r>
      <w:r w:rsidR="005F5C07">
        <w:rPr>
          <w:rFonts w:ascii="Times New Roman" w:hAnsi="Times New Roman" w:cs="Times New Roman"/>
        </w:rPr>
        <w:t>y of birds banded at Wyndham, Western Australia. Banded breeding pairs include only nests where both parents were uniquely identified by band number. Nestlings are chicks that were banded at 14 days in the nest, and fledglings were independent young banded with mist nets at water holes.</w:t>
      </w:r>
    </w:p>
    <w:p w14:paraId="403C3AEA" w14:textId="77777777" w:rsidR="005F5C07" w:rsidRPr="00073D74" w:rsidRDefault="005F5C07" w:rsidP="005F5C07">
      <w:pPr>
        <w:rPr>
          <w:rFonts w:ascii="Times New Roman" w:hAnsi="Times New Roman" w:cs="Times New Roman"/>
        </w:rPr>
      </w:pPr>
    </w:p>
    <w:tbl>
      <w:tblPr>
        <w:tblW w:w="14049" w:type="dxa"/>
        <w:tblInd w:w="93" w:type="dxa"/>
        <w:tblLayout w:type="fixed"/>
        <w:tblLook w:val="04A0" w:firstRow="1" w:lastRow="0" w:firstColumn="1" w:lastColumn="0" w:noHBand="0" w:noVBand="1"/>
      </w:tblPr>
      <w:tblGrid>
        <w:gridCol w:w="866"/>
        <w:gridCol w:w="992"/>
        <w:gridCol w:w="1985"/>
        <w:gridCol w:w="1701"/>
        <w:gridCol w:w="1843"/>
        <w:gridCol w:w="1275"/>
        <w:gridCol w:w="1843"/>
        <w:gridCol w:w="1740"/>
        <w:gridCol w:w="1804"/>
      </w:tblGrid>
      <w:tr w:rsidR="005F5C07" w:rsidRPr="00110098" w14:paraId="2A599898" w14:textId="77777777" w:rsidTr="00312AA6">
        <w:trPr>
          <w:trHeight w:val="760"/>
        </w:trPr>
        <w:tc>
          <w:tcPr>
            <w:tcW w:w="866" w:type="dxa"/>
            <w:tcBorders>
              <w:top w:val="single" w:sz="4" w:space="0" w:color="auto"/>
              <w:left w:val="single" w:sz="4" w:space="0" w:color="auto"/>
              <w:bottom w:val="single" w:sz="4" w:space="0" w:color="auto"/>
              <w:right w:val="nil"/>
            </w:tcBorders>
            <w:shd w:val="clear" w:color="auto" w:fill="E0E0E0"/>
            <w:vAlign w:val="center"/>
            <w:hideMark/>
          </w:tcPr>
          <w:p w14:paraId="61ACECBC"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Year</w:t>
            </w:r>
          </w:p>
        </w:tc>
        <w:tc>
          <w:tcPr>
            <w:tcW w:w="992" w:type="dxa"/>
            <w:tcBorders>
              <w:top w:val="single" w:sz="4" w:space="0" w:color="auto"/>
              <w:left w:val="nil"/>
              <w:bottom w:val="single" w:sz="4" w:space="0" w:color="auto"/>
              <w:right w:val="nil"/>
            </w:tcBorders>
            <w:shd w:val="clear" w:color="auto" w:fill="E0E0E0"/>
            <w:vAlign w:val="center"/>
            <w:hideMark/>
          </w:tcPr>
          <w:p w14:paraId="4202DE4F"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Total Adults</w:t>
            </w:r>
          </w:p>
        </w:tc>
        <w:tc>
          <w:tcPr>
            <w:tcW w:w="1985" w:type="dxa"/>
            <w:tcBorders>
              <w:top w:val="single" w:sz="4" w:space="0" w:color="auto"/>
              <w:left w:val="nil"/>
              <w:bottom w:val="single" w:sz="4" w:space="0" w:color="auto"/>
              <w:right w:val="nil"/>
            </w:tcBorders>
            <w:shd w:val="clear" w:color="auto" w:fill="E0E0E0"/>
            <w:vAlign w:val="center"/>
            <w:hideMark/>
          </w:tcPr>
          <w:p w14:paraId="031759C4" w14:textId="77777777" w:rsidR="005F5C07" w:rsidRPr="00110098" w:rsidRDefault="005F5C07" w:rsidP="00312A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Banded breeding pairs</w:t>
            </w:r>
          </w:p>
        </w:tc>
        <w:tc>
          <w:tcPr>
            <w:tcW w:w="1701" w:type="dxa"/>
            <w:tcBorders>
              <w:top w:val="single" w:sz="4" w:space="0" w:color="auto"/>
              <w:left w:val="nil"/>
              <w:bottom w:val="single" w:sz="4" w:space="0" w:color="auto"/>
              <w:right w:val="nil"/>
            </w:tcBorders>
            <w:shd w:val="clear" w:color="auto" w:fill="E0E0E0"/>
            <w:vAlign w:val="center"/>
            <w:hideMark/>
          </w:tcPr>
          <w:p w14:paraId="31DB583F"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Pairs from previous year</w:t>
            </w:r>
          </w:p>
        </w:tc>
        <w:tc>
          <w:tcPr>
            <w:tcW w:w="1843" w:type="dxa"/>
            <w:tcBorders>
              <w:top w:val="single" w:sz="4" w:space="0" w:color="auto"/>
              <w:left w:val="nil"/>
              <w:bottom w:val="single" w:sz="4" w:space="0" w:color="auto"/>
              <w:right w:val="nil"/>
            </w:tcBorders>
            <w:shd w:val="clear" w:color="auto" w:fill="E0E0E0"/>
            <w:vAlign w:val="center"/>
            <w:hideMark/>
          </w:tcPr>
          <w:p w14:paraId="46D52A87"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Adults from previous year</w:t>
            </w:r>
          </w:p>
        </w:tc>
        <w:tc>
          <w:tcPr>
            <w:tcW w:w="1275" w:type="dxa"/>
            <w:tcBorders>
              <w:top w:val="single" w:sz="4" w:space="0" w:color="auto"/>
              <w:left w:val="nil"/>
              <w:bottom w:val="single" w:sz="4" w:space="0" w:color="auto"/>
              <w:right w:val="nil"/>
            </w:tcBorders>
            <w:shd w:val="clear" w:color="auto" w:fill="E0E0E0"/>
            <w:vAlign w:val="center"/>
            <w:hideMark/>
          </w:tcPr>
          <w:p w14:paraId="7ACD4C04"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Nestlings banded</w:t>
            </w:r>
          </w:p>
        </w:tc>
        <w:tc>
          <w:tcPr>
            <w:tcW w:w="1843" w:type="dxa"/>
            <w:tcBorders>
              <w:top w:val="single" w:sz="4" w:space="0" w:color="auto"/>
              <w:left w:val="nil"/>
              <w:bottom w:val="single" w:sz="4" w:space="0" w:color="auto"/>
              <w:right w:val="nil"/>
            </w:tcBorders>
            <w:shd w:val="clear" w:color="auto" w:fill="E0E0E0"/>
            <w:vAlign w:val="center"/>
            <w:hideMark/>
          </w:tcPr>
          <w:p w14:paraId="30EA2087"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Nestlings from previous year</w:t>
            </w:r>
          </w:p>
        </w:tc>
        <w:tc>
          <w:tcPr>
            <w:tcW w:w="1740" w:type="dxa"/>
            <w:tcBorders>
              <w:top w:val="single" w:sz="4" w:space="0" w:color="auto"/>
              <w:left w:val="nil"/>
              <w:bottom w:val="single" w:sz="4" w:space="0" w:color="auto"/>
              <w:right w:val="nil"/>
            </w:tcBorders>
            <w:shd w:val="clear" w:color="auto" w:fill="E0E0E0"/>
            <w:vAlign w:val="center"/>
            <w:hideMark/>
          </w:tcPr>
          <w:p w14:paraId="20EEA440"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Fledglings banded</w:t>
            </w:r>
          </w:p>
        </w:tc>
        <w:tc>
          <w:tcPr>
            <w:tcW w:w="1804" w:type="dxa"/>
            <w:tcBorders>
              <w:top w:val="single" w:sz="4" w:space="0" w:color="auto"/>
              <w:left w:val="nil"/>
              <w:bottom w:val="single" w:sz="4" w:space="0" w:color="auto"/>
              <w:right w:val="single" w:sz="4" w:space="0" w:color="auto"/>
            </w:tcBorders>
            <w:shd w:val="clear" w:color="auto" w:fill="E0E0E0"/>
            <w:vAlign w:val="center"/>
            <w:hideMark/>
          </w:tcPr>
          <w:p w14:paraId="7E1FF07B"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Fledglings from previous year</w:t>
            </w:r>
          </w:p>
        </w:tc>
      </w:tr>
      <w:tr w:rsidR="005F5C07" w:rsidRPr="00110098" w14:paraId="1E47F0CB" w14:textId="77777777" w:rsidTr="00312AA6">
        <w:trPr>
          <w:trHeight w:val="340"/>
        </w:trPr>
        <w:tc>
          <w:tcPr>
            <w:tcW w:w="866" w:type="dxa"/>
            <w:tcBorders>
              <w:top w:val="single" w:sz="4" w:space="0" w:color="auto"/>
              <w:left w:val="nil"/>
              <w:bottom w:val="nil"/>
              <w:right w:val="nil"/>
            </w:tcBorders>
            <w:shd w:val="clear" w:color="auto" w:fill="auto"/>
            <w:vAlign w:val="bottom"/>
            <w:hideMark/>
          </w:tcPr>
          <w:p w14:paraId="4A3FC713"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2008</w:t>
            </w:r>
          </w:p>
        </w:tc>
        <w:tc>
          <w:tcPr>
            <w:tcW w:w="992" w:type="dxa"/>
            <w:tcBorders>
              <w:top w:val="single" w:sz="4" w:space="0" w:color="auto"/>
              <w:left w:val="nil"/>
              <w:bottom w:val="nil"/>
              <w:right w:val="nil"/>
            </w:tcBorders>
            <w:shd w:val="clear" w:color="auto" w:fill="auto"/>
            <w:vAlign w:val="bottom"/>
            <w:hideMark/>
          </w:tcPr>
          <w:p w14:paraId="0BC5052A"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200</w:t>
            </w:r>
          </w:p>
        </w:tc>
        <w:tc>
          <w:tcPr>
            <w:tcW w:w="1985" w:type="dxa"/>
            <w:tcBorders>
              <w:top w:val="single" w:sz="4" w:space="0" w:color="auto"/>
              <w:left w:val="nil"/>
              <w:bottom w:val="nil"/>
              <w:right w:val="nil"/>
            </w:tcBorders>
            <w:shd w:val="clear" w:color="auto" w:fill="auto"/>
            <w:vAlign w:val="bottom"/>
            <w:hideMark/>
          </w:tcPr>
          <w:p w14:paraId="2063C6E5"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34</w:t>
            </w:r>
          </w:p>
        </w:tc>
        <w:tc>
          <w:tcPr>
            <w:tcW w:w="1701" w:type="dxa"/>
            <w:tcBorders>
              <w:top w:val="single" w:sz="4" w:space="0" w:color="auto"/>
              <w:left w:val="nil"/>
              <w:bottom w:val="nil"/>
              <w:right w:val="nil"/>
            </w:tcBorders>
            <w:shd w:val="clear" w:color="auto" w:fill="auto"/>
            <w:vAlign w:val="bottom"/>
            <w:hideMark/>
          </w:tcPr>
          <w:p w14:paraId="2ED2003B"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w:t>
            </w:r>
          </w:p>
        </w:tc>
        <w:tc>
          <w:tcPr>
            <w:tcW w:w="1843" w:type="dxa"/>
            <w:tcBorders>
              <w:top w:val="single" w:sz="4" w:space="0" w:color="auto"/>
              <w:left w:val="nil"/>
              <w:bottom w:val="nil"/>
              <w:right w:val="nil"/>
            </w:tcBorders>
            <w:shd w:val="clear" w:color="auto" w:fill="auto"/>
            <w:vAlign w:val="bottom"/>
            <w:hideMark/>
          </w:tcPr>
          <w:p w14:paraId="495FA462"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w:t>
            </w:r>
          </w:p>
        </w:tc>
        <w:tc>
          <w:tcPr>
            <w:tcW w:w="1275" w:type="dxa"/>
            <w:tcBorders>
              <w:top w:val="single" w:sz="4" w:space="0" w:color="auto"/>
              <w:left w:val="nil"/>
              <w:bottom w:val="nil"/>
              <w:right w:val="nil"/>
            </w:tcBorders>
            <w:shd w:val="clear" w:color="auto" w:fill="auto"/>
            <w:vAlign w:val="bottom"/>
            <w:hideMark/>
          </w:tcPr>
          <w:p w14:paraId="75323258"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130</w:t>
            </w:r>
          </w:p>
        </w:tc>
        <w:tc>
          <w:tcPr>
            <w:tcW w:w="1843" w:type="dxa"/>
            <w:tcBorders>
              <w:top w:val="single" w:sz="4" w:space="0" w:color="auto"/>
              <w:left w:val="nil"/>
              <w:bottom w:val="nil"/>
              <w:right w:val="nil"/>
            </w:tcBorders>
            <w:shd w:val="clear" w:color="auto" w:fill="auto"/>
            <w:vAlign w:val="bottom"/>
            <w:hideMark/>
          </w:tcPr>
          <w:p w14:paraId="21C245A5"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w:t>
            </w:r>
          </w:p>
        </w:tc>
        <w:tc>
          <w:tcPr>
            <w:tcW w:w="1740" w:type="dxa"/>
            <w:tcBorders>
              <w:top w:val="single" w:sz="4" w:space="0" w:color="auto"/>
              <w:left w:val="nil"/>
              <w:bottom w:val="nil"/>
              <w:right w:val="nil"/>
            </w:tcBorders>
            <w:shd w:val="clear" w:color="auto" w:fill="auto"/>
            <w:vAlign w:val="bottom"/>
            <w:hideMark/>
          </w:tcPr>
          <w:p w14:paraId="34F67F2B"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55</w:t>
            </w:r>
          </w:p>
        </w:tc>
        <w:tc>
          <w:tcPr>
            <w:tcW w:w="1804" w:type="dxa"/>
            <w:tcBorders>
              <w:top w:val="single" w:sz="4" w:space="0" w:color="auto"/>
              <w:left w:val="nil"/>
              <w:bottom w:val="nil"/>
              <w:right w:val="nil"/>
            </w:tcBorders>
            <w:shd w:val="clear" w:color="auto" w:fill="auto"/>
            <w:vAlign w:val="bottom"/>
            <w:hideMark/>
          </w:tcPr>
          <w:p w14:paraId="6F795F3F"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w:t>
            </w:r>
          </w:p>
        </w:tc>
      </w:tr>
      <w:tr w:rsidR="005F5C07" w:rsidRPr="00110098" w14:paraId="5A88BD8D" w14:textId="77777777" w:rsidTr="00312AA6">
        <w:trPr>
          <w:trHeight w:val="300"/>
        </w:trPr>
        <w:tc>
          <w:tcPr>
            <w:tcW w:w="866" w:type="dxa"/>
            <w:tcBorders>
              <w:top w:val="nil"/>
              <w:left w:val="nil"/>
              <w:bottom w:val="nil"/>
              <w:right w:val="nil"/>
            </w:tcBorders>
            <w:shd w:val="clear" w:color="auto" w:fill="auto"/>
            <w:vAlign w:val="bottom"/>
            <w:hideMark/>
          </w:tcPr>
          <w:p w14:paraId="48ED6DCB"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2009</w:t>
            </w:r>
          </w:p>
        </w:tc>
        <w:tc>
          <w:tcPr>
            <w:tcW w:w="992" w:type="dxa"/>
            <w:tcBorders>
              <w:top w:val="nil"/>
              <w:left w:val="nil"/>
              <w:bottom w:val="nil"/>
              <w:right w:val="nil"/>
            </w:tcBorders>
            <w:shd w:val="clear" w:color="auto" w:fill="auto"/>
            <w:vAlign w:val="bottom"/>
            <w:hideMark/>
          </w:tcPr>
          <w:p w14:paraId="5799DA9D"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64</w:t>
            </w:r>
          </w:p>
        </w:tc>
        <w:tc>
          <w:tcPr>
            <w:tcW w:w="1985" w:type="dxa"/>
            <w:tcBorders>
              <w:top w:val="nil"/>
              <w:left w:val="nil"/>
              <w:bottom w:val="nil"/>
              <w:right w:val="nil"/>
            </w:tcBorders>
            <w:shd w:val="clear" w:color="auto" w:fill="auto"/>
            <w:vAlign w:val="bottom"/>
            <w:hideMark/>
          </w:tcPr>
          <w:p w14:paraId="44649905"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23</w:t>
            </w:r>
          </w:p>
        </w:tc>
        <w:tc>
          <w:tcPr>
            <w:tcW w:w="1701" w:type="dxa"/>
            <w:tcBorders>
              <w:top w:val="nil"/>
              <w:left w:val="nil"/>
              <w:bottom w:val="nil"/>
              <w:right w:val="nil"/>
            </w:tcBorders>
            <w:shd w:val="clear" w:color="auto" w:fill="auto"/>
            <w:vAlign w:val="bottom"/>
            <w:hideMark/>
          </w:tcPr>
          <w:p w14:paraId="624F2271"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843" w:type="dxa"/>
            <w:tcBorders>
              <w:top w:val="nil"/>
              <w:left w:val="nil"/>
              <w:bottom w:val="nil"/>
              <w:right w:val="nil"/>
            </w:tcBorders>
            <w:shd w:val="clear" w:color="auto" w:fill="auto"/>
            <w:vAlign w:val="bottom"/>
            <w:hideMark/>
          </w:tcPr>
          <w:p w14:paraId="10E929C9"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4 (2.0%)</w:t>
            </w:r>
          </w:p>
        </w:tc>
        <w:tc>
          <w:tcPr>
            <w:tcW w:w="1275" w:type="dxa"/>
            <w:tcBorders>
              <w:top w:val="nil"/>
              <w:left w:val="nil"/>
              <w:bottom w:val="nil"/>
              <w:right w:val="nil"/>
            </w:tcBorders>
            <w:shd w:val="clear" w:color="auto" w:fill="auto"/>
            <w:vAlign w:val="bottom"/>
            <w:hideMark/>
          </w:tcPr>
          <w:p w14:paraId="5BF4CA9A"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125</w:t>
            </w:r>
          </w:p>
        </w:tc>
        <w:tc>
          <w:tcPr>
            <w:tcW w:w="1843" w:type="dxa"/>
            <w:tcBorders>
              <w:top w:val="nil"/>
              <w:left w:val="nil"/>
              <w:bottom w:val="nil"/>
              <w:right w:val="nil"/>
            </w:tcBorders>
            <w:shd w:val="clear" w:color="auto" w:fill="auto"/>
            <w:vAlign w:val="bottom"/>
            <w:hideMark/>
          </w:tcPr>
          <w:p w14:paraId="590D53D4"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(3%)</w:t>
            </w:r>
          </w:p>
        </w:tc>
        <w:tc>
          <w:tcPr>
            <w:tcW w:w="1740" w:type="dxa"/>
            <w:tcBorders>
              <w:top w:val="nil"/>
              <w:left w:val="nil"/>
              <w:bottom w:val="nil"/>
              <w:right w:val="nil"/>
            </w:tcBorders>
            <w:shd w:val="clear" w:color="auto" w:fill="auto"/>
            <w:vAlign w:val="bottom"/>
            <w:hideMark/>
          </w:tcPr>
          <w:p w14:paraId="6F55DCB5"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11</w:t>
            </w:r>
          </w:p>
        </w:tc>
        <w:tc>
          <w:tcPr>
            <w:tcW w:w="1804" w:type="dxa"/>
            <w:tcBorders>
              <w:top w:val="nil"/>
              <w:left w:val="nil"/>
              <w:bottom w:val="nil"/>
              <w:right w:val="nil"/>
            </w:tcBorders>
            <w:shd w:val="clear" w:color="auto" w:fill="auto"/>
            <w:vAlign w:val="bottom"/>
            <w:hideMark/>
          </w:tcPr>
          <w:p w14:paraId="4C00ECC9"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r>
      <w:tr w:rsidR="005F5C07" w:rsidRPr="00110098" w14:paraId="2C46A1C9" w14:textId="77777777" w:rsidTr="00312AA6">
        <w:trPr>
          <w:trHeight w:val="300"/>
        </w:trPr>
        <w:tc>
          <w:tcPr>
            <w:tcW w:w="866" w:type="dxa"/>
            <w:tcBorders>
              <w:top w:val="nil"/>
              <w:left w:val="nil"/>
              <w:bottom w:val="nil"/>
              <w:right w:val="nil"/>
            </w:tcBorders>
            <w:shd w:val="clear" w:color="auto" w:fill="auto"/>
            <w:vAlign w:val="bottom"/>
            <w:hideMark/>
          </w:tcPr>
          <w:p w14:paraId="4ADC9E97"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2010</w:t>
            </w:r>
          </w:p>
        </w:tc>
        <w:tc>
          <w:tcPr>
            <w:tcW w:w="992" w:type="dxa"/>
            <w:tcBorders>
              <w:top w:val="nil"/>
              <w:left w:val="nil"/>
              <w:bottom w:val="nil"/>
              <w:right w:val="nil"/>
            </w:tcBorders>
            <w:shd w:val="clear" w:color="auto" w:fill="auto"/>
            <w:vAlign w:val="bottom"/>
            <w:hideMark/>
          </w:tcPr>
          <w:p w14:paraId="0CBCF4EE"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w:t>
            </w:r>
          </w:p>
        </w:tc>
        <w:tc>
          <w:tcPr>
            <w:tcW w:w="1985" w:type="dxa"/>
            <w:tcBorders>
              <w:top w:val="nil"/>
              <w:left w:val="nil"/>
              <w:bottom w:val="nil"/>
              <w:right w:val="nil"/>
            </w:tcBorders>
            <w:shd w:val="clear" w:color="auto" w:fill="auto"/>
            <w:vAlign w:val="bottom"/>
            <w:hideMark/>
          </w:tcPr>
          <w:p w14:paraId="480CFB6B"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9</w:t>
            </w:r>
          </w:p>
        </w:tc>
        <w:tc>
          <w:tcPr>
            <w:tcW w:w="1701" w:type="dxa"/>
            <w:tcBorders>
              <w:top w:val="nil"/>
              <w:left w:val="nil"/>
              <w:bottom w:val="nil"/>
              <w:right w:val="nil"/>
            </w:tcBorders>
            <w:shd w:val="clear" w:color="auto" w:fill="auto"/>
            <w:vAlign w:val="bottom"/>
            <w:hideMark/>
          </w:tcPr>
          <w:p w14:paraId="3516111D"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843" w:type="dxa"/>
            <w:tcBorders>
              <w:top w:val="nil"/>
              <w:left w:val="nil"/>
              <w:bottom w:val="nil"/>
              <w:right w:val="nil"/>
            </w:tcBorders>
            <w:shd w:val="clear" w:color="auto" w:fill="auto"/>
            <w:vAlign w:val="bottom"/>
            <w:hideMark/>
          </w:tcPr>
          <w:p w14:paraId="2A9B45D3"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 (3.1%)</w:t>
            </w:r>
          </w:p>
        </w:tc>
        <w:tc>
          <w:tcPr>
            <w:tcW w:w="1275" w:type="dxa"/>
            <w:tcBorders>
              <w:top w:val="nil"/>
              <w:left w:val="nil"/>
              <w:bottom w:val="nil"/>
              <w:right w:val="nil"/>
            </w:tcBorders>
            <w:shd w:val="clear" w:color="auto" w:fill="auto"/>
            <w:vAlign w:val="bottom"/>
            <w:hideMark/>
          </w:tcPr>
          <w:p w14:paraId="21D283A6"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48</w:t>
            </w:r>
          </w:p>
        </w:tc>
        <w:tc>
          <w:tcPr>
            <w:tcW w:w="1843" w:type="dxa"/>
            <w:tcBorders>
              <w:top w:val="nil"/>
              <w:left w:val="nil"/>
              <w:bottom w:val="nil"/>
              <w:right w:val="nil"/>
            </w:tcBorders>
            <w:shd w:val="clear" w:color="auto" w:fill="auto"/>
            <w:vAlign w:val="bottom"/>
            <w:hideMark/>
          </w:tcPr>
          <w:p w14:paraId="24114289"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740" w:type="dxa"/>
            <w:tcBorders>
              <w:top w:val="nil"/>
              <w:left w:val="nil"/>
              <w:bottom w:val="nil"/>
              <w:right w:val="nil"/>
            </w:tcBorders>
            <w:shd w:val="clear" w:color="auto" w:fill="auto"/>
            <w:vAlign w:val="bottom"/>
            <w:hideMark/>
          </w:tcPr>
          <w:p w14:paraId="45324355"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804" w:type="dxa"/>
            <w:tcBorders>
              <w:top w:val="nil"/>
              <w:left w:val="nil"/>
              <w:bottom w:val="nil"/>
              <w:right w:val="nil"/>
            </w:tcBorders>
            <w:shd w:val="clear" w:color="auto" w:fill="auto"/>
            <w:noWrap/>
            <w:vAlign w:val="bottom"/>
            <w:hideMark/>
          </w:tcPr>
          <w:p w14:paraId="344DEB3F"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r>
      <w:tr w:rsidR="005F5C07" w:rsidRPr="00110098" w14:paraId="19E79B7A" w14:textId="77777777" w:rsidTr="00312AA6">
        <w:trPr>
          <w:trHeight w:val="300"/>
        </w:trPr>
        <w:tc>
          <w:tcPr>
            <w:tcW w:w="866" w:type="dxa"/>
            <w:tcBorders>
              <w:top w:val="nil"/>
              <w:left w:val="nil"/>
              <w:bottom w:val="nil"/>
              <w:right w:val="nil"/>
            </w:tcBorders>
            <w:shd w:val="clear" w:color="auto" w:fill="auto"/>
            <w:vAlign w:val="bottom"/>
            <w:hideMark/>
          </w:tcPr>
          <w:p w14:paraId="2CB963F4"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2011</w:t>
            </w:r>
          </w:p>
        </w:tc>
        <w:tc>
          <w:tcPr>
            <w:tcW w:w="992" w:type="dxa"/>
            <w:tcBorders>
              <w:top w:val="nil"/>
              <w:left w:val="nil"/>
              <w:bottom w:val="nil"/>
              <w:right w:val="nil"/>
            </w:tcBorders>
            <w:shd w:val="clear" w:color="auto" w:fill="auto"/>
            <w:vAlign w:val="bottom"/>
            <w:hideMark/>
          </w:tcPr>
          <w:p w14:paraId="5F3C4980"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22</w:t>
            </w:r>
          </w:p>
        </w:tc>
        <w:tc>
          <w:tcPr>
            <w:tcW w:w="1985" w:type="dxa"/>
            <w:tcBorders>
              <w:top w:val="nil"/>
              <w:left w:val="nil"/>
              <w:bottom w:val="nil"/>
              <w:right w:val="nil"/>
            </w:tcBorders>
            <w:shd w:val="clear" w:color="auto" w:fill="auto"/>
            <w:vAlign w:val="bottom"/>
            <w:hideMark/>
          </w:tcPr>
          <w:p w14:paraId="26DCA6BE"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4</w:t>
            </w:r>
          </w:p>
        </w:tc>
        <w:tc>
          <w:tcPr>
            <w:tcW w:w="1701" w:type="dxa"/>
            <w:tcBorders>
              <w:top w:val="nil"/>
              <w:left w:val="nil"/>
              <w:bottom w:val="nil"/>
              <w:right w:val="nil"/>
            </w:tcBorders>
            <w:shd w:val="clear" w:color="auto" w:fill="auto"/>
            <w:vAlign w:val="bottom"/>
            <w:hideMark/>
          </w:tcPr>
          <w:p w14:paraId="79F5886F"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843" w:type="dxa"/>
            <w:tcBorders>
              <w:top w:val="nil"/>
              <w:left w:val="nil"/>
              <w:bottom w:val="nil"/>
              <w:right w:val="nil"/>
            </w:tcBorders>
            <w:shd w:val="clear" w:color="auto" w:fill="auto"/>
            <w:vAlign w:val="bottom"/>
            <w:hideMark/>
          </w:tcPr>
          <w:p w14:paraId="5B7FFA1E"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 (5.0%)</w:t>
            </w:r>
          </w:p>
        </w:tc>
        <w:tc>
          <w:tcPr>
            <w:tcW w:w="1275" w:type="dxa"/>
            <w:tcBorders>
              <w:top w:val="nil"/>
              <w:left w:val="nil"/>
              <w:bottom w:val="nil"/>
              <w:right w:val="nil"/>
            </w:tcBorders>
            <w:shd w:val="clear" w:color="auto" w:fill="auto"/>
            <w:vAlign w:val="bottom"/>
            <w:hideMark/>
          </w:tcPr>
          <w:p w14:paraId="57AB2B09"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w:t>
            </w:r>
          </w:p>
        </w:tc>
        <w:tc>
          <w:tcPr>
            <w:tcW w:w="1843" w:type="dxa"/>
            <w:tcBorders>
              <w:top w:val="nil"/>
              <w:left w:val="nil"/>
              <w:bottom w:val="nil"/>
              <w:right w:val="nil"/>
            </w:tcBorders>
            <w:shd w:val="clear" w:color="auto" w:fill="auto"/>
            <w:vAlign w:val="bottom"/>
            <w:hideMark/>
          </w:tcPr>
          <w:p w14:paraId="5C9EE5D0"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740" w:type="dxa"/>
            <w:tcBorders>
              <w:top w:val="nil"/>
              <w:left w:val="nil"/>
              <w:bottom w:val="nil"/>
              <w:right w:val="nil"/>
            </w:tcBorders>
            <w:shd w:val="clear" w:color="auto" w:fill="auto"/>
            <w:vAlign w:val="bottom"/>
            <w:hideMark/>
          </w:tcPr>
          <w:p w14:paraId="56E34BD4"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47</w:t>
            </w:r>
          </w:p>
        </w:tc>
        <w:tc>
          <w:tcPr>
            <w:tcW w:w="1804" w:type="dxa"/>
            <w:tcBorders>
              <w:top w:val="nil"/>
              <w:left w:val="nil"/>
              <w:bottom w:val="nil"/>
              <w:right w:val="nil"/>
            </w:tcBorders>
            <w:shd w:val="clear" w:color="auto" w:fill="auto"/>
            <w:vAlign w:val="bottom"/>
            <w:hideMark/>
          </w:tcPr>
          <w:p w14:paraId="68E0FA1A"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r>
      <w:tr w:rsidR="005F5C07" w:rsidRPr="00110098" w14:paraId="1125759E" w14:textId="77777777" w:rsidTr="00312AA6">
        <w:trPr>
          <w:trHeight w:val="300"/>
        </w:trPr>
        <w:tc>
          <w:tcPr>
            <w:tcW w:w="866" w:type="dxa"/>
            <w:tcBorders>
              <w:top w:val="nil"/>
              <w:left w:val="nil"/>
              <w:right w:val="nil"/>
            </w:tcBorders>
            <w:shd w:val="clear" w:color="auto" w:fill="auto"/>
            <w:vAlign w:val="bottom"/>
            <w:hideMark/>
          </w:tcPr>
          <w:p w14:paraId="65445D9A"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2012</w:t>
            </w:r>
          </w:p>
        </w:tc>
        <w:tc>
          <w:tcPr>
            <w:tcW w:w="992" w:type="dxa"/>
            <w:tcBorders>
              <w:top w:val="nil"/>
              <w:left w:val="nil"/>
              <w:right w:val="nil"/>
            </w:tcBorders>
            <w:shd w:val="clear" w:color="auto" w:fill="auto"/>
            <w:vAlign w:val="bottom"/>
            <w:hideMark/>
          </w:tcPr>
          <w:p w14:paraId="0AC7C553"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35</w:t>
            </w:r>
          </w:p>
        </w:tc>
        <w:tc>
          <w:tcPr>
            <w:tcW w:w="1985" w:type="dxa"/>
            <w:tcBorders>
              <w:top w:val="nil"/>
              <w:left w:val="nil"/>
              <w:right w:val="nil"/>
            </w:tcBorders>
            <w:shd w:val="clear" w:color="auto" w:fill="auto"/>
            <w:vAlign w:val="bottom"/>
            <w:hideMark/>
          </w:tcPr>
          <w:p w14:paraId="2CE9B59B"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6</w:t>
            </w:r>
          </w:p>
        </w:tc>
        <w:tc>
          <w:tcPr>
            <w:tcW w:w="1701" w:type="dxa"/>
            <w:tcBorders>
              <w:top w:val="nil"/>
              <w:left w:val="nil"/>
              <w:right w:val="nil"/>
            </w:tcBorders>
            <w:shd w:val="clear" w:color="auto" w:fill="auto"/>
            <w:vAlign w:val="bottom"/>
            <w:hideMark/>
          </w:tcPr>
          <w:p w14:paraId="1CE8B47B"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843" w:type="dxa"/>
            <w:tcBorders>
              <w:top w:val="nil"/>
              <w:left w:val="nil"/>
              <w:right w:val="nil"/>
            </w:tcBorders>
            <w:shd w:val="clear" w:color="auto" w:fill="auto"/>
            <w:vAlign w:val="bottom"/>
            <w:hideMark/>
          </w:tcPr>
          <w:p w14:paraId="26609CDD"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3 (13.6%) + 1§</w:t>
            </w:r>
          </w:p>
        </w:tc>
        <w:tc>
          <w:tcPr>
            <w:tcW w:w="1275" w:type="dxa"/>
            <w:tcBorders>
              <w:top w:val="nil"/>
              <w:left w:val="nil"/>
              <w:right w:val="nil"/>
            </w:tcBorders>
            <w:shd w:val="clear" w:color="auto" w:fill="auto"/>
            <w:vAlign w:val="bottom"/>
            <w:hideMark/>
          </w:tcPr>
          <w:p w14:paraId="636E9D61"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19</w:t>
            </w:r>
          </w:p>
        </w:tc>
        <w:tc>
          <w:tcPr>
            <w:tcW w:w="1843" w:type="dxa"/>
            <w:tcBorders>
              <w:top w:val="nil"/>
              <w:left w:val="nil"/>
              <w:right w:val="nil"/>
            </w:tcBorders>
            <w:shd w:val="clear" w:color="auto" w:fill="auto"/>
            <w:vAlign w:val="bottom"/>
            <w:hideMark/>
          </w:tcPr>
          <w:p w14:paraId="25987CF0"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(5%)</w:t>
            </w:r>
          </w:p>
        </w:tc>
        <w:tc>
          <w:tcPr>
            <w:tcW w:w="1740" w:type="dxa"/>
            <w:tcBorders>
              <w:top w:val="nil"/>
              <w:left w:val="nil"/>
              <w:right w:val="nil"/>
            </w:tcBorders>
            <w:shd w:val="clear" w:color="auto" w:fill="auto"/>
            <w:vAlign w:val="bottom"/>
            <w:hideMark/>
          </w:tcPr>
          <w:p w14:paraId="65FDCFD6"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71</w:t>
            </w:r>
          </w:p>
        </w:tc>
        <w:tc>
          <w:tcPr>
            <w:tcW w:w="1804" w:type="dxa"/>
            <w:tcBorders>
              <w:top w:val="nil"/>
              <w:left w:val="nil"/>
              <w:right w:val="nil"/>
            </w:tcBorders>
            <w:shd w:val="clear" w:color="auto" w:fill="auto"/>
            <w:noWrap/>
            <w:vAlign w:val="bottom"/>
            <w:hideMark/>
          </w:tcPr>
          <w:p w14:paraId="551B3DFA"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r>
      <w:tr w:rsidR="005F5C07" w:rsidRPr="00110098" w14:paraId="066718CE" w14:textId="77777777" w:rsidTr="00312AA6">
        <w:trPr>
          <w:trHeight w:val="300"/>
        </w:trPr>
        <w:tc>
          <w:tcPr>
            <w:tcW w:w="866" w:type="dxa"/>
            <w:tcBorders>
              <w:top w:val="nil"/>
              <w:left w:val="nil"/>
              <w:bottom w:val="single" w:sz="4" w:space="0" w:color="auto"/>
              <w:right w:val="nil"/>
            </w:tcBorders>
            <w:shd w:val="clear" w:color="auto" w:fill="auto"/>
            <w:vAlign w:val="bottom"/>
            <w:hideMark/>
          </w:tcPr>
          <w:p w14:paraId="651DE10C"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2013</w:t>
            </w:r>
          </w:p>
        </w:tc>
        <w:tc>
          <w:tcPr>
            <w:tcW w:w="992" w:type="dxa"/>
            <w:tcBorders>
              <w:top w:val="nil"/>
              <w:left w:val="nil"/>
              <w:bottom w:val="single" w:sz="4" w:space="0" w:color="auto"/>
              <w:right w:val="nil"/>
            </w:tcBorders>
            <w:shd w:val="clear" w:color="auto" w:fill="auto"/>
            <w:vAlign w:val="bottom"/>
            <w:hideMark/>
          </w:tcPr>
          <w:p w14:paraId="464F8178"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26</w:t>
            </w:r>
          </w:p>
        </w:tc>
        <w:tc>
          <w:tcPr>
            <w:tcW w:w="1985" w:type="dxa"/>
            <w:tcBorders>
              <w:top w:val="nil"/>
              <w:left w:val="nil"/>
              <w:bottom w:val="single" w:sz="4" w:space="0" w:color="auto"/>
              <w:right w:val="nil"/>
            </w:tcBorders>
            <w:shd w:val="clear" w:color="auto" w:fill="auto"/>
            <w:vAlign w:val="bottom"/>
            <w:hideMark/>
          </w:tcPr>
          <w:p w14:paraId="7326B8F3"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10</w:t>
            </w:r>
          </w:p>
        </w:tc>
        <w:tc>
          <w:tcPr>
            <w:tcW w:w="1701" w:type="dxa"/>
            <w:tcBorders>
              <w:top w:val="nil"/>
              <w:left w:val="nil"/>
              <w:bottom w:val="single" w:sz="4" w:space="0" w:color="auto"/>
              <w:right w:val="nil"/>
            </w:tcBorders>
            <w:shd w:val="clear" w:color="auto" w:fill="auto"/>
            <w:vAlign w:val="bottom"/>
            <w:hideMark/>
          </w:tcPr>
          <w:p w14:paraId="2F9232BF"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w:t>
            </w:r>
          </w:p>
        </w:tc>
        <w:tc>
          <w:tcPr>
            <w:tcW w:w="1843" w:type="dxa"/>
            <w:tcBorders>
              <w:top w:val="nil"/>
              <w:left w:val="nil"/>
              <w:bottom w:val="single" w:sz="4" w:space="0" w:color="auto"/>
              <w:right w:val="nil"/>
            </w:tcBorders>
            <w:shd w:val="clear" w:color="auto" w:fill="auto"/>
            <w:vAlign w:val="bottom"/>
            <w:hideMark/>
          </w:tcPr>
          <w:p w14:paraId="16B19597"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3 (8.6%) + 1§</w:t>
            </w:r>
          </w:p>
        </w:tc>
        <w:tc>
          <w:tcPr>
            <w:tcW w:w="1275" w:type="dxa"/>
            <w:tcBorders>
              <w:top w:val="nil"/>
              <w:left w:val="nil"/>
              <w:bottom w:val="single" w:sz="4" w:space="0" w:color="auto"/>
              <w:right w:val="nil"/>
            </w:tcBorders>
            <w:shd w:val="clear" w:color="auto" w:fill="auto"/>
            <w:vAlign w:val="bottom"/>
            <w:hideMark/>
          </w:tcPr>
          <w:p w14:paraId="35C49148"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49</w:t>
            </w:r>
          </w:p>
        </w:tc>
        <w:tc>
          <w:tcPr>
            <w:tcW w:w="1843" w:type="dxa"/>
            <w:tcBorders>
              <w:top w:val="nil"/>
              <w:left w:val="nil"/>
              <w:bottom w:val="single" w:sz="4" w:space="0" w:color="auto"/>
              <w:right w:val="nil"/>
            </w:tcBorders>
            <w:shd w:val="clear" w:color="auto" w:fill="auto"/>
            <w:vAlign w:val="bottom"/>
            <w:hideMark/>
          </w:tcPr>
          <w:p w14:paraId="51063F50"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0</w:t>
            </w:r>
          </w:p>
        </w:tc>
        <w:tc>
          <w:tcPr>
            <w:tcW w:w="1740" w:type="dxa"/>
            <w:tcBorders>
              <w:top w:val="nil"/>
              <w:left w:val="nil"/>
              <w:bottom w:val="single" w:sz="4" w:space="0" w:color="auto"/>
              <w:right w:val="nil"/>
            </w:tcBorders>
            <w:shd w:val="clear" w:color="auto" w:fill="auto"/>
            <w:vAlign w:val="bottom"/>
            <w:hideMark/>
          </w:tcPr>
          <w:p w14:paraId="77B7B6D4"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2</w:t>
            </w:r>
          </w:p>
        </w:tc>
        <w:tc>
          <w:tcPr>
            <w:tcW w:w="1804" w:type="dxa"/>
            <w:tcBorders>
              <w:top w:val="nil"/>
              <w:left w:val="nil"/>
              <w:bottom w:val="single" w:sz="4" w:space="0" w:color="auto"/>
              <w:right w:val="nil"/>
            </w:tcBorders>
            <w:shd w:val="clear" w:color="auto" w:fill="auto"/>
            <w:vAlign w:val="bottom"/>
            <w:hideMark/>
          </w:tcPr>
          <w:p w14:paraId="5DEDC9E4" w14:textId="77777777" w:rsidR="005F5C07" w:rsidRPr="00110098" w:rsidRDefault="005F5C07" w:rsidP="00312AA6">
            <w:pPr>
              <w:jc w:val="center"/>
              <w:rPr>
                <w:rFonts w:ascii="Times New Roman" w:eastAsia="Times New Roman" w:hAnsi="Times New Roman" w:cs="Times New Roman"/>
                <w:color w:val="000000"/>
              </w:rPr>
            </w:pPr>
            <w:r w:rsidRPr="00110098">
              <w:rPr>
                <w:rFonts w:ascii="Times New Roman" w:eastAsia="Times New Roman" w:hAnsi="Times New Roman" w:cs="Times New Roman"/>
                <w:color w:val="000000"/>
              </w:rPr>
              <w:t>1</w:t>
            </w:r>
            <w:r>
              <w:rPr>
                <w:rFonts w:ascii="Times New Roman" w:eastAsia="Times New Roman" w:hAnsi="Times New Roman" w:cs="Times New Roman"/>
                <w:color w:val="000000"/>
              </w:rPr>
              <w:t>(1.4%)</w:t>
            </w:r>
          </w:p>
        </w:tc>
      </w:tr>
    </w:tbl>
    <w:p w14:paraId="3C2F5CAB" w14:textId="77777777" w:rsidR="005F5C07" w:rsidRPr="00110098" w:rsidRDefault="005F5C07" w:rsidP="005F5C07">
      <w:pPr>
        <w:spacing w:line="480" w:lineRule="auto"/>
        <w:rPr>
          <w:rFonts w:ascii="Times New Roman" w:hAnsi="Times New Roman" w:cs="Times New Roman"/>
        </w:rPr>
      </w:pPr>
      <w:r w:rsidRPr="00110098">
        <w:rPr>
          <w:rFonts w:ascii="Times New Roman" w:hAnsi="Times New Roman" w:cs="Times New Roman"/>
        </w:rPr>
        <w:t>§ Indicates an individual that was re</w:t>
      </w:r>
      <w:r>
        <w:rPr>
          <w:rFonts w:ascii="Times New Roman" w:hAnsi="Times New Roman" w:cs="Times New Roman"/>
        </w:rPr>
        <w:t>-</w:t>
      </w:r>
      <w:r w:rsidRPr="00110098">
        <w:rPr>
          <w:rFonts w:ascii="Times New Roman" w:hAnsi="Times New Roman" w:cs="Times New Roman"/>
        </w:rPr>
        <w:t>caught later than one year after its capture, but had no recaptures in the year in</w:t>
      </w:r>
      <w:r>
        <w:rPr>
          <w:rFonts w:ascii="Times New Roman" w:hAnsi="Times New Roman" w:cs="Times New Roman"/>
        </w:rPr>
        <w:t xml:space="preserve"> between</w:t>
      </w:r>
    </w:p>
    <w:p w14:paraId="0002F10E" w14:textId="77777777" w:rsidR="005F5C07" w:rsidRPr="00110098" w:rsidRDefault="005F5C07" w:rsidP="005F5C07">
      <w:pPr>
        <w:spacing w:line="480" w:lineRule="auto"/>
        <w:rPr>
          <w:rFonts w:ascii="Times New Roman" w:hAnsi="Times New Roman" w:cs="Times New Roman"/>
        </w:rPr>
      </w:pPr>
    </w:p>
    <w:p w14:paraId="0BE64CE7" w14:textId="77777777" w:rsidR="005F5C07" w:rsidRPr="00073D74" w:rsidRDefault="005F5C07" w:rsidP="005F5C07">
      <w:pPr>
        <w:spacing w:line="480" w:lineRule="auto"/>
        <w:rPr>
          <w:rFonts w:ascii="Times New Roman" w:hAnsi="Times New Roman" w:cs="Times New Roman"/>
        </w:rPr>
      </w:pPr>
    </w:p>
    <w:p w14:paraId="1D20F0D8" w14:textId="77777777" w:rsidR="000E298F" w:rsidRDefault="000E298F"/>
    <w:p w14:paraId="13C45540" w14:textId="77777777" w:rsidR="00F52315" w:rsidRDefault="00F52315">
      <w:pPr>
        <w:sectPr w:rsidR="00F52315" w:rsidSect="005F5C07">
          <w:pgSz w:w="16840" w:h="11900" w:orient="landscape"/>
          <w:pgMar w:top="1800" w:right="1440" w:bottom="1800" w:left="1440" w:header="708" w:footer="708" w:gutter="0"/>
          <w:cols w:space="708"/>
          <w:docGrid w:linePitch="360"/>
        </w:sectPr>
      </w:pPr>
    </w:p>
    <w:p w14:paraId="6E073D42" w14:textId="77777777" w:rsidR="00F52315" w:rsidRPr="00BF0ACE" w:rsidRDefault="00F52315">
      <w:pPr>
        <w:rPr>
          <w:rFonts w:ascii="Times New Roman" w:hAnsi="Times New Roman" w:cs="Times New Roman"/>
          <w:b/>
        </w:rPr>
      </w:pPr>
      <w:r w:rsidRPr="00BF0ACE">
        <w:rPr>
          <w:rFonts w:ascii="Times New Roman" w:hAnsi="Times New Roman" w:cs="Times New Roman"/>
          <w:b/>
        </w:rPr>
        <w:t>References:</w:t>
      </w:r>
    </w:p>
    <w:p w14:paraId="26C5F1FB" w14:textId="77777777" w:rsidR="00F52315" w:rsidRDefault="00F52315">
      <w:pPr>
        <w:rPr>
          <w:b/>
        </w:rPr>
      </w:pPr>
    </w:p>
    <w:p w14:paraId="12E0FE55" w14:textId="77777777" w:rsidR="00F52315" w:rsidRPr="00F52315" w:rsidRDefault="00F52315" w:rsidP="00F52315">
      <w:pPr>
        <w:widowControl w:val="0"/>
        <w:autoSpaceDE w:val="0"/>
        <w:autoSpaceDN w:val="0"/>
        <w:adjustRightInd w:val="0"/>
        <w:ind w:left="480" w:hanging="480"/>
        <w:rPr>
          <w:rFonts w:ascii="Times New Roman" w:hAnsi="Times New Roman" w:cs="Times New Roman"/>
          <w:noProof/>
          <w:lang w:val="en-US"/>
        </w:rPr>
      </w:pPr>
      <w:r w:rsidRPr="00F52315">
        <w:rPr>
          <w:rFonts w:ascii="Times New Roman" w:hAnsi="Times New Roman" w:cs="Times New Roman"/>
          <w:b/>
        </w:rPr>
        <w:fldChar w:fldCharType="begin" w:fldLock="1"/>
      </w:r>
      <w:r w:rsidRPr="00F52315">
        <w:rPr>
          <w:rFonts w:ascii="Times New Roman" w:hAnsi="Times New Roman" w:cs="Times New Roman"/>
          <w:b/>
        </w:rPr>
        <w:instrText xml:space="preserve">ADDIN Mendeley Bibliography CSL_BIBLIOGRAPHY </w:instrText>
      </w:r>
      <w:r w:rsidRPr="00F52315">
        <w:rPr>
          <w:rFonts w:ascii="Times New Roman" w:hAnsi="Times New Roman" w:cs="Times New Roman"/>
          <w:b/>
        </w:rPr>
        <w:fldChar w:fldCharType="separate"/>
      </w:r>
      <w:r w:rsidRPr="00F52315">
        <w:rPr>
          <w:rFonts w:ascii="Times New Roman" w:hAnsi="Times New Roman" w:cs="Times New Roman"/>
          <w:noProof/>
          <w:lang w:val="en-US"/>
        </w:rPr>
        <w:t xml:space="preserve">Brazill-Boast J, Griffith SC, Pryke SR (2013) Morph-dependent resource acquisition and fitness in a polymorphic bird. </w:t>
      </w:r>
      <w:r w:rsidRPr="00F52315">
        <w:rPr>
          <w:rFonts w:ascii="Times New Roman" w:hAnsi="Times New Roman" w:cs="Times New Roman"/>
          <w:i/>
          <w:iCs/>
          <w:noProof/>
          <w:lang w:val="en-US"/>
        </w:rPr>
        <w:t>Evolutionary Ecology</w:t>
      </w:r>
      <w:r w:rsidRPr="00F52315">
        <w:rPr>
          <w:rFonts w:ascii="Times New Roman" w:hAnsi="Times New Roman" w:cs="Times New Roman"/>
          <w:noProof/>
          <w:lang w:val="en-US"/>
        </w:rPr>
        <w:t xml:space="preserve">, </w:t>
      </w:r>
      <w:r w:rsidRPr="00F52315">
        <w:rPr>
          <w:rFonts w:ascii="Times New Roman" w:hAnsi="Times New Roman" w:cs="Times New Roman"/>
          <w:b/>
          <w:bCs/>
          <w:noProof/>
          <w:lang w:val="en-US"/>
        </w:rPr>
        <w:t>27</w:t>
      </w:r>
      <w:r w:rsidRPr="00F52315">
        <w:rPr>
          <w:rFonts w:ascii="Times New Roman" w:hAnsi="Times New Roman" w:cs="Times New Roman"/>
          <w:noProof/>
          <w:lang w:val="en-US"/>
        </w:rPr>
        <w:t>, 1189–1198.</w:t>
      </w:r>
    </w:p>
    <w:p w14:paraId="5C89B5AE" w14:textId="77777777" w:rsidR="00F52315" w:rsidRPr="00F52315" w:rsidRDefault="00F52315" w:rsidP="00F52315">
      <w:pPr>
        <w:widowControl w:val="0"/>
        <w:autoSpaceDE w:val="0"/>
        <w:autoSpaceDN w:val="0"/>
        <w:adjustRightInd w:val="0"/>
        <w:ind w:left="480" w:hanging="480"/>
        <w:rPr>
          <w:rFonts w:ascii="Times New Roman" w:hAnsi="Times New Roman" w:cs="Times New Roman"/>
          <w:noProof/>
          <w:lang w:val="en-US"/>
        </w:rPr>
      </w:pPr>
      <w:r w:rsidRPr="00F52315">
        <w:rPr>
          <w:rFonts w:ascii="Times New Roman" w:hAnsi="Times New Roman" w:cs="Times New Roman"/>
          <w:noProof/>
          <w:lang w:val="en-US"/>
        </w:rPr>
        <w:t xml:space="preserve">Brazill-Boast J, Pryke SR, Griffith SC (2010) Nest-site utilisation and niche overlap in two sympatric, cavity-nesting finches. </w:t>
      </w:r>
      <w:r w:rsidRPr="00F52315">
        <w:rPr>
          <w:rFonts w:ascii="Times New Roman" w:hAnsi="Times New Roman" w:cs="Times New Roman"/>
          <w:i/>
          <w:iCs/>
          <w:noProof/>
          <w:lang w:val="en-US"/>
        </w:rPr>
        <w:t>Emu</w:t>
      </w:r>
      <w:r w:rsidRPr="00F52315">
        <w:rPr>
          <w:rFonts w:ascii="Times New Roman" w:hAnsi="Times New Roman" w:cs="Times New Roman"/>
          <w:noProof/>
          <w:lang w:val="en-US"/>
        </w:rPr>
        <w:t xml:space="preserve">, </w:t>
      </w:r>
      <w:r w:rsidRPr="00F52315">
        <w:rPr>
          <w:rFonts w:ascii="Times New Roman" w:hAnsi="Times New Roman" w:cs="Times New Roman"/>
          <w:b/>
          <w:bCs/>
          <w:noProof/>
          <w:lang w:val="en-US"/>
        </w:rPr>
        <w:t>110</w:t>
      </w:r>
      <w:r w:rsidRPr="00F52315">
        <w:rPr>
          <w:rFonts w:ascii="Times New Roman" w:hAnsi="Times New Roman" w:cs="Times New Roman"/>
          <w:noProof/>
          <w:lang w:val="en-US"/>
        </w:rPr>
        <w:t>, 170–177.</w:t>
      </w:r>
    </w:p>
    <w:p w14:paraId="2A0BB3E5" w14:textId="77777777" w:rsidR="00F52315" w:rsidRPr="00F52315" w:rsidRDefault="00F52315" w:rsidP="00F52315">
      <w:pPr>
        <w:widowControl w:val="0"/>
        <w:autoSpaceDE w:val="0"/>
        <w:autoSpaceDN w:val="0"/>
        <w:adjustRightInd w:val="0"/>
        <w:ind w:left="480" w:hanging="480"/>
        <w:rPr>
          <w:rFonts w:ascii="Times New Roman" w:hAnsi="Times New Roman" w:cs="Times New Roman"/>
          <w:noProof/>
          <w:lang w:val="en-US"/>
        </w:rPr>
      </w:pPr>
      <w:r w:rsidRPr="00F52315">
        <w:rPr>
          <w:rFonts w:ascii="Times New Roman" w:hAnsi="Times New Roman" w:cs="Times New Roman"/>
          <w:noProof/>
          <w:lang w:val="en-US"/>
        </w:rPr>
        <w:t xml:space="preserve">Legge S, Garnett S, Maute K </w:t>
      </w:r>
      <w:r w:rsidRPr="00F52315">
        <w:rPr>
          <w:rFonts w:ascii="Times New Roman" w:hAnsi="Times New Roman" w:cs="Times New Roman"/>
          <w:i/>
          <w:iCs/>
          <w:noProof/>
          <w:lang w:val="en-US"/>
        </w:rPr>
        <w:t>et al.</w:t>
      </w:r>
      <w:r w:rsidRPr="00F52315">
        <w:rPr>
          <w:rFonts w:ascii="Times New Roman" w:hAnsi="Times New Roman" w:cs="Times New Roman"/>
          <w:noProof/>
          <w:lang w:val="en-US"/>
        </w:rPr>
        <w:t xml:space="preserve"> (2015) A Landscape-Scale, Applied Fire Management Experiment Promotes Recovery of a Population of the Threatened Gouldian Finch, Erythrura gouldiae, in Australia’s Tropical Savannas. </w:t>
      </w:r>
      <w:r w:rsidRPr="00F52315">
        <w:rPr>
          <w:rFonts w:ascii="Times New Roman" w:hAnsi="Times New Roman" w:cs="Times New Roman"/>
          <w:i/>
          <w:iCs/>
          <w:noProof/>
          <w:lang w:val="en-US"/>
        </w:rPr>
        <w:t>Plos One</w:t>
      </w:r>
      <w:r w:rsidRPr="00F52315">
        <w:rPr>
          <w:rFonts w:ascii="Times New Roman" w:hAnsi="Times New Roman" w:cs="Times New Roman"/>
          <w:noProof/>
          <w:lang w:val="en-US"/>
        </w:rPr>
        <w:t xml:space="preserve">, </w:t>
      </w:r>
      <w:r w:rsidRPr="00F52315">
        <w:rPr>
          <w:rFonts w:ascii="Times New Roman" w:hAnsi="Times New Roman" w:cs="Times New Roman"/>
          <w:b/>
          <w:bCs/>
          <w:noProof/>
          <w:lang w:val="en-US"/>
        </w:rPr>
        <w:t>10</w:t>
      </w:r>
      <w:r w:rsidRPr="00F52315">
        <w:rPr>
          <w:rFonts w:ascii="Times New Roman" w:hAnsi="Times New Roman" w:cs="Times New Roman"/>
          <w:noProof/>
          <w:lang w:val="en-US"/>
        </w:rPr>
        <w:t>, e0137997.</w:t>
      </w:r>
    </w:p>
    <w:p w14:paraId="1E01304F" w14:textId="77777777" w:rsidR="00F52315" w:rsidRPr="00F52315" w:rsidRDefault="00F52315" w:rsidP="00F52315">
      <w:pPr>
        <w:widowControl w:val="0"/>
        <w:autoSpaceDE w:val="0"/>
        <w:autoSpaceDN w:val="0"/>
        <w:adjustRightInd w:val="0"/>
        <w:ind w:left="480" w:hanging="480"/>
        <w:rPr>
          <w:rFonts w:ascii="Times New Roman" w:hAnsi="Times New Roman" w:cs="Times New Roman"/>
          <w:noProof/>
        </w:rPr>
      </w:pPr>
      <w:r w:rsidRPr="00F52315">
        <w:rPr>
          <w:rFonts w:ascii="Times New Roman" w:hAnsi="Times New Roman" w:cs="Times New Roman"/>
          <w:noProof/>
          <w:lang w:val="en-US"/>
        </w:rPr>
        <w:t xml:space="preserve">Woinarski JCZ, Tidemann S (1992) Survivorship and some population parameters for the endangered Gouldian Finch Erythrura gouldiae and two other finch species at two Sites in tropical northern Australia. </w:t>
      </w:r>
      <w:r w:rsidRPr="00F52315">
        <w:rPr>
          <w:rFonts w:ascii="Times New Roman" w:hAnsi="Times New Roman" w:cs="Times New Roman"/>
          <w:i/>
          <w:iCs/>
          <w:noProof/>
          <w:lang w:val="en-US"/>
        </w:rPr>
        <w:t>Emu</w:t>
      </w:r>
      <w:r w:rsidRPr="00F52315">
        <w:rPr>
          <w:rFonts w:ascii="Times New Roman" w:hAnsi="Times New Roman" w:cs="Times New Roman"/>
          <w:noProof/>
          <w:lang w:val="en-US"/>
        </w:rPr>
        <w:t xml:space="preserve">, </w:t>
      </w:r>
      <w:r w:rsidRPr="00F52315">
        <w:rPr>
          <w:rFonts w:ascii="Times New Roman" w:hAnsi="Times New Roman" w:cs="Times New Roman"/>
          <w:b/>
          <w:bCs/>
          <w:noProof/>
          <w:lang w:val="en-US"/>
        </w:rPr>
        <w:t>92</w:t>
      </w:r>
      <w:r w:rsidRPr="00F52315">
        <w:rPr>
          <w:rFonts w:ascii="Times New Roman" w:hAnsi="Times New Roman" w:cs="Times New Roman"/>
          <w:noProof/>
          <w:lang w:val="en-US"/>
        </w:rPr>
        <w:t>, 33–38.</w:t>
      </w:r>
    </w:p>
    <w:p w14:paraId="2EA7118E" w14:textId="77777777" w:rsidR="00F52315" w:rsidRPr="00F52315" w:rsidRDefault="00F52315">
      <w:pPr>
        <w:rPr>
          <w:b/>
        </w:rPr>
      </w:pPr>
      <w:r w:rsidRPr="00F52315">
        <w:rPr>
          <w:rFonts w:ascii="Times New Roman" w:hAnsi="Times New Roman" w:cs="Times New Roman"/>
          <w:b/>
        </w:rPr>
        <w:fldChar w:fldCharType="end"/>
      </w:r>
    </w:p>
    <w:sectPr w:rsidR="00F52315" w:rsidRPr="00F52315" w:rsidSect="00F523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07"/>
    <w:rsid w:val="000E298F"/>
    <w:rsid w:val="001470A4"/>
    <w:rsid w:val="003D2CEC"/>
    <w:rsid w:val="005F5C07"/>
    <w:rsid w:val="00BF0ACE"/>
    <w:rsid w:val="00EE1874"/>
    <w:rsid w:val="00F52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64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6842</Characters>
  <Application>Microsoft Office Word</Application>
  <DocSecurity>0</DocSecurity>
  <Lines>57</Lines>
  <Paragraphs>16</Paragraphs>
  <ScaleCrop>false</ScaleCrop>
  <Company>Macquarie University</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Bolton</dc:creator>
  <cp:keywords/>
  <dc:description/>
  <cp:lastModifiedBy>Peri Bolton</cp:lastModifiedBy>
  <cp:revision>6</cp:revision>
  <dcterms:created xsi:type="dcterms:W3CDTF">2016-10-25T02:49:00Z</dcterms:created>
  <dcterms:modified xsi:type="dcterms:W3CDTF">2016-10-31T00:23:00Z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16th edition (author-date)</vt:lpwstr>
  </property>
  <property fmtid="{D5CDD505-2E9C-101B-9397-08002B2CF9AE}" pid="7" name="Mendeley Recent Style Id 2_1">
    <vt:lpwstr>http://www.zotero.org/styles/harvard1</vt:lpwstr>
  </property>
  <property fmtid="{D5CDD505-2E9C-101B-9397-08002B2CF9AE}" pid="8" name="Mendeley Recent Style Name 2_1">
    <vt:lpwstr>Harvard Reference format 1 (author-date)</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http://www.zotero.org/styles/journal-of-evolutionary-biology</vt:lpwstr>
  </property>
  <property fmtid="{D5CDD505-2E9C-101B-9397-08002B2CF9AE}" pid="12" name="Mendeley Recent Style Name 4_1">
    <vt:lpwstr>Journal of Evolutionary Biology</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http://www.zotero.org/styles/molecular-ecology</vt:lpwstr>
  </property>
  <property fmtid="{D5CDD505-2E9C-101B-9397-08002B2CF9AE}" pid="18" name="Mendeley Recent Style Name 7_1">
    <vt:lpwstr>Molecular Ecology</vt:lpwstr>
  </property>
  <property fmtid="{D5CDD505-2E9C-101B-9397-08002B2CF9AE}" pid="19" name="Mendeley Recent Style Id 8_1">
    <vt:lpwstr>http://www.zotero.org/styles/plos-one</vt:lpwstr>
  </property>
  <property fmtid="{D5CDD505-2E9C-101B-9397-08002B2CF9AE}" pid="20" name="Mendeley Recent Style Name 8_1">
    <vt:lpwstr>PLOS ONE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http://www.zotero.org/styles/molecular-ecology</vt:lpwstr>
  </property>
  <property fmtid="{D5CDD505-2E9C-101B-9397-08002B2CF9AE}" pid="24" name="Mendeley Unique User Id_1">
    <vt:lpwstr>c5c32edf-bb2b-3273-b72f-a157bbed05b6</vt:lpwstr>
  </property>
</Properties>
</file>