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789" w:rsidRDefault="00B41E7B">
      <w:pPr>
        <w:spacing w:line="360" w:lineRule="auto"/>
        <w:jc w:val="both"/>
        <w:rPr>
          <w:rFonts w:ascii="Arial" w:hAnsi="Arial" w:cs="Arial"/>
          <w:b/>
          <w:sz w:val="36"/>
          <w:szCs w:val="36"/>
          <w:lang w:val="en-US"/>
        </w:rPr>
      </w:pPr>
      <w:r>
        <w:rPr>
          <w:rFonts w:ascii="Arial" w:hAnsi="Arial" w:cs="Arial"/>
          <w:b/>
          <w:sz w:val="36"/>
          <w:szCs w:val="36"/>
          <w:lang w:val="en-US"/>
        </w:rPr>
        <w:t>Supporting Information</w:t>
      </w:r>
    </w:p>
    <w:p w:rsidR="00480789" w:rsidRDefault="00480789">
      <w:pPr>
        <w:spacing w:line="360" w:lineRule="auto"/>
        <w:jc w:val="both"/>
        <w:rPr>
          <w:rFonts w:ascii="Arial" w:hAnsi="Arial" w:cs="Arial"/>
          <w:b/>
          <w:sz w:val="28"/>
          <w:szCs w:val="24"/>
          <w:lang w:val="en-US"/>
        </w:rPr>
      </w:pPr>
    </w:p>
    <w:p w:rsidR="00480789" w:rsidRDefault="00B41E7B">
      <w:pPr>
        <w:spacing w:line="360" w:lineRule="auto"/>
        <w:jc w:val="both"/>
        <w:rPr>
          <w:rFonts w:ascii="Arial" w:hAnsi="Arial" w:cs="Arial"/>
          <w:b/>
          <w:sz w:val="24"/>
          <w:szCs w:val="24"/>
          <w:lang w:val="en-US"/>
        </w:rPr>
      </w:pPr>
      <w:r>
        <w:rPr>
          <w:rFonts w:ascii="Arial" w:hAnsi="Arial" w:cs="Arial"/>
          <w:b/>
          <w:sz w:val="36"/>
          <w:szCs w:val="36"/>
          <w:lang w:val="en-US"/>
        </w:rPr>
        <w:t>Contribution towards a Metabolite Profile of the Detoxification of Benzoic Acid through Glycine Conjugation: An Intervention Study</w:t>
      </w:r>
    </w:p>
    <w:p w:rsidR="00480789" w:rsidRDefault="00480789">
      <w:pPr>
        <w:spacing w:line="360" w:lineRule="auto"/>
        <w:rPr>
          <w:sz w:val="24"/>
          <w:lang w:val="en-US"/>
        </w:rPr>
      </w:pPr>
    </w:p>
    <w:p w:rsidR="00480789" w:rsidRDefault="00B41E7B">
      <w:pPr>
        <w:spacing w:line="360" w:lineRule="auto"/>
        <w:rPr>
          <w:sz w:val="24"/>
          <w:lang w:val="en-US"/>
        </w:rPr>
      </w:pPr>
      <w:r>
        <w:rPr>
          <w:sz w:val="24"/>
          <w:lang w:val="en-US"/>
        </w:rPr>
        <w:t>Cindy Irwin</w:t>
      </w:r>
      <w:r>
        <w:rPr>
          <w:sz w:val="24"/>
          <w:vertAlign w:val="superscript"/>
          <w:lang w:val="en-US"/>
        </w:rPr>
        <w:t>1,</w:t>
      </w:r>
      <w:r>
        <w:rPr>
          <w:rFonts w:cs="Arial"/>
          <w:sz w:val="24"/>
          <w:vertAlign w:val="superscript"/>
          <w:lang w:val="en-US"/>
        </w:rPr>
        <w:t>¶</w:t>
      </w:r>
      <w:r>
        <w:rPr>
          <w:sz w:val="24"/>
          <w:lang w:val="en-US"/>
        </w:rPr>
        <w:t xml:space="preserve">, Mari van </w:t>
      </w:r>
      <w:r>
        <w:rPr>
          <w:sz w:val="24"/>
          <w:lang w:val="en-US"/>
        </w:rPr>
        <w:t>Reenen</w:t>
      </w:r>
      <w:r>
        <w:rPr>
          <w:sz w:val="24"/>
          <w:vertAlign w:val="superscript"/>
          <w:lang w:val="en-US"/>
        </w:rPr>
        <w:t>1,2,</w:t>
      </w:r>
      <w:r>
        <w:rPr>
          <w:rFonts w:cs="Arial"/>
          <w:sz w:val="24"/>
          <w:vertAlign w:val="superscript"/>
          <w:lang w:val="en-US"/>
        </w:rPr>
        <w:t>¶</w:t>
      </w:r>
      <w:r>
        <w:rPr>
          <w:sz w:val="24"/>
          <w:lang w:val="en-US"/>
        </w:rPr>
        <w:t>, Shayne Mason</w:t>
      </w:r>
      <w:r>
        <w:rPr>
          <w:sz w:val="24"/>
          <w:vertAlign w:val="superscript"/>
          <w:lang w:val="en-US"/>
        </w:rPr>
        <w:t>1</w:t>
      </w:r>
      <w:r>
        <w:rPr>
          <w:sz w:val="24"/>
          <w:lang w:val="en-US"/>
        </w:rPr>
        <w:t>, Lodewyk J. Mienie</w:t>
      </w:r>
      <w:r>
        <w:rPr>
          <w:sz w:val="24"/>
          <w:vertAlign w:val="superscript"/>
          <w:lang w:val="en-US"/>
        </w:rPr>
        <w:t>1</w:t>
      </w:r>
      <w:r>
        <w:rPr>
          <w:sz w:val="24"/>
          <w:lang w:val="en-US"/>
        </w:rPr>
        <w:t>, Johan A. Westerhuis</w:t>
      </w:r>
      <w:r>
        <w:rPr>
          <w:sz w:val="24"/>
          <w:vertAlign w:val="superscript"/>
          <w:lang w:val="en-US"/>
        </w:rPr>
        <w:t>2,3</w:t>
      </w:r>
      <w:r>
        <w:rPr>
          <w:sz w:val="24"/>
          <w:lang w:val="en-US"/>
        </w:rPr>
        <w:t xml:space="preserve"> and Carolus J. Reinecke</w:t>
      </w:r>
      <w:r>
        <w:rPr>
          <w:sz w:val="24"/>
          <w:vertAlign w:val="superscript"/>
          <w:lang w:val="en-US"/>
        </w:rPr>
        <w:t>1,*</w:t>
      </w:r>
    </w:p>
    <w:p w:rsidR="00480789" w:rsidRDefault="00480789">
      <w:pPr>
        <w:spacing w:line="360" w:lineRule="auto"/>
        <w:rPr>
          <w:sz w:val="24"/>
          <w:lang w:val="en-US"/>
        </w:rPr>
      </w:pPr>
    </w:p>
    <w:p w:rsidR="00480789" w:rsidRDefault="00B41E7B">
      <w:pPr>
        <w:spacing w:after="120" w:line="360" w:lineRule="auto"/>
        <w:rPr>
          <w:sz w:val="24"/>
          <w:lang w:val="en-US"/>
        </w:rPr>
      </w:pPr>
      <w:r>
        <w:rPr>
          <w:sz w:val="24"/>
          <w:vertAlign w:val="superscript"/>
          <w:lang w:val="en-US"/>
        </w:rPr>
        <w:t>1</w:t>
      </w:r>
      <w:r>
        <w:rPr>
          <w:sz w:val="24"/>
          <w:lang w:val="en-US"/>
        </w:rPr>
        <w:t>Centre for Human Metabolomics, Faculty of Natural Sciences, North-West University (Potchefstroom Campus), Potchefstroom, South Africa</w:t>
      </w:r>
    </w:p>
    <w:p w:rsidR="00480789" w:rsidRDefault="00B41E7B">
      <w:pPr>
        <w:spacing w:after="120" w:line="360" w:lineRule="auto"/>
        <w:rPr>
          <w:rFonts w:cs="Arial"/>
          <w:sz w:val="24"/>
          <w:lang w:val="en-US" w:eastAsia="en-ZA"/>
        </w:rPr>
      </w:pPr>
      <w:r>
        <w:rPr>
          <w:rFonts w:cs="Arial"/>
          <w:sz w:val="24"/>
          <w:vertAlign w:val="superscript"/>
          <w:lang w:val="en-US" w:eastAsia="en-ZA"/>
        </w:rPr>
        <w:t>2</w:t>
      </w:r>
      <w:r>
        <w:rPr>
          <w:rFonts w:cs="Arial"/>
          <w:sz w:val="24"/>
          <w:lang w:val="en-US" w:eastAsia="en-ZA"/>
        </w:rPr>
        <w:t>Department of Statist</w:t>
      </w:r>
      <w:r>
        <w:rPr>
          <w:rFonts w:cs="Arial"/>
          <w:sz w:val="24"/>
          <w:lang w:val="en-US" w:eastAsia="en-ZA"/>
        </w:rPr>
        <w:t>ics, Faculty of Natural Sciences, North-West University (Potchefstroom Campus), Potchefstroom, South Africa</w:t>
      </w:r>
    </w:p>
    <w:p w:rsidR="00480789" w:rsidRDefault="00B41E7B">
      <w:pPr>
        <w:spacing w:after="120" w:line="360" w:lineRule="auto"/>
        <w:rPr>
          <w:rFonts w:cs="Arial"/>
          <w:sz w:val="24"/>
          <w:lang w:val="en-US" w:eastAsia="en-ZA"/>
        </w:rPr>
      </w:pPr>
      <w:r>
        <w:rPr>
          <w:rFonts w:cs="Arial"/>
          <w:sz w:val="24"/>
          <w:vertAlign w:val="superscript"/>
          <w:lang w:val="en-US" w:eastAsia="en-ZA"/>
        </w:rPr>
        <w:t>3</w:t>
      </w:r>
      <w:r>
        <w:rPr>
          <w:rFonts w:cs="Arial"/>
          <w:sz w:val="24"/>
          <w:lang w:val="en-US" w:eastAsia="en-ZA"/>
        </w:rPr>
        <w:t>Biosystems Data Analysis, Swammerdam Institute for Life Sciences, University of Amsterdam, Amsterdam, The Netherlands</w:t>
      </w:r>
    </w:p>
    <w:p w:rsidR="00480789" w:rsidRDefault="00480789">
      <w:pPr>
        <w:spacing w:after="120" w:line="360" w:lineRule="auto"/>
        <w:rPr>
          <w:rFonts w:cs="Arial"/>
          <w:sz w:val="24"/>
          <w:lang w:val="en-US" w:eastAsia="en-ZA"/>
        </w:rPr>
      </w:pPr>
    </w:p>
    <w:p w:rsidR="00480789" w:rsidRDefault="00B41E7B">
      <w:pPr>
        <w:spacing w:line="360" w:lineRule="auto"/>
        <w:rPr>
          <w:sz w:val="24"/>
          <w:lang w:val="en-US"/>
        </w:rPr>
      </w:pPr>
      <w:r>
        <w:rPr>
          <w:sz w:val="24"/>
          <w:lang w:val="en-US"/>
        </w:rPr>
        <w:t>* Corresponding author</w:t>
      </w:r>
    </w:p>
    <w:p w:rsidR="00480789" w:rsidRDefault="00B41E7B">
      <w:pPr>
        <w:spacing w:line="360" w:lineRule="auto"/>
        <w:rPr>
          <w:sz w:val="24"/>
          <w:lang w:val="en-US"/>
        </w:rPr>
      </w:pPr>
      <w:r>
        <w:rPr>
          <w:sz w:val="24"/>
          <w:lang w:val="en-US"/>
        </w:rPr>
        <w:t>E-mai</w:t>
      </w:r>
      <w:r>
        <w:rPr>
          <w:sz w:val="24"/>
          <w:lang w:val="en-US"/>
        </w:rPr>
        <w:t xml:space="preserve">l: </w:t>
      </w:r>
      <w:hyperlink r:id="rId8" w:history="1">
        <w:r>
          <w:rPr>
            <w:rStyle w:val="Hyperlink"/>
            <w:sz w:val="24"/>
            <w:lang w:val="en-US"/>
          </w:rPr>
          <w:t>carools.reinecke@nwu.ac.za</w:t>
        </w:r>
      </w:hyperlink>
      <w:r>
        <w:rPr>
          <w:sz w:val="24"/>
          <w:lang w:val="en-US"/>
        </w:rPr>
        <w:t xml:space="preserve"> </w:t>
      </w:r>
    </w:p>
    <w:p w:rsidR="00480789" w:rsidRDefault="00480789">
      <w:pPr>
        <w:spacing w:line="360" w:lineRule="auto"/>
        <w:rPr>
          <w:sz w:val="24"/>
          <w:lang w:val="en-US"/>
        </w:rPr>
      </w:pPr>
    </w:p>
    <w:p w:rsidR="00480789" w:rsidRDefault="00B41E7B">
      <w:pPr>
        <w:spacing w:line="360" w:lineRule="auto"/>
        <w:rPr>
          <w:sz w:val="24"/>
          <w:lang w:val="en-US"/>
        </w:rPr>
      </w:pPr>
      <w:r>
        <w:rPr>
          <w:sz w:val="24"/>
          <w:vertAlign w:val="superscript"/>
          <w:lang w:val="en-US"/>
        </w:rPr>
        <w:t xml:space="preserve">¶ </w:t>
      </w:r>
      <w:r>
        <w:rPr>
          <w:sz w:val="24"/>
          <w:lang w:val="en-US"/>
        </w:rPr>
        <w:t>These authors contributed equally to this work</w:t>
      </w:r>
    </w:p>
    <w:p w:rsidR="00480789" w:rsidRDefault="00480789">
      <w:pPr>
        <w:spacing w:line="360" w:lineRule="auto"/>
        <w:rPr>
          <w:sz w:val="24"/>
          <w:lang w:val="en-US"/>
        </w:rPr>
      </w:pPr>
    </w:p>
    <w:p w:rsidR="00480789" w:rsidRDefault="00B41E7B">
      <w:pPr>
        <w:spacing w:line="360" w:lineRule="auto"/>
        <w:rPr>
          <w:b/>
          <w:sz w:val="24"/>
          <w:lang w:val="en-US"/>
        </w:rPr>
      </w:pPr>
      <w:r>
        <w:rPr>
          <w:b/>
          <w:sz w:val="24"/>
          <w:lang w:val="en-US"/>
        </w:rPr>
        <w:t>Email addresses:</w:t>
      </w:r>
    </w:p>
    <w:p w:rsidR="00480789" w:rsidRDefault="00B41E7B">
      <w:pPr>
        <w:spacing w:line="360" w:lineRule="auto"/>
        <w:rPr>
          <w:sz w:val="24"/>
          <w:lang w:val="en-US"/>
        </w:rPr>
      </w:pPr>
      <w:r>
        <w:rPr>
          <w:sz w:val="24"/>
          <w:lang w:val="en-US"/>
        </w:rPr>
        <w:t>Cindy Irwin:</w:t>
      </w:r>
      <w:r>
        <w:rPr>
          <w:sz w:val="24"/>
          <w:lang w:val="en-US"/>
        </w:rPr>
        <w:tab/>
      </w:r>
      <w:r>
        <w:rPr>
          <w:sz w:val="24"/>
          <w:lang w:val="en-US"/>
        </w:rPr>
        <w:tab/>
      </w:r>
      <w:r>
        <w:rPr>
          <w:sz w:val="24"/>
          <w:lang w:val="en-US"/>
        </w:rPr>
        <w:tab/>
      </w:r>
      <w:r>
        <w:rPr>
          <w:sz w:val="24"/>
          <w:lang w:val="en-US"/>
        </w:rPr>
        <w:tab/>
      </w:r>
      <w:hyperlink r:id="rId9" w:history="1">
        <w:r>
          <w:rPr>
            <w:rStyle w:val="Hyperlink"/>
            <w:sz w:val="24"/>
            <w:lang w:val="en-US"/>
          </w:rPr>
          <w:t>cindyirwin74@gmail.com</w:t>
        </w:r>
      </w:hyperlink>
      <w:r>
        <w:rPr>
          <w:sz w:val="24"/>
          <w:lang w:val="en-US"/>
        </w:rPr>
        <w:t xml:space="preserve"> </w:t>
      </w:r>
    </w:p>
    <w:p w:rsidR="00480789" w:rsidRDefault="00B41E7B">
      <w:pPr>
        <w:spacing w:line="360" w:lineRule="auto"/>
        <w:rPr>
          <w:sz w:val="24"/>
          <w:lang w:val="nl-NL"/>
        </w:rPr>
      </w:pPr>
      <w:r>
        <w:rPr>
          <w:sz w:val="24"/>
          <w:lang w:val="nl-NL"/>
        </w:rPr>
        <w:t>Mari van Reenen:</w:t>
      </w:r>
      <w:r>
        <w:rPr>
          <w:sz w:val="24"/>
          <w:lang w:val="nl-NL"/>
        </w:rPr>
        <w:tab/>
      </w:r>
      <w:r>
        <w:rPr>
          <w:sz w:val="24"/>
          <w:lang w:val="nl-NL"/>
        </w:rPr>
        <w:tab/>
      </w:r>
      <w:r>
        <w:rPr>
          <w:sz w:val="24"/>
          <w:lang w:val="nl-NL"/>
        </w:rPr>
        <w:tab/>
      </w:r>
      <w:hyperlink r:id="rId10" w:history="1">
        <w:r>
          <w:rPr>
            <w:rStyle w:val="Hyperlink"/>
            <w:sz w:val="24"/>
            <w:lang w:val="nl-NL"/>
          </w:rPr>
          <w:t>12791733@nwu.ac.za</w:t>
        </w:r>
      </w:hyperlink>
      <w:r>
        <w:rPr>
          <w:sz w:val="24"/>
          <w:lang w:val="nl-NL"/>
        </w:rPr>
        <w:t xml:space="preserve"> </w:t>
      </w:r>
    </w:p>
    <w:p w:rsidR="00480789" w:rsidRDefault="00B41E7B">
      <w:pPr>
        <w:spacing w:line="360" w:lineRule="auto"/>
        <w:rPr>
          <w:sz w:val="24"/>
          <w:lang w:val="en-US"/>
        </w:rPr>
      </w:pPr>
      <w:r>
        <w:rPr>
          <w:sz w:val="24"/>
          <w:lang w:val="en-US"/>
        </w:rPr>
        <w:t>Shayne Mason:</w:t>
      </w:r>
      <w:r>
        <w:rPr>
          <w:sz w:val="24"/>
          <w:lang w:val="en-US"/>
        </w:rPr>
        <w:tab/>
      </w:r>
      <w:r>
        <w:rPr>
          <w:sz w:val="24"/>
          <w:lang w:val="en-US"/>
        </w:rPr>
        <w:tab/>
      </w:r>
      <w:r>
        <w:rPr>
          <w:sz w:val="24"/>
          <w:lang w:val="en-US"/>
        </w:rPr>
        <w:tab/>
      </w:r>
      <w:hyperlink r:id="rId11" w:history="1">
        <w:r>
          <w:rPr>
            <w:rStyle w:val="Hyperlink"/>
            <w:sz w:val="24"/>
            <w:lang w:val="en-US"/>
          </w:rPr>
          <w:t>nmr.nwu@gmail.com</w:t>
        </w:r>
      </w:hyperlink>
      <w:r>
        <w:rPr>
          <w:sz w:val="24"/>
          <w:lang w:val="en-US"/>
        </w:rPr>
        <w:t xml:space="preserve"> </w:t>
      </w:r>
    </w:p>
    <w:p w:rsidR="00480789" w:rsidRDefault="00B41E7B">
      <w:pPr>
        <w:spacing w:line="360" w:lineRule="auto"/>
        <w:rPr>
          <w:sz w:val="24"/>
          <w:lang w:val="en-US"/>
        </w:rPr>
      </w:pPr>
      <w:r>
        <w:rPr>
          <w:sz w:val="24"/>
          <w:lang w:val="en-US"/>
        </w:rPr>
        <w:t>Lodewyk J. Mienie:</w:t>
      </w:r>
      <w:r>
        <w:rPr>
          <w:sz w:val="24"/>
          <w:lang w:val="en-US"/>
        </w:rPr>
        <w:tab/>
      </w:r>
      <w:r>
        <w:rPr>
          <w:sz w:val="24"/>
          <w:lang w:val="en-US"/>
        </w:rPr>
        <w:tab/>
      </w:r>
      <w:r>
        <w:rPr>
          <w:sz w:val="24"/>
          <w:lang w:val="en-US"/>
        </w:rPr>
        <w:tab/>
      </w:r>
      <w:hyperlink r:id="rId12" w:history="1">
        <w:r>
          <w:rPr>
            <w:rStyle w:val="Hyperlink"/>
            <w:sz w:val="24"/>
            <w:lang w:val="en-US"/>
          </w:rPr>
          <w:t>japie.mienie@gmail.com</w:t>
        </w:r>
      </w:hyperlink>
      <w:r>
        <w:rPr>
          <w:sz w:val="24"/>
          <w:lang w:val="en-US"/>
        </w:rPr>
        <w:t xml:space="preserve"> </w:t>
      </w:r>
    </w:p>
    <w:p w:rsidR="00480789" w:rsidRDefault="00B41E7B">
      <w:pPr>
        <w:spacing w:line="360" w:lineRule="auto"/>
        <w:rPr>
          <w:sz w:val="24"/>
          <w:lang w:val="en-US"/>
        </w:rPr>
      </w:pPr>
      <w:r>
        <w:rPr>
          <w:sz w:val="24"/>
          <w:lang w:val="en-US"/>
        </w:rPr>
        <w:t>Johan A. Westerhuis:</w:t>
      </w:r>
      <w:r>
        <w:rPr>
          <w:sz w:val="24"/>
          <w:lang w:val="en-US"/>
        </w:rPr>
        <w:tab/>
      </w:r>
      <w:r>
        <w:rPr>
          <w:sz w:val="24"/>
          <w:lang w:val="en-US"/>
        </w:rPr>
        <w:tab/>
      </w:r>
      <w:r>
        <w:rPr>
          <w:sz w:val="24"/>
          <w:lang w:val="en-US"/>
        </w:rPr>
        <w:tab/>
      </w:r>
      <w:hyperlink r:id="rId13" w:history="1">
        <w:r>
          <w:rPr>
            <w:rStyle w:val="Hyperlink"/>
            <w:sz w:val="24"/>
            <w:lang w:val="en-US"/>
          </w:rPr>
          <w:t>J.A.Westerhuis@uva.nl</w:t>
        </w:r>
      </w:hyperlink>
      <w:r>
        <w:rPr>
          <w:sz w:val="24"/>
          <w:lang w:val="en-US"/>
        </w:rPr>
        <w:t xml:space="preserve"> </w:t>
      </w:r>
    </w:p>
    <w:p w:rsidR="00480789" w:rsidRDefault="00B41E7B">
      <w:pPr>
        <w:spacing w:line="360" w:lineRule="auto"/>
        <w:rPr>
          <w:sz w:val="24"/>
          <w:lang w:val="en-US"/>
        </w:rPr>
      </w:pPr>
      <w:r>
        <w:rPr>
          <w:sz w:val="24"/>
          <w:lang w:val="en-US"/>
        </w:rPr>
        <w:t>Carolus J. Reinecke:</w:t>
      </w:r>
      <w:r>
        <w:rPr>
          <w:sz w:val="24"/>
          <w:lang w:val="en-US"/>
        </w:rPr>
        <w:tab/>
      </w:r>
      <w:r>
        <w:rPr>
          <w:sz w:val="24"/>
          <w:lang w:val="en-US"/>
        </w:rPr>
        <w:tab/>
      </w:r>
      <w:r>
        <w:rPr>
          <w:sz w:val="24"/>
          <w:lang w:val="en-US"/>
        </w:rPr>
        <w:tab/>
      </w:r>
      <w:hyperlink r:id="rId14" w:history="1">
        <w:r>
          <w:rPr>
            <w:rStyle w:val="Hyperlink"/>
            <w:sz w:val="24"/>
            <w:lang w:val="en-US"/>
          </w:rPr>
          <w:t>carools.reinecke@nwu.ac.za</w:t>
        </w:r>
      </w:hyperlink>
      <w:r>
        <w:rPr>
          <w:sz w:val="24"/>
          <w:lang w:val="en-US"/>
        </w:rPr>
        <w:t xml:space="preserve"> </w:t>
      </w:r>
    </w:p>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br w:type="page"/>
      </w:r>
    </w:p>
    <w:p w:rsidR="00480789" w:rsidRDefault="00B41E7B">
      <w:pPr>
        <w:spacing w:line="360" w:lineRule="auto"/>
        <w:jc w:val="both"/>
        <w:rPr>
          <w:rFonts w:ascii="Arial" w:hAnsi="Arial" w:cs="Arial"/>
          <w:b/>
          <w:sz w:val="36"/>
          <w:szCs w:val="36"/>
          <w:lang w:val="en-US"/>
        </w:rPr>
      </w:pPr>
      <w:r>
        <w:rPr>
          <w:rFonts w:ascii="Arial" w:hAnsi="Arial" w:cs="Arial"/>
          <w:b/>
          <w:sz w:val="36"/>
          <w:szCs w:val="36"/>
          <w:lang w:val="en-US"/>
        </w:rPr>
        <w:lastRenderedPageBreak/>
        <w:t>Table of Contents</w:t>
      </w:r>
    </w:p>
    <w:p w:rsidR="00480789" w:rsidRDefault="00480789">
      <w:pPr>
        <w:spacing w:line="360" w:lineRule="auto"/>
        <w:jc w:val="both"/>
        <w:rPr>
          <w:rFonts w:ascii="Arial" w:hAnsi="Arial" w:cs="Arial"/>
          <w:sz w:val="24"/>
          <w:szCs w:val="24"/>
          <w:lang w:val="en-US"/>
        </w:rPr>
      </w:pPr>
    </w:p>
    <w:tbl>
      <w:tblPr>
        <w:tblStyle w:val="TableGridLight"/>
        <w:tblW w:w="0" w:type="auto"/>
        <w:tblLook w:val="04A0" w:firstRow="1" w:lastRow="0" w:firstColumn="1" w:lastColumn="0" w:noHBand="0" w:noVBand="1"/>
      </w:tblPr>
      <w:tblGrid>
        <w:gridCol w:w="8613"/>
        <w:gridCol w:w="629"/>
      </w:tblGrid>
      <w:tr w:rsidR="00480789" w:rsidTr="00750248">
        <w:tc>
          <w:tcPr>
            <w:tcW w:w="8613" w:type="dxa"/>
          </w:tcPr>
          <w:p w:rsidR="00480789" w:rsidRDefault="00B41E7B" w:rsidP="00750248">
            <w:pPr>
              <w:pStyle w:val="NoSpacing"/>
              <w:spacing w:line="360" w:lineRule="auto"/>
              <w:jc w:val="both"/>
              <w:rPr>
                <w:rFonts w:ascii="Arial" w:hAnsi="Arial" w:cs="Arial"/>
                <w:sz w:val="24"/>
                <w:szCs w:val="24"/>
                <w:lang w:val="en-US"/>
              </w:rPr>
            </w:pPr>
            <w:r>
              <w:rPr>
                <w:rFonts w:ascii="Arial" w:hAnsi="Arial" w:cs="Arial"/>
                <w:sz w:val="24"/>
                <w:szCs w:val="24"/>
                <w:lang w:val="en-US"/>
              </w:rPr>
              <w:t>S</w:t>
            </w:r>
            <w:r w:rsidR="00750248">
              <w:rPr>
                <w:rFonts w:ascii="Arial" w:hAnsi="Arial" w:cs="Arial"/>
                <w:sz w:val="24"/>
                <w:szCs w:val="24"/>
                <w:lang w:val="en-US"/>
              </w:rPr>
              <w:t xml:space="preserve">ection </w:t>
            </w:r>
            <w:r>
              <w:rPr>
                <w:rFonts w:ascii="Arial" w:hAnsi="Arial" w:cs="Arial"/>
                <w:sz w:val="24"/>
                <w:szCs w:val="24"/>
                <w:lang w:val="en-US"/>
              </w:rPr>
              <w:t xml:space="preserve">1: Original </w:t>
            </w:r>
            <w:r>
              <w:rPr>
                <w:rFonts w:ascii="Arial" w:hAnsi="Arial" w:cs="Arial"/>
                <w:sz w:val="24"/>
                <w:szCs w:val="24"/>
                <w:vertAlign w:val="superscript"/>
                <w:lang w:val="en-US"/>
              </w:rPr>
              <w:t>1</w:t>
            </w:r>
            <w:r>
              <w:rPr>
                <w:rFonts w:ascii="Arial" w:hAnsi="Arial" w:cs="Arial"/>
                <w:sz w:val="24"/>
                <w:szCs w:val="24"/>
                <w:lang w:val="en-US"/>
              </w:rPr>
              <w:t xml:space="preserve">H-NMR spectral data for intervention </w:t>
            </w:r>
            <w:r>
              <w:rPr>
                <w:rFonts w:ascii="Arial" w:hAnsi="Arial" w:cs="Arial"/>
                <w:sz w:val="24"/>
                <w:szCs w:val="24"/>
                <w:lang w:val="en-US"/>
              </w:rPr>
              <w:t>1</w:t>
            </w:r>
          </w:p>
        </w:tc>
        <w:tc>
          <w:tcPr>
            <w:tcW w:w="629" w:type="dxa"/>
          </w:tcPr>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3</w:t>
            </w:r>
          </w:p>
        </w:tc>
      </w:tr>
      <w:tr w:rsidR="00480789" w:rsidTr="00750248">
        <w:tc>
          <w:tcPr>
            <w:tcW w:w="8613" w:type="dxa"/>
          </w:tcPr>
          <w:p w:rsidR="00480789" w:rsidRDefault="00750248" w:rsidP="00750248">
            <w:pPr>
              <w:pStyle w:val="NoSpacing"/>
              <w:spacing w:line="360" w:lineRule="auto"/>
              <w:rPr>
                <w:rFonts w:ascii="Arial" w:hAnsi="Arial" w:cs="Arial"/>
                <w:sz w:val="24"/>
                <w:szCs w:val="24"/>
                <w:lang w:val="en-US"/>
              </w:rPr>
            </w:pPr>
            <w:r>
              <w:rPr>
                <w:rFonts w:ascii="Arial" w:hAnsi="Arial" w:cs="Arial"/>
                <w:sz w:val="24"/>
                <w:szCs w:val="24"/>
                <w:lang w:val="en-US"/>
              </w:rPr>
              <w:t xml:space="preserve">Section </w:t>
            </w:r>
            <w:r w:rsidR="00B41E7B">
              <w:rPr>
                <w:rFonts w:ascii="Arial" w:hAnsi="Arial" w:cs="Arial"/>
                <w:sz w:val="24"/>
                <w:szCs w:val="24"/>
                <w:lang w:val="en-US"/>
              </w:rPr>
              <w:t>2: Threshold value and normalization</w:t>
            </w:r>
          </w:p>
        </w:tc>
        <w:tc>
          <w:tcPr>
            <w:tcW w:w="629" w:type="dxa"/>
          </w:tcPr>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4</w:t>
            </w:r>
          </w:p>
        </w:tc>
      </w:tr>
      <w:tr w:rsidR="00480789" w:rsidTr="00750248">
        <w:tc>
          <w:tcPr>
            <w:tcW w:w="8613" w:type="dxa"/>
          </w:tcPr>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S</w:t>
            </w:r>
            <w:r w:rsidR="00750248">
              <w:rPr>
                <w:rFonts w:ascii="Arial" w:hAnsi="Arial" w:cs="Arial"/>
                <w:sz w:val="24"/>
                <w:szCs w:val="24"/>
                <w:lang w:val="en-US"/>
              </w:rPr>
              <w:t xml:space="preserve">ection </w:t>
            </w:r>
            <w:r>
              <w:rPr>
                <w:rFonts w:ascii="Arial" w:hAnsi="Arial" w:cs="Arial"/>
                <w:sz w:val="24"/>
                <w:szCs w:val="24"/>
                <w:lang w:val="en-US"/>
              </w:rPr>
              <w:t>3: Data pre-processing and statistical analysis</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ab/>
              <w:t>S</w:t>
            </w:r>
            <w:r w:rsidR="00750248">
              <w:rPr>
                <w:rFonts w:ascii="Arial" w:hAnsi="Arial" w:cs="Arial"/>
                <w:sz w:val="24"/>
                <w:szCs w:val="24"/>
                <w:lang w:val="en-US"/>
              </w:rPr>
              <w:t xml:space="preserve">ection </w:t>
            </w:r>
            <w:r>
              <w:rPr>
                <w:rFonts w:ascii="Arial" w:hAnsi="Arial" w:cs="Arial"/>
                <w:sz w:val="24"/>
                <w:szCs w:val="24"/>
                <w:lang w:val="en-US"/>
              </w:rPr>
              <w:t>3.1: Ca</w:t>
            </w:r>
            <w:r>
              <w:rPr>
                <w:rFonts w:ascii="Arial" w:hAnsi="Arial" w:cs="Arial"/>
                <w:sz w:val="24"/>
                <w:szCs w:val="24"/>
                <w:lang w:val="en-US"/>
              </w:rPr>
              <w:t>se reduction</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ab/>
              <w:t>S</w:t>
            </w:r>
            <w:r w:rsidR="00750248">
              <w:rPr>
                <w:rFonts w:ascii="Arial" w:hAnsi="Arial" w:cs="Arial"/>
                <w:sz w:val="24"/>
                <w:szCs w:val="24"/>
                <w:lang w:val="en-US"/>
              </w:rPr>
              <w:t xml:space="preserve">ection </w:t>
            </w:r>
            <w:r>
              <w:rPr>
                <w:rFonts w:ascii="Arial" w:hAnsi="Arial" w:cs="Arial"/>
                <w:sz w:val="24"/>
                <w:szCs w:val="24"/>
                <w:lang w:val="en-US"/>
              </w:rPr>
              <w:t>3.2: Data transformation and scaling</w:t>
            </w:r>
          </w:p>
          <w:p w:rsidR="00480789" w:rsidRDefault="00B41E7B">
            <w:pPr>
              <w:pStyle w:val="NoSpacing"/>
              <w:spacing w:line="360" w:lineRule="auto"/>
              <w:ind w:left="720"/>
              <w:jc w:val="both"/>
              <w:rPr>
                <w:rFonts w:ascii="Arial" w:hAnsi="Arial" w:cs="Arial"/>
                <w:sz w:val="24"/>
                <w:szCs w:val="24"/>
                <w:lang w:val="en-US"/>
              </w:rPr>
            </w:pPr>
            <w:r>
              <w:rPr>
                <w:rFonts w:ascii="Arial" w:hAnsi="Arial" w:cs="Arial"/>
                <w:sz w:val="24"/>
                <w:szCs w:val="24"/>
                <w:lang w:val="en-US"/>
              </w:rPr>
              <w:t>S</w:t>
            </w:r>
            <w:r w:rsidR="00750248">
              <w:rPr>
                <w:rFonts w:ascii="Arial" w:hAnsi="Arial" w:cs="Arial"/>
                <w:sz w:val="24"/>
                <w:szCs w:val="24"/>
                <w:lang w:val="en-US"/>
              </w:rPr>
              <w:t xml:space="preserve">ection </w:t>
            </w:r>
            <w:r>
              <w:rPr>
                <w:rFonts w:ascii="Arial" w:hAnsi="Arial" w:cs="Arial"/>
                <w:sz w:val="24"/>
                <w:szCs w:val="24"/>
                <w:lang w:val="en-US"/>
              </w:rPr>
              <w:t>3.3: Cross-sectional analysis</w:t>
            </w:r>
          </w:p>
          <w:p w:rsidR="00480789" w:rsidRDefault="00B41E7B">
            <w:pPr>
              <w:pStyle w:val="NoSpacing"/>
              <w:spacing w:line="360" w:lineRule="auto"/>
              <w:jc w:val="both"/>
              <w:rPr>
                <w:rFonts w:ascii="Arial" w:hAnsi="Arial" w:cs="Arial"/>
                <w:bCs/>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bCs/>
                <w:sz w:val="24"/>
                <w:szCs w:val="24"/>
                <w:lang w:val="en-US"/>
              </w:rPr>
              <w:t>S</w:t>
            </w:r>
            <w:r w:rsidR="00750248">
              <w:rPr>
                <w:rFonts w:ascii="Arial" w:hAnsi="Arial" w:cs="Arial"/>
                <w:bCs/>
                <w:sz w:val="24"/>
                <w:szCs w:val="24"/>
                <w:lang w:val="en-US"/>
              </w:rPr>
              <w:t xml:space="preserve">ection </w:t>
            </w:r>
            <w:r>
              <w:rPr>
                <w:rFonts w:ascii="Arial" w:hAnsi="Arial" w:cs="Arial"/>
                <w:bCs/>
                <w:sz w:val="24"/>
                <w:szCs w:val="24"/>
                <w:lang w:val="en-US"/>
              </w:rPr>
              <w:t>3.3.1: Univariate analysis</w:t>
            </w:r>
          </w:p>
          <w:p w:rsidR="00480789" w:rsidRDefault="00B41E7B">
            <w:pPr>
              <w:pStyle w:val="NoSpacing"/>
              <w:spacing w:line="360" w:lineRule="auto"/>
              <w:jc w:val="both"/>
              <w:rPr>
                <w:rFonts w:ascii="Arial" w:hAnsi="Arial" w:cs="Arial"/>
                <w:bCs/>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bCs/>
                <w:sz w:val="24"/>
                <w:szCs w:val="24"/>
                <w:lang w:val="en-US"/>
              </w:rPr>
              <w:t>S</w:t>
            </w:r>
            <w:r w:rsidR="00750248">
              <w:rPr>
                <w:rFonts w:ascii="Arial" w:hAnsi="Arial" w:cs="Arial"/>
                <w:bCs/>
                <w:sz w:val="24"/>
                <w:szCs w:val="24"/>
                <w:lang w:val="en-US"/>
              </w:rPr>
              <w:t xml:space="preserve">ection </w:t>
            </w:r>
            <w:r>
              <w:rPr>
                <w:rFonts w:ascii="Arial" w:hAnsi="Arial" w:cs="Arial"/>
                <w:bCs/>
                <w:sz w:val="24"/>
                <w:szCs w:val="24"/>
                <w:lang w:val="en-US"/>
              </w:rPr>
              <w:t>3.3.2: Multivariate analysis</w:t>
            </w:r>
          </w:p>
          <w:p w:rsidR="00480789" w:rsidRDefault="00B41E7B">
            <w:pPr>
              <w:pStyle w:val="NoSpacing"/>
              <w:spacing w:line="360" w:lineRule="auto"/>
              <w:jc w:val="both"/>
              <w:rPr>
                <w:rFonts w:ascii="Arial" w:hAnsi="Arial" w:cs="Arial"/>
                <w:bCs/>
                <w:sz w:val="24"/>
                <w:szCs w:val="24"/>
                <w:lang w:val="en-US"/>
              </w:rPr>
            </w:pPr>
            <w:r>
              <w:rPr>
                <w:rFonts w:ascii="Arial" w:hAnsi="Arial" w:cs="Arial"/>
                <w:sz w:val="24"/>
                <w:szCs w:val="24"/>
                <w:lang w:val="en-US"/>
              </w:rPr>
              <w:tab/>
              <w:t>S</w:t>
            </w:r>
            <w:r w:rsidR="00750248">
              <w:rPr>
                <w:rFonts w:ascii="Arial" w:hAnsi="Arial" w:cs="Arial"/>
                <w:sz w:val="24"/>
                <w:szCs w:val="24"/>
                <w:lang w:val="en-US"/>
              </w:rPr>
              <w:t xml:space="preserve">ection </w:t>
            </w:r>
            <w:r>
              <w:rPr>
                <w:rFonts w:ascii="Arial" w:hAnsi="Arial" w:cs="Arial"/>
                <w:sz w:val="24"/>
                <w:szCs w:val="24"/>
                <w:lang w:val="en-US"/>
              </w:rPr>
              <w:t xml:space="preserve">3.4: </w:t>
            </w:r>
            <w:r>
              <w:rPr>
                <w:rFonts w:ascii="Arial" w:hAnsi="Arial" w:cs="Arial"/>
                <w:bCs/>
                <w:sz w:val="24"/>
                <w:szCs w:val="24"/>
                <w:lang w:val="en-US"/>
              </w:rPr>
              <w:t>RM ANOVA</w:t>
            </w:r>
          </w:p>
          <w:p w:rsidR="00480789" w:rsidRDefault="00B41E7B">
            <w:pPr>
              <w:pStyle w:val="NoSpacing"/>
              <w:spacing w:line="360" w:lineRule="auto"/>
              <w:jc w:val="both"/>
              <w:rPr>
                <w:rFonts w:ascii="Arial" w:hAnsi="Arial" w:cs="Arial"/>
                <w:bCs/>
                <w:sz w:val="24"/>
                <w:szCs w:val="24"/>
                <w:lang w:val="en-US"/>
              </w:rPr>
            </w:pPr>
            <w:r>
              <w:rPr>
                <w:rFonts w:ascii="Arial" w:hAnsi="Arial" w:cs="Arial"/>
                <w:sz w:val="24"/>
                <w:szCs w:val="24"/>
                <w:lang w:val="en-US"/>
              </w:rPr>
              <w:tab/>
            </w:r>
            <w:r>
              <w:rPr>
                <w:rFonts w:ascii="Arial" w:hAnsi="Arial" w:cs="Arial"/>
                <w:bCs/>
                <w:sz w:val="24"/>
                <w:szCs w:val="24"/>
                <w:lang w:val="en-US"/>
              </w:rPr>
              <w:t>S</w:t>
            </w:r>
            <w:r w:rsidR="00750248">
              <w:rPr>
                <w:rFonts w:ascii="Arial" w:hAnsi="Arial" w:cs="Arial"/>
                <w:bCs/>
                <w:sz w:val="24"/>
                <w:szCs w:val="24"/>
                <w:lang w:val="en-US"/>
              </w:rPr>
              <w:t xml:space="preserve">ection </w:t>
            </w:r>
            <w:r>
              <w:rPr>
                <w:rFonts w:ascii="Arial" w:hAnsi="Arial" w:cs="Arial"/>
                <w:bCs/>
                <w:sz w:val="24"/>
                <w:szCs w:val="24"/>
                <w:lang w:val="en-US"/>
              </w:rPr>
              <w:t>3.5: Unfolded PCA</w:t>
            </w:r>
          </w:p>
          <w:p w:rsidR="00480789" w:rsidRDefault="00B41E7B" w:rsidP="00750248">
            <w:pPr>
              <w:pStyle w:val="NoSpacing"/>
              <w:spacing w:line="360" w:lineRule="auto"/>
              <w:jc w:val="both"/>
              <w:rPr>
                <w:rFonts w:ascii="Arial" w:hAnsi="Arial" w:cs="Arial"/>
                <w:sz w:val="24"/>
                <w:szCs w:val="24"/>
                <w:lang w:val="en-US"/>
              </w:rPr>
            </w:pPr>
            <w:r>
              <w:rPr>
                <w:rFonts w:ascii="Arial" w:hAnsi="Arial" w:cs="Arial"/>
                <w:sz w:val="24"/>
                <w:szCs w:val="24"/>
                <w:lang w:val="en-US"/>
              </w:rPr>
              <w:tab/>
            </w:r>
            <w:r>
              <w:rPr>
                <w:rFonts w:ascii="Arial" w:hAnsi="Arial" w:cs="Arial"/>
                <w:bCs/>
                <w:sz w:val="24"/>
                <w:szCs w:val="24"/>
                <w:lang w:val="en-US"/>
              </w:rPr>
              <w:t>S</w:t>
            </w:r>
            <w:r w:rsidR="00750248">
              <w:rPr>
                <w:rFonts w:ascii="Arial" w:hAnsi="Arial" w:cs="Arial"/>
                <w:bCs/>
                <w:sz w:val="24"/>
                <w:szCs w:val="24"/>
                <w:lang w:val="en-US"/>
              </w:rPr>
              <w:t xml:space="preserve">ection </w:t>
            </w:r>
            <w:r>
              <w:rPr>
                <w:rFonts w:ascii="Arial" w:hAnsi="Arial" w:cs="Arial"/>
                <w:bCs/>
                <w:sz w:val="24"/>
                <w:szCs w:val="24"/>
                <w:lang w:val="en-US"/>
              </w:rPr>
              <w:t>3.6: ASCA</w:t>
            </w:r>
          </w:p>
        </w:tc>
        <w:tc>
          <w:tcPr>
            <w:tcW w:w="629" w:type="dxa"/>
          </w:tcPr>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4</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5</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7</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7</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7</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9</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14</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15</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16</w:t>
            </w:r>
          </w:p>
        </w:tc>
      </w:tr>
      <w:tr w:rsidR="00480789" w:rsidTr="00750248">
        <w:tc>
          <w:tcPr>
            <w:tcW w:w="8613" w:type="dxa"/>
          </w:tcPr>
          <w:p w:rsidR="00480789" w:rsidRDefault="00B41E7B">
            <w:pPr>
              <w:pStyle w:val="NoSpacing"/>
              <w:spacing w:line="360" w:lineRule="auto"/>
              <w:ind w:left="720"/>
              <w:jc w:val="both"/>
              <w:rPr>
                <w:rFonts w:ascii="Arial" w:hAnsi="Arial" w:cs="Arial"/>
                <w:sz w:val="24"/>
                <w:szCs w:val="24"/>
                <w:lang w:val="en-US"/>
              </w:rPr>
            </w:pPr>
            <w:r>
              <w:rPr>
                <w:rFonts w:ascii="Arial" w:hAnsi="Arial" w:cs="Arial"/>
                <w:sz w:val="24"/>
                <w:szCs w:val="24"/>
                <w:lang w:val="en-US"/>
              </w:rPr>
              <w:t>S</w:t>
            </w:r>
            <w:r w:rsidR="00750248">
              <w:rPr>
                <w:rFonts w:ascii="Arial" w:hAnsi="Arial" w:cs="Arial"/>
                <w:sz w:val="24"/>
                <w:szCs w:val="24"/>
                <w:lang w:val="en-US"/>
              </w:rPr>
              <w:t xml:space="preserve">ection </w:t>
            </w:r>
            <w:r>
              <w:rPr>
                <w:rFonts w:ascii="Arial" w:hAnsi="Arial" w:cs="Arial"/>
                <w:sz w:val="24"/>
                <w:szCs w:val="24"/>
                <w:lang w:val="en-US"/>
              </w:rPr>
              <w:t>3.7: Graphs on excretion kinetics</w:t>
            </w:r>
          </w:p>
          <w:p w:rsidR="00480789" w:rsidRDefault="00B41E7B">
            <w:pPr>
              <w:pStyle w:val="NoSpacing"/>
              <w:spacing w:line="360" w:lineRule="auto"/>
              <w:ind w:left="709"/>
              <w:jc w:val="both"/>
              <w:rPr>
                <w:rFonts w:ascii="Arial" w:hAnsi="Arial" w:cs="Arial"/>
                <w:sz w:val="24"/>
                <w:szCs w:val="24"/>
                <w:lang w:val="en-US"/>
              </w:rPr>
            </w:pPr>
            <w:r>
              <w:rPr>
                <w:rFonts w:ascii="Arial" w:hAnsi="Arial" w:cs="Arial"/>
                <w:sz w:val="24"/>
                <w:szCs w:val="24"/>
                <w:lang w:val="en-US"/>
              </w:rPr>
              <w:t>S</w:t>
            </w:r>
            <w:r w:rsidR="00750248">
              <w:rPr>
                <w:rFonts w:ascii="Arial" w:hAnsi="Arial" w:cs="Arial"/>
                <w:sz w:val="24"/>
                <w:szCs w:val="24"/>
                <w:lang w:val="en-US"/>
              </w:rPr>
              <w:t xml:space="preserve">ection </w:t>
            </w:r>
            <w:r>
              <w:rPr>
                <w:rFonts w:ascii="Arial" w:hAnsi="Arial" w:cs="Arial"/>
                <w:sz w:val="24"/>
                <w:szCs w:val="24"/>
                <w:lang w:val="en-US"/>
              </w:rPr>
              <w:t>3.8: NMR spectra on the excretion of six substances</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S</w:t>
            </w:r>
            <w:r w:rsidR="00750248">
              <w:rPr>
                <w:rFonts w:ascii="Arial" w:hAnsi="Arial" w:cs="Arial"/>
                <w:sz w:val="24"/>
                <w:szCs w:val="24"/>
                <w:lang w:val="en-US"/>
              </w:rPr>
              <w:t xml:space="preserve">ection </w:t>
            </w:r>
            <w:r>
              <w:rPr>
                <w:rFonts w:ascii="Arial" w:hAnsi="Arial" w:cs="Arial"/>
                <w:sz w:val="24"/>
                <w:szCs w:val="24"/>
                <w:lang w:val="en-US"/>
              </w:rPr>
              <w:t>4: NMR analysis on guanidinoacetic acid</w:t>
            </w:r>
            <w:r>
              <w:rPr>
                <w:rFonts w:ascii="Arial" w:hAnsi="Arial" w:cs="Arial"/>
                <w:sz w:val="24"/>
                <w:szCs w:val="24"/>
                <w:lang w:val="en-US"/>
              </w:rPr>
              <w:t xml:space="preserve"> </w:t>
            </w:r>
          </w:p>
          <w:p w:rsidR="00480789" w:rsidRDefault="00480789">
            <w:pPr>
              <w:pStyle w:val="NoSpacing"/>
              <w:spacing w:line="360" w:lineRule="auto"/>
              <w:jc w:val="both"/>
              <w:rPr>
                <w:rFonts w:ascii="Arial" w:hAnsi="Arial" w:cs="Arial"/>
                <w:sz w:val="24"/>
                <w:szCs w:val="24"/>
                <w:lang w:val="en-US"/>
              </w:rPr>
            </w:pPr>
          </w:p>
        </w:tc>
        <w:tc>
          <w:tcPr>
            <w:tcW w:w="629" w:type="dxa"/>
          </w:tcPr>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18</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19</w:t>
            </w:r>
          </w:p>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20</w:t>
            </w:r>
          </w:p>
          <w:p w:rsidR="00480789" w:rsidRDefault="00480789">
            <w:pPr>
              <w:pStyle w:val="NoSpacing"/>
              <w:spacing w:line="360" w:lineRule="auto"/>
              <w:jc w:val="both"/>
              <w:rPr>
                <w:rFonts w:ascii="Arial" w:hAnsi="Arial" w:cs="Arial"/>
                <w:sz w:val="24"/>
                <w:szCs w:val="24"/>
                <w:lang w:val="en-US"/>
              </w:rPr>
            </w:pPr>
          </w:p>
        </w:tc>
      </w:tr>
      <w:tr w:rsidR="00480789" w:rsidTr="00750248">
        <w:tc>
          <w:tcPr>
            <w:tcW w:w="8613" w:type="dxa"/>
          </w:tcPr>
          <w:p w:rsidR="00480789" w:rsidRDefault="00B41E7B" w:rsidP="00750248">
            <w:pPr>
              <w:pStyle w:val="NoSpacing"/>
              <w:spacing w:line="360" w:lineRule="auto"/>
              <w:jc w:val="both"/>
              <w:rPr>
                <w:rFonts w:ascii="Arial" w:hAnsi="Arial" w:cs="Arial"/>
                <w:sz w:val="24"/>
                <w:szCs w:val="24"/>
                <w:lang w:val="en-US"/>
              </w:rPr>
            </w:pPr>
            <w:r>
              <w:rPr>
                <w:rFonts w:ascii="Arial" w:hAnsi="Arial" w:cs="Arial"/>
                <w:sz w:val="24"/>
                <w:szCs w:val="24"/>
                <w:lang w:val="en-US"/>
              </w:rPr>
              <w:t>References</w:t>
            </w:r>
          </w:p>
        </w:tc>
        <w:tc>
          <w:tcPr>
            <w:tcW w:w="629" w:type="dxa"/>
          </w:tcPr>
          <w:p w:rsidR="00480789" w:rsidRDefault="00B41E7B">
            <w:pPr>
              <w:pStyle w:val="NoSpacing"/>
              <w:spacing w:line="360" w:lineRule="auto"/>
              <w:jc w:val="both"/>
              <w:rPr>
                <w:rFonts w:ascii="Arial" w:hAnsi="Arial" w:cs="Arial"/>
                <w:sz w:val="24"/>
                <w:szCs w:val="24"/>
                <w:lang w:val="en-US"/>
              </w:rPr>
            </w:pPr>
            <w:r>
              <w:rPr>
                <w:rFonts w:ascii="Arial" w:hAnsi="Arial" w:cs="Arial"/>
                <w:sz w:val="24"/>
                <w:szCs w:val="24"/>
                <w:lang w:val="en-US"/>
              </w:rPr>
              <w:t>22</w:t>
            </w:r>
          </w:p>
        </w:tc>
      </w:tr>
    </w:tbl>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br w:type="page"/>
      </w:r>
    </w:p>
    <w:p w:rsidR="00480789" w:rsidRDefault="00B41E7B" w:rsidP="00750248">
      <w:pPr>
        <w:spacing w:line="360" w:lineRule="auto"/>
        <w:jc w:val="both"/>
        <w:rPr>
          <w:rFonts w:ascii="Arial" w:hAnsi="Arial" w:cs="Arial"/>
          <w:sz w:val="36"/>
          <w:szCs w:val="36"/>
          <w:lang w:val="en-US"/>
        </w:rPr>
      </w:pPr>
      <w:r>
        <w:rPr>
          <w:rFonts w:ascii="Arial" w:hAnsi="Arial" w:cs="Arial"/>
          <w:b/>
          <w:sz w:val="36"/>
          <w:szCs w:val="36"/>
          <w:lang w:val="en-US"/>
        </w:rPr>
        <w:lastRenderedPageBreak/>
        <w:t>S</w:t>
      </w:r>
      <w:r w:rsidR="00750248">
        <w:rPr>
          <w:rFonts w:ascii="Arial" w:hAnsi="Arial" w:cs="Arial"/>
          <w:b/>
          <w:sz w:val="36"/>
          <w:szCs w:val="36"/>
          <w:lang w:val="en-US"/>
        </w:rPr>
        <w:t xml:space="preserve">ection </w:t>
      </w:r>
      <w:r>
        <w:rPr>
          <w:rFonts w:ascii="Arial" w:hAnsi="Arial" w:cs="Arial"/>
          <w:b/>
          <w:sz w:val="36"/>
          <w:szCs w:val="36"/>
          <w:lang w:val="en-US"/>
        </w:rPr>
        <w:t xml:space="preserve">1 Original </w:t>
      </w:r>
      <w:r>
        <w:rPr>
          <w:rFonts w:ascii="Arial" w:hAnsi="Arial" w:cs="Arial"/>
          <w:b/>
          <w:sz w:val="36"/>
          <w:szCs w:val="36"/>
          <w:vertAlign w:val="superscript"/>
          <w:lang w:val="en-US"/>
        </w:rPr>
        <w:t>1</w:t>
      </w:r>
      <w:r>
        <w:rPr>
          <w:rFonts w:ascii="Arial" w:hAnsi="Arial" w:cs="Arial"/>
          <w:b/>
          <w:sz w:val="36"/>
          <w:szCs w:val="36"/>
          <w:lang w:val="en-US"/>
        </w:rPr>
        <w:t>H-NMR spectral data for intervention 1</w:t>
      </w:r>
    </w:p>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t>Intervention 1 refers to consumption of flavored water only – the cause of the b</w:t>
      </w:r>
      <w:r>
        <w:rPr>
          <w:rFonts w:ascii="Arial" w:hAnsi="Arial" w:cs="Arial"/>
          <w:sz w:val="24"/>
          <w:szCs w:val="24"/>
          <w:lang w:val="en-US"/>
        </w:rPr>
        <w:t>enzoic acid biotransformation described in the main paper. The data include urine samples from the 23 experimental cases that completed the study, yielding a total of 138 study samples. The original design was based on 24 cases (individual subjects), altho</w:t>
      </w:r>
      <w:r>
        <w:rPr>
          <w:rFonts w:ascii="Arial" w:hAnsi="Arial" w:cs="Arial"/>
          <w:sz w:val="24"/>
          <w:szCs w:val="24"/>
          <w:lang w:val="en-US"/>
        </w:rPr>
        <w:t xml:space="preserve">ugh one did not participate in the flavored water experiment. The original </w:t>
      </w:r>
      <w:r>
        <w:rPr>
          <w:rFonts w:ascii="Arial" w:hAnsi="Arial" w:cs="Arial"/>
          <w:sz w:val="24"/>
          <w:szCs w:val="24"/>
          <w:vertAlign w:val="superscript"/>
          <w:lang w:val="en-US"/>
        </w:rPr>
        <w:t>1</w:t>
      </w:r>
      <w:r>
        <w:rPr>
          <w:rFonts w:ascii="Arial" w:hAnsi="Arial" w:cs="Arial"/>
          <w:sz w:val="24"/>
          <w:szCs w:val="24"/>
          <w:lang w:val="en-US"/>
        </w:rPr>
        <w:t>H-NMR spectrum of each of the urine samples analyzed was divided into 0.02-ppm equal-sized bins between 0.5 and 10 ppm, excluding the region of the water peak (4.72–4.88 ppm). This</w:t>
      </w:r>
      <w:r>
        <w:rPr>
          <w:rFonts w:ascii="Arial" w:hAnsi="Arial" w:cs="Arial"/>
          <w:sz w:val="24"/>
          <w:szCs w:val="24"/>
          <w:lang w:val="en-US"/>
        </w:rPr>
        <w:t xml:space="preserve"> resulted in 467 bins containing spectral data. The original, raw spectral data matrix of all the samples from the vehicle intervention analyzed for this study is given as an electronic file in Excel format (S2 File: CI_unscaled raw vehicle data.xlsx). Tab</w:t>
      </w:r>
      <w:r>
        <w:rPr>
          <w:rFonts w:ascii="Arial" w:hAnsi="Arial" w:cs="Arial"/>
          <w:sz w:val="24"/>
          <w:szCs w:val="24"/>
          <w:lang w:val="en-US"/>
        </w:rPr>
        <w:t>le A represents a small extract from this file.</w:t>
      </w:r>
    </w:p>
    <w:tbl>
      <w:tblPr>
        <w:tblpPr w:leftFromText="180" w:rightFromText="180" w:vertAnchor="text" w:horzAnchor="margin" w:tblpXSpec="center" w:tblpY="161"/>
        <w:tblW w:w="978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35"/>
        <w:gridCol w:w="891"/>
        <w:gridCol w:w="657"/>
        <w:gridCol w:w="1183"/>
        <w:gridCol w:w="669"/>
        <w:gridCol w:w="1053"/>
        <w:gridCol w:w="1053"/>
        <w:gridCol w:w="1053"/>
        <w:gridCol w:w="385"/>
        <w:gridCol w:w="1053"/>
        <w:gridCol w:w="1053"/>
      </w:tblGrid>
      <w:tr w:rsidR="00480789">
        <w:trPr>
          <w:trHeight w:val="300"/>
        </w:trPr>
        <w:tc>
          <w:tcPr>
            <w:tcW w:w="735" w:type="dxa"/>
            <w:shd w:val="clear" w:color="auto" w:fill="auto"/>
            <w:noWrap/>
            <w:vAlign w:val="bottom"/>
            <w:hideMark/>
          </w:tcPr>
          <w:p w:rsidR="00480789" w:rsidRDefault="00480789">
            <w:pPr>
              <w:spacing w:line="360" w:lineRule="auto"/>
              <w:jc w:val="both"/>
              <w:rPr>
                <w:rFonts w:ascii="Calibri" w:eastAsia="Times New Roman" w:hAnsi="Calibri" w:cs="Calibri"/>
                <w:b/>
                <w:bCs/>
                <w:color w:val="000000"/>
                <w:lang w:val="en-US" w:eastAsia="en-ZA"/>
              </w:rPr>
            </w:pPr>
          </w:p>
        </w:tc>
        <w:tc>
          <w:tcPr>
            <w:tcW w:w="891" w:type="dxa"/>
            <w:shd w:val="clear" w:color="auto" w:fill="auto"/>
            <w:noWrap/>
            <w:vAlign w:val="bottom"/>
            <w:hideMark/>
          </w:tcPr>
          <w:p w:rsidR="00480789" w:rsidRDefault="00480789">
            <w:pPr>
              <w:spacing w:line="360" w:lineRule="auto"/>
              <w:jc w:val="both"/>
              <w:rPr>
                <w:rFonts w:ascii="Calibri" w:eastAsia="Times New Roman" w:hAnsi="Calibri" w:cs="Calibri"/>
                <w:b/>
                <w:bCs/>
                <w:color w:val="000000"/>
                <w:lang w:val="en-US" w:eastAsia="en-ZA"/>
              </w:rPr>
            </w:pPr>
          </w:p>
        </w:tc>
        <w:tc>
          <w:tcPr>
            <w:tcW w:w="657" w:type="dxa"/>
            <w:shd w:val="clear" w:color="auto" w:fill="auto"/>
            <w:noWrap/>
            <w:vAlign w:val="bottom"/>
            <w:hideMark/>
          </w:tcPr>
          <w:p w:rsidR="00480789" w:rsidRDefault="00480789">
            <w:pPr>
              <w:spacing w:line="360" w:lineRule="auto"/>
              <w:jc w:val="both"/>
              <w:rPr>
                <w:rFonts w:ascii="Calibri" w:eastAsia="Times New Roman" w:hAnsi="Calibri" w:cs="Calibri"/>
                <w:b/>
                <w:bCs/>
                <w:color w:val="000000"/>
                <w:lang w:val="en-US" w:eastAsia="en-ZA"/>
              </w:rPr>
            </w:pPr>
          </w:p>
        </w:tc>
        <w:tc>
          <w:tcPr>
            <w:tcW w:w="1183" w:type="dxa"/>
            <w:shd w:val="clear" w:color="auto" w:fill="auto"/>
            <w:noWrap/>
            <w:vAlign w:val="bottom"/>
            <w:hideMark/>
          </w:tcPr>
          <w:p w:rsidR="00480789" w:rsidRDefault="00480789">
            <w:pPr>
              <w:spacing w:line="360" w:lineRule="auto"/>
              <w:jc w:val="both"/>
              <w:rPr>
                <w:rFonts w:ascii="Calibri" w:eastAsia="Times New Roman" w:hAnsi="Calibri" w:cs="Calibri"/>
                <w:b/>
                <w:bCs/>
                <w:color w:val="000000"/>
                <w:lang w:val="en-US" w:eastAsia="en-ZA"/>
              </w:rPr>
            </w:pP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Bin</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2</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3</w:t>
            </w:r>
          </w:p>
        </w:tc>
        <w:tc>
          <w:tcPr>
            <w:tcW w:w="38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466</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467</w:t>
            </w:r>
          </w:p>
        </w:tc>
      </w:tr>
      <w:tr w:rsidR="00480789">
        <w:trPr>
          <w:trHeight w:val="300"/>
        </w:trPr>
        <w:tc>
          <w:tcPr>
            <w:tcW w:w="735" w:type="dxa"/>
            <w:shd w:val="clear" w:color="auto" w:fill="auto"/>
            <w:noWrap/>
            <w:vAlign w:val="bottom"/>
          </w:tcPr>
          <w:p w:rsidR="00480789" w:rsidRDefault="00480789">
            <w:pPr>
              <w:spacing w:line="360" w:lineRule="auto"/>
              <w:jc w:val="both"/>
              <w:rPr>
                <w:rFonts w:ascii="Calibri" w:eastAsia="Times New Roman" w:hAnsi="Calibri" w:cs="Calibri"/>
                <w:b/>
                <w:bCs/>
                <w:color w:val="000000"/>
                <w:lang w:val="en-US" w:eastAsia="en-ZA"/>
              </w:rPr>
            </w:pPr>
          </w:p>
        </w:tc>
        <w:tc>
          <w:tcPr>
            <w:tcW w:w="891" w:type="dxa"/>
            <w:shd w:val="clear" w:color="auto" w:fill="auto"/>
            <w:noWrap/>
            <w:vAlign w:val="bottom"/>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Sample</w:t>
            </w:r>
          </w:p>
        </w:tc>
        <w:tc>
          <w:tcPr>
            <w:tcW w:w="657" w:type="dxa"/>
            <w:shd w:val="clear" w:color="auto" w:fill="auto"/>
            <w:noWrap/>
            <w:vAlign w:val="bottom"/>
          </w:tcPr>
          <w:p w:rsidR="00480789" w:rsidRDefault="00480789">
            <w:pPr>
              <w:spacing w:line="360" w:lineRule="auto"/>
              <w:jc w:val="both"/>
              <w:rPr>
                <w:rFonts w:ascii="Calibri" w:eastAsia="Times New Roman" w:hAnsi="Calibri" w:cs="Calibri"/>
                <w:b/>
                <w:bCs/>
                <w:color w:val="000000"/>
                <w:lang w:val="en-US" w:eastAsia="en-ZA"/>
              </w:rPr>
            </w:pPr>
          </w:p>
        </w:tc>
        <w:tc>
          <w:tcPr>
            <w:tcW w:w="1183" w:type="dxa"/>
            <w:shd w:val="clear" w:color="auto" w:fill="auto"/>
            <w:noWrap/>
            <w:vAlign w:val="bottom"/>
          </w:tcPr>
          <w:p w:rsidR="00480789" w:rsidRDefault="00480789">
            <w:pPr>
              <w:spacing w:line="360" w:lineRule="auto"/>
              <w:jc w:val="both"/>
              <w:rPr>
                <w:rFonts w:ascii="Calibri" w:eastAsia="Times New Roman" w:hAnsi="Calibri" w:cs="Calibri"/>
                <w:b/>
                <w:bCs/>
                <w:color w:val="000000"/>
                <w:lang w:val="en-US" w:eastAsia="en-ZA"/>
              </w:rPr>
            </w:pPr>
          </w:p>
        </w:tc>
        <w:tc>
          <w:tcPr>
            <w:tcW w:w="669" w:type="dxa"/>
            <w:shd w:val="clear" w:color="auto" w:fill="auto"/>
            <w:noWrap/>
            <w:vAlign w:val="bottom"/>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No.</w:t>
            </w:r>
          </w:p>
        </w:tc>
        <w:tc>
          <w:tcPr>
            <w:tcW w:w="1053" w:type="dxa"/>
            <w:shd w:val="clear" w:color="auto" w:fill="auto"/>
            <w:noWrap/>
            <w:vAlign w:val="bottom"/>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9.99</w:t>
            </w:r>
          </w:p>
        </w:tc>
        <w:tc>
          <w:tcPr>
            <w:tcW w:w="1053" w:type="dxa"/>
            <w:shd w:val="clear" w:color="auto" w:fill="auto"/>
            <w:noWrap/>
            <w:vAlign w:val="bottom"/>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9.97</w:t>
            </w:r>
          </w:p>
        </w:tc>
        <w:tc>
          <w:tcPr>
            <w:tcW w:w="1053" w:type="dxa"/>
            <w:shd w:val="clear" w:color="auto" w:fill="auto"/>
            <w:noWrap/>
            <w:vAlign w:val="bottom"/>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9.95</w:t>
            </w:r>
          </w:p>
        </w:tc>
        <w:tc>
          <w:tcPr>
            <w:tcW w:w="385" w:type="dxa"/>
            <w:shd w:val="clear" w:color="auto" w:fill="auto"/>
            <w:noWrap/>
            <w:vAlign w:val="bottom"/>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w:t>
            </w:r>
          </w:p>
        </w:tc>
        <w:tc>
          <w:tcPr>
            <w:tcW w:w="1053" w:type="dxa"/>
            <w:shd w:val="clear" w:color="auto" w:fill="auto"/>
            <w:noWrap/>
            <w:vAlign w:val="bottom"/>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0.53</w:t>
            </w:r>
          </w:p>
        </w:tc>
        <w:tc>
          <w:tcPr>
            <w:tcW w:w="1053" w:type="dxa"/>
            <w:shd w:val="clear" w:color="auto" w:fill="auto"/>
            <w:noWrap/>
            <w:vAlign w:val="bottom"/>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0.51</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Batch</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name</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Case</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Treatment</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b/>
                <w:bCs/>
                <w:color w:val="000000"/>
                <w:lang w:val="en-US" w:eastAsia="en-ZA"/>
              </w:rPr>
            </w:pPr>
            <w:r>
              <w:rPr>
                <w:rFonts w:ascii="Calibri" w:eastAsia="Times New Roman" w:hAnsi="Calibri" w:cs="Calibri"/>
                <w:b/>
                <w:bCs/>
                <w:color w:val="000000"/>
                <w:lang w:val="en-US" w:eastAsia="en-ZA"/>
              </w:rPr>
              <w:t>Time</w:t>
            </w:r>
          </w:p>
        </w:tc>
        <w:tc>
          <w:tcPr>
            <w:tcW w:w="1053" w:type="dxa"/>
            <w:shd w:val="clear" w:color="auto" w:fill="auto"/>
            <w:noWrap/>
            <w:vAlign w:val="bottom"/>
          </w:tcPr>
          <w:p w:rsidR="00480789" w:rsidRDefault="00480789">
            <w:pPr>
              <w:spacing w:line="360" w:lineRule="auto"/>
              <w:jc w:val="both"/>
              <w:rPr>
                <w:rFonts w:ascii="Calibri" w:eastAsia="Times New Roman" w:hAnsi="Calibri" w:cs="Calibri"/>
                <w:b/>
                <w:bCs/>
                <w:color w:val="000000"/>
                <w:lang w:val="en-US" w:eastAsia="en-ZA"/>
              </w:rPr>
            </w:pPr>
          </w:p>
        </w:tc>
        <w:tc>
          <w:tcPr>
            <w:tcW w:w="1053" w:type="dxa"/>
            <w:shd w:val="clear" w:color="auto" w:fill="auto"/>
            <w:noWrap/>
            <w:vAlign w:val="bottom"/>
          </w:tcPr>
          <w:p w:rsidR="00480789" w:rsidRDefault="00480789">
            <w:pPr>
              <w:spacing w:line="360" w:lineRule="auto"/>
              <w:jc w:val="both"/>
              <w:rPr>
                <w:rFonts w:ascii="Calibri" w:eastAsia="Times New Roman" w:hAnsi="Calibri" w:cs="Calibri"/>
                <w:b/>
                <w:bCs/>
                <w:color w:val="000000"/>
                <w:lang w:val="en-US" w:eastAsia="en-ZA"/>
              </w:rPr>
            </w:pPr>
          </w:p>
        </w:tc>
        <w:tc>
          <w:tcPr>
            <w:tcW w:w="1053" w:type="dxa"/>
            <w:shd w:val="clear" w:color="auto" w:fill="auto"/>
            <w:noWrap/>
            <w:vAlign w:val="bottom"/>
          </w:tcPr>
          <w:p w:rsidR="00480789" w:rsidRDefault="00480789">
            <w:pPr>
              <w:spacing w:line="360" w:lineRule="auto"/>
              <w:jc w:val="both"/>
              <w:rPr>
                <w:rFonts w:ascii="Calibri" w:eastAsia="Times New Roman" w:hAnsi="Calibri" w:cs="Calibri"/>
                <w:b/>
                <w:bCs/>
                <w:color w:val="000000"/>
                <w:lang w:val="en-US" w:eastAsia="en-ZA"/>
              </w:rPr>
            </w:pPr>
          </w:p>
        </w:tc>
        <w:tc>
          <w:tcPr>
            <w:tcW w:w="385" w:type="dxa"/>
            <w:shd w:val="clear" w:color="auto" w:fill="auto"/>
            <w:noWrap/>
            <w:vAlign w:val="bottom"/>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tcPr>
          <w:p w:rsidR="00480789" w:rsidRDefault="00480789">
            <w:pPr>
              <w:spacing w:line="360" w:lineRule="auto"/>
              <w:jc w:val="both"/>
              <w:rPr>
                <w:rFonts w:ascii="Calibri" w:eastAsia="Times New Roman" w:hAnsi="Calibri" w:cs="Calibri"/>
                <w:b/>
                <w:bCs/>
                <w:color w:val="000000"/>
                <w:lang w:val="en-US" w:eastAsia="en-ZA"/>
              </w:rPr>
            </w:pPr>
          </w:p>
        </w:tc>
        <w:tc>
          <w:tcPr>
            <w:tcW w:w="1053" w:type="dxa"/>
            <w:shd w:val="clear" w:color="auto" w:fill="auto"/>
            <w:noWrap/>
            <w:vAlign w:val="bottom"/>
          </w:tcPr>
          <w:p w:rsidR="00480789" w:rsidRDefault="00480789">
            <w:pPr>
              <w:spacing w:line="360" w:lineRule="auto"/>
              <w:jc w:val="both"/>
              <w:rPr>
                <w:rFonts w:ascii="Calibri" w:eastAsia="Times New Roman" w:hAnsi="Calibri" w:cs="Calibri"/>
                <w:b/>
                <w:bCs/>
                <w:color w:val="000000"/>
                <w:lang w:val="en-US" w:eastAsia="en-ZA"/>
              </w:rPr>
            </w:pP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F41-1</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252890.2</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171823.4</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163215.5</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384216.4</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266010.8</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F410</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0</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151299.1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100954.3</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86908.15</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262467</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216768.2</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F411</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79268.87</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105579.2</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95048.77</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76325.53</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126937.3</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F412</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84927.78</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101751.3</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127028.2</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77872.51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68765.72</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F413</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3</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74747.86</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144056.7</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47937.61</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91158.41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58079.11</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F414</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F</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4</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67488.71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70024.98</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68237.62</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103052</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89226.37</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E51-1</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120268.5</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125437.8</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123530.6</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143314</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122366.1</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E510</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0</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206635.9</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142868.1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112930.5</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198141.4</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156402.8</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E511</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106837.9</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97280.69</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132238.9</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168890.4</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128759.2</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E512</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88524.67</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110966.2</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92268.4</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75853.71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102751.3</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E513</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3</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101023.8</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97107.34</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59599.65</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76011.03</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88203.6</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E514</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E</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4</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134874.8</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93287.56</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67920.9</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182858.7</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85690.59</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3</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G41-1</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G</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183044.6</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110147.5</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92701.17</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368924.5</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308433.9</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3</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G410</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G</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0</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220505.4</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134572.8</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99752.4</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451830.2</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324699.9</w:t>
            </w:r>
          </w:p>
        </w:tc>
      </w:tr>
      <w:tr w:rsidR="00480789">
        <w:trPr>
          <w:trHeight w:val="300"/>
        </w:trPr>
        <w:tc>
          <w:tcPr>
            <w:tcW w:w="735"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3</w:t>
            </w:r>
          </w:p>
        </w:tc>
        <w:tc>
          <w:tcPr>
            <w:tcW w:w="891"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G411</w:t>
            </w:r>
          </w:p>
        </w:tc>
        <w:tc>
          <w:tcPr>
            <w:tcW w:w="657"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G</w:t>
            </w:r>
          </w:p>
        </w:tc>
        <w:tc>
          <w:tcPr>
            <w:tcW w:w="118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Vehicle</w:t>
            </w:r>
          </w:p>
        </w:tc>
        <w:tc>
          <w:tcPr>
            <w:tcW w:w="669"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229915.6</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116229.6</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130475.5</w:t>
            </w:r>
          </w:p>
        </w:tc>
        <w:tc>
          <w:tcPr>
            <w:tcW w:w="385" w:type="dxa"/>
            <w:shd w:val="clear" w:color="auto" w:fill="auto"/>
            <w:noWrap/>
            <w:vAlign w:val="bottom"/>
            <w:hideMark/>
          </w:tcPr>
          <w:p w:rsidR="00480789" w:rsidRDefault="00480789">
            <w:pPr>
              <w:spacing w:line="360" w:lineRule="auto"/>
              <w:jc w:val="both"/>
              <w:rPr>
                <w:rFonts w:ascii="Calibri" w:eastAsia="Times New Roman" w:hAnsi="Calibri" w:cs="Calibri"/>
                <w:color w:val="000000"/>
                <w:lang w:val="en-US" w:eastAsia="en-ZA"/>
              </w:rPr>
            </w:pP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951134.8</w:t>
            </w:r>
          </w:p>
        </w:tc>
        <w:tc>
          <w:tcPr>
            <w:tcW w:w="1053" w:type="dxa"/>
            <w:shd w:val="clear" w:color="auto" w:fill="auto"/>
            <w:noWrap/>
            <w:vAlign w:val="bottom"/>
            <w:hideMark/>
          </w:tcPr>
          <w:p w:rsidR="00480789" w:rsidRDefault="00B41E7B">
            <w:pPr>
              <w:spacing w:line="360" w:lineRule="auto"/>
              <w:jc w:val="both"/>
              <w:rPr>
                <w:rFonts w:ascii="Calibri" w:eastAsia="Times New Roman" w:hAnsi="Calibri" w:cs="Calibri"/>
                <w:color w:val="000000"/>
                <w:lang w:val="en-US" w:eastAsia="en-ZA"/>
              </w:rPr>
            </w:pPr>
            <w:r>
              <w:rPr>
                <w:rFonts w:ascii="Calibri" w:eastAsia="Times New Roman" w:hAnsi="Calibri" w:cs="Calibri"/>
                <w:color w:val="000000"/>
                <w:lang w:val="en-US" w:eastAsia="en-ZA"/>
              </w:rPr>
              <w:t>407340.4</w:t>
            </w:r>
          </w:p>
        </w:tc>
      </w:tr>
      <w:tr w:rsidR="00480789">
        <w:trPr>
          <w:trHeight w:val="300"/>
        </w:trPr>
        <w:tc>
          <w:tcPr>
            <w:tcW w:w="9785" w:type="dxa"/>
            <w:gridSpan w:val="11"/>
            <w:tcBorders>
              <w:top w:val="single" w:sz="4" w:space="0" w:color="auto"/>
              <w:bottom w:val="single" w:sz="4" w:space="0" w:color="auto"/>
            </w:tcBorders>
            <w:shd w:val="clear" w:color="auto" w:fill="auto"/>
            <w:vAlign w:val="bottom"/>
          </w:tcPr>
          <w:p w:rsidR="00480789" w:rsidRDefault="00B41E7B">
            <w:pPr>
              <w:jc w:val="both"/>
              <w:rPr>
                <w:rFonts w:ascii="Calibri" w:eastAsia="Times New Roman" w:hAnsi="Calibri" w:cs="Calibri"/>
                <w:color w:val="000000"/>
                <w:lang w:val="en-US" w:eastAsia="en-ZA"/>
              </w:rPr>
            </w:pPr>
            <w:r>
              <w:rPr>
                <w:rFonts w:ascii="Arial" w:hAnsi="Arial" w:cs="Arial"/>
                <w:b/>
                <w:sz w:val="24"/>
                <w:szCs w:val="24"/>
                <w:lang w:val="en-US"/>
              </w:rPr>
              <w:t xml:space="preserve">Table A: Raw </w:t>
            </w:r>
            <w:r>
              <w:rPr>
                <w:rFonts w:ascii="Arial" w:hAnsi="Arial" w:cs="Arial"/>
                <w:b/>
                <w:sz w:val="24"/>
                <w:szCs w:val="24"/>
                <w:vertAlign w:val="superscript"/>
                <w:lang w:val="en-US"/>
              </w:rPr>
              <w:t>1</w:t>
            </w:r>
            <w:r>
              <w:rPr>
                <w:rFonts w:ascii="Arial" w:hAnsi="Arial" w:cs="Arial"/>
                <w:b/>
                <w:sz w:val="24"/>
                <w:szCs w:val="24"/>
                <w:lang w:val="en-US"/>
              </w:rPr>
              <w:t>H-NMR spectral data given as an electronic file in Excel format (see S2 File: CI_unscaled</w:t>
            </w:r>
            <w:r>
              <w:rPr>
                <w:rFonts w:ascii="Arial" w:hAnsi="Arial" w:cs="Arial"/>
                <w:b/>
                <w:sz w:val="24"/>
                <w:szCs w:val="24"/>
                <w:lang w:val="en-US"/>
              </w:rPr>
              <w:t xml:space="preserve"> raw vehicle data.xlsx) attached online as part of the </w:t>
            </w:r>
            <w:r>
              <w:rPr>
                <w:rFonts w:ascii="Arial" w:hAnsi="Arial" w:cs="Arial"/>
                <w:b/>
                <w:sz w:val="24"/>
                <w:szCs w:val="24"/>
                <w:lang w:val="en-US"/>
              </w:rPr>
              <w:lastRenderedPageBreak/>
              <w:t>Supporting Information</w:t>
            </w:r>
          </w:p>
        </w:tc>
      </w:tr>
    </w:tbl>
    <w:p w:rsidR="00480789" w:rsidRDefault="00480789">
      <w:pPr>
        <w:spacing w:line="360" w:lineRule="auto"/>
        <w:jc w:val="both"/>
        <w:rPr>
          <w:rFonts w:ascii="Arial" w:hAnsi="Arial" w:cs="Arial"/>
          <w:sz w:val="24"/>
          <w:szCs w:val="24"/>
          <w:lang w:val="en-US"/>
        </w:rPr>
      </w:pPr>
    </w:p>
    <w:p w:rsidR="00480789" w:rsidRDefault="00B41E7B">
      <w:pPr>
        <w:pStyle w:val="NoSpacing"/>
        <w:spacing w:line="360" w:lineRule="auto"/>
        <w:jc w:val="both"/>
        <w:rPr>
          <w:rFonts w:ascii="Arial" w:hAnsi="Arial" w:cs="Arial"/>
          <w:b/>
          <w:sz w:val="36"/>
          <w:szCs w:val="36"/>
          <w:lang w:val="en-US"/>
        </w:rPr>
      </w:pPr>
      <w:r>
        <w:rPr>
          <w:rFonts w:ascii="Arial" w:hAnsi="Arial" w:cs="Arial"/>
          <w:b/>
          <w:sz w:val="36"/>
          <w:szCs w:val="36"/>
          <w:lang w:val="en-US"/>
        </w:rPr>
        <w:t>S</w:t>
      </w:r>
      <w:r w:rsidR="00750248">
        <w:rPr>
          <w:rFonts w:ascii="Arial" w:hAnsi="Arial" w:cs="Arial"/>
          <w:b/>
          <w:sz w:val="36"/>
          <w:szCs w:val="36"/>
          <w:lang w:val="en-US"/>
        </w:rPr>
        <w:t xml:space="preserve">ection </w:t>
      </w:r>
      <w:r>
        <w:rPr>
          <w:rFonts w:ascii="Arial" w:hAnsi="Arial" w:cs="Arial"/>
          <w:b/>
          <w:sz w:val="36"/>
          <w:szCs w:val="36"/>
          <w:lang w:val="en-US"/>
        </w:rPr>
        <w:t>2 Threshold value and normalization</w:t>
      </w:r>
    </w:p>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t>The use of NMR spectroscopy as a tool for metabolomics is limited by the sensitivity (limit of detection) of NMR [1], requiring an approach</w:t>
      </w:r>
      <w:r>
        <w:rPr>
          <w:rFonts w:ascii="Arial" w:hAnsi="Arial" w:cs="Arial"/>
          <w:sz w:val="24"/>
          <w:szCs w:val="24"/>
          <w:lang w:val="en-US"/>
        </w:rPr>
        <w:t xml:space="preserve"> in discarding noise while retaining and then measuring real peaks. The spectral intensities within the original 467 bins generated here ranged from 7.8 x 10</w:t>
      </w:r>
      <w:r>
        <w:rPr>
          <w:rFonts w:ascii="Arial" w:hAnsi="Arial" w:cs="Arial"/>
          <w:sz w:val="24"/>
          <w:szCs w:val="24"/>
          <w:vertAlign w:val="superscript"/>
          <w:lang w:val="en-US"/>
        </w:rPr>
        <w:t>5</w:t>
      </w:r>
      <w:r>
        <w:rPr>
          <w:rFonts w:ascii="Arial" w:hAnsi="Arial" w:cs="Arial"/>
          <w:sz w:val="24"/>
          <w:szCs w:val="24"/>
          <w:lang w:val="en-US"/>
        </w:rPr>
        <w:t xml:space="preserve"> to 1.7 x 10</w:t>
      </w:r>
      <w:r>
        <w:rPr>
          <w:rFonts w:ascii="Arial" w:hAnsi="Arial" w:cs="Arial"/>
          <w:sz w:val="24"/>
          <w:szCs w:val="24"/>
          <w:vertAlign w:val="superscript"/>
          <w:lang w:val="en-US"/>
        </w:rPr>
        <w:t>9</w:t>
      </w:r>
      <w:r>
        <w:rPr>
          <w:rFonts w:ascii="Arial" w:hAnsi="Arial" w:cs="Arial"/>
          <w:sz w:val="24"/>
          <w:szCs w:val="24"/>
          <w:lang w:val="en-US"/>
        </w:rPr>
        <w:t xml:space="preserve">. Based on previous empirical experience with NMR spectral analysis, we defined a </w:t>
      </w:r>
      <w:r>
        <w:rPr>
          <w:rFonts w:ascii="Arial" w:hAnsi="Arial" w:cs="Arial"/>
          <w:sz w:val="24"/>
          <w:szCs w:val="24"/>
          <w:lang w:val="en-US"/>
        </w:rPr>
        <w:t>threshold value of 2 x 10</w:t>
      </w:r>
      <w:r>
        <w:rPr>
          <w:rFonts w:ascii="Arial" w:hAnsi="Arial" w:cs="Arial"/>
          <w:sz w:val="24"/>
          <w:szCs w:val="24"/>
          <w:vertAlign w:val="superscript"/>
          <w:lang w:val="en-US"/>
        </w:rPr>
        <w:t>6</w:t>
      </w:r>
      <w:r>
        <w:rPr>
          <w:rFonts w:ascii="Arial" w:hAnsi="Arial" w:cs="Arial"/>
          <w:sz w:val="24"/>
          <w:szCs w:val="24"/>
          <w:lang w:val="en-US"/>
        </w:rPr>
        <w:t xml:space="preserve">, being approximately the limit of detection of metabolomic substances presumed to be present in a spectral bin. To reduce the uncertainty in the data at the level of the approximate detection limit, we applied the threshold of 2 </w:t>
      </w:r>
      <w:r>
        <w:rPr>
          <w:rFonts w:ascii="Arial" w:hAnsi="Arial" w:cs="Arial"/>
          <w:sz w:val="24"/>
          <w:szCs w:val="24"/>
          <w:lang w:val="en-US"/>
        </w:rPr>
        <w:t>x 10</w:t>
      </w:r>
      <w:r>
        <w:rPr>
          <w:rFonts w:ascii="Arial" w:hAnsi="Arial" w:cs="Arial"/>
          <w:sz w:val="24"/>
          <w:szCs w:val="24"/>
          <w:vertAlign w:val="superscript"/>
          <w:lang w:val="en-US"/>
        </w:rPr>
        <w:t xml:space="preserve">6 </w:t>
      </w:r>
      <w:r>
        <w:rPr>
          <w:rFonts w:ascii="Arial" w:hAnsi="Arial" w:cs="Arial"/>
          <w:sz w:val="24"/>
          <w:szCs w:val="24"/>
          <w:lang w:val="en-US"/>
        </w:rPr>
        <w:t>to the data matrix, setting all values below this threshold to zero. We subsequently applied a “zero-filter” to remove bins with more than 50% zero observations across all six time points, as applied for fusion of MS-based metabolomics data [2]. This</w:t>
      </w:r>
      <w:r>
        <w:rPr>
          <w:rFonts w:ascii="Arial" w:hAnsi="Arial" w:cs="Arial"/>
          <w:sz w:val="24"/>
          <w:szCs w:val="24"/>
          <w:lang w:val="en-US"/>
        </w:rPr>
        <w:t xml:space="preserve"> resulted in a reduction in the number of bins containing spectral data from 467 to 347. To account for the dilution differences between the urine samples, the value of each bin was made relative to the CH</w:t>
      </w:r>
      <w:r>
        <w:rPr>
          <w:rFonts w:ascii="Arial" w:hAnsi="Arial" w:cs="Arial"/>
          <w:sz w:val="24"/>
          <w:szCs w:val="24"/>
          <w:vertAlign w:val="subscript"/>
          <w:lang w:val="en-US"/>
        </w:rPr>
        <w:t>2</w:t>
      </w:r>
      <w:r>
        <w:rPr>
          <w:rFonts w:ascii="Arial" w:hAnsi="Arial" w:cs="Arial"/>
          <w:sz w:val="24"/>
          <w:szCs w:val="24"/>
          <w:lang w:val="en-US"/>
        </w:rPr>
        <w:t xml:space="preserve"> peak of creatinine. This peak is contained in the</w:t>
      </w:r>
      <w:r>
        <w:rPr>
          <w:rFonts w:ascii="Arial" w:hAnsi="Arial" w:cs="Arial"/>
          <w:sz w:val="24"/>
          <w:szCs w:val="24"/>
          <w:lang w:val="en-US"/>
        </w:rPr>
        <w:t xml:space="preserve"> 4.05 and 4.07 ppm bins. Therefore, each bin value was divided by the sum of the value in these two bins to normalize the bin values relative to creatinine. After normalization, the three bins related to creatinine (4.05, 4.07 and 3.05 ppm) were also remov</w:t>
      </w:r>
      <w:r>
        <w:rPr>
          <w:rFonts w:ascii="Arial" w:hAnsi="Arial" w:cs="Arial"/>
          <w:sz w:val="24"/>
          <w:szCs w:val="24"/>
          <w:lang w:val="en-US"/>
        </w:rPr>
        <w:t>ed from the matrix, giving a final total of 344 bins containing spectral data. The above processing was performed in Matlab [3] as outlined in the script provided as additional material.</w:t>
      </w:r>
    </w:p>
    <w:p w:rsidR="00480789" w:rsidRDefault="00480789">
      <w:pPr>
        <w:spacing w:line="360" w:lineRule="auto"/>
        <w:jc w:val="both"/>
        <w:rPr>
          <w:rFonts w:ascii="Arial" w:hAnsi="Arial" w:cs="Arial"/>
          <w:sz w:val="24"/>
          <w:szCs w:val="24"/>
          <w:lang w:val="en-US"/>
        </w:rPr>
      </w:pPr>
    </w:p>
    <w:p w:rsidR="00480789" w:rsidRDefault="00B41E7B">
      <w:pPr>
        <w:spacing w:line="360" w:lineRule="auto"/>
        <w:jc w:val="both"/>
        <w:rPr>
          <w:rFonts w:ascii="Arial" w:hAnsi="Arial" w:cs="Arial"/>
          <w:b/>
          <w:sz w:val="36"/>
          <w:szCs w:val="36"/>
          <w:lang w:val="en-US"/>
        </w:rPr>
      </w:pPr>
      <w:r>
        <w:rPr>
          <w:rFonts w:ascii="Arial" w:hAnsi="Arial" w:cs="Arial"/>
          <w:b/>
          <w:sz w:val="36"/>
          <w:szCs w:val="36"/>
          <w:lang w:val="en-US"/>
        </w:rPr>
        <w:t>S</w:t>
      </w:r>
      <w:r w:rsidR="00750248">
        <w:rPr>
          <w:rFonts w:ascii="Arial" w:hAnsi="Arial" w:cs="Arial"/>
          <w:b/>
          <w:sz w:val="36"/>
          <w:szCs w:val="36"/>
          <w:lang w:val="en-US"/>
        </w:rPr>
        <w:t xml:space="preserve">ection </w:t>
      </w:r>
      <w:r>
        <w:rPr>
          <w:rFonts w:ascii="Arial" w:hAnsi="Arial" w:cs="Arial"/>
          <w:b/>
          <w:sz w:val="36"/>
          <w:szCs w:val="36"/>
          <w:lang w:val="en-US"/>
        </w:rPr>
        <w:t>3 Data pre-processing and statistical analysis</w:t>
      </w:r>
    </w:p>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t>The data resulting f</w:t>
      </w:r>
      <w:r>
        <w:rPr>
          <w:rFonts w:ascii="Arial" w:hAnsi="Arial" w:cs="Arial"/>
          <w:sz w:val="24"/>
          <w:szCs w:val="24"/>
          <w:lang w:val="en-US"/>
        </w:rPr>
        <w:t>rom this intervention study potentially contain volumes of information. However, unlocking it is a challenge for various reasons, the first being the presence of three major sources of variation: (i) the four experimental treatments; (ii) the variation ove</w:t>
      </w:r>
      <w:r>
        <w:rPr>
          <w:rFonts w:ascii="Arial" w:hAnsi="Arial" w:cs="Arial"/>
          <w:sz w:val="24"/>
          <w:szCs w:val="24"/>
          <w:lang w:val="en-US"/>
        </w:rPr>
        <w:t xml:space="preserve">r time; and (iii) the variation between cases participating in the study (potentially the greatest source of variation). The second relates to the analytical platform used. NMR spectra using equidistant binning results in hundreds </w:t>
      </w:r>
      <w:r>
        <w:rPr>
          <w:rFonts w:ascii="Arial" w:hAnsi="Arial" w:cs="Arial"/>
          <w:sz w:val="24"/>
          <w:szCs w:val="24"/>
          <w:lang w:val="en-US"/>
        </w:rPr>
        <w:lastRenderedPageBreak/>
        <w:t>of bins, in this instance</w:t>
      </w:r>
      <w:r>
        <w:rPr>
          <w:rFonts w:ascii="Arial" w:hAnsi="Arial" w:cs="Arial"/>
          <w:sz w:val="24"/>
          <w:szCs w:val="24"/>
          <w:lang w:val="en-US"/>
        </w:rPr>
        <w:t xml:space="preserve"> 467. This far exceeds the number of cases measured (23), which is known to cause more traditional statistical methods such as MANOVA (multivariate analysis of variance) to fail [4]. Third, the quantified values may be very low for some bins and carry larg</w:t>
      </w:r>
      <w:r>
        <w:rPr>
          <w:rFonts w:ascii="Arial" w:hAnsi="Arial" w:cs="Arial"/>
          <w:sz w:val="24"/>
          <w:szCs w:val="24"/>
          <w:lang w:val="en-US"/>
        </w:rPr>
        <w:t>e uncertainty as to the accuracy of the value reported. As a result, values below a certain threshold are converted to zeros (S</w:t>
      </w:r>
      <w:r w:rsidR="00750248">
        <w:rPr>
          <w:rFonts w:ascii="Arial" w:hAnsi="Arial" w:cs="Arial"/>
          <w:sz w:val="24"/>
          <w:szCs w:val="24"/>
          <w:lang w:val="en-US"/>
        </w:rPr>
        <w:t xml:space="preserve">ection </w:t>
      </w:r>
      <w:r>
        <w:rPr>
          <w:rFonts w:ascii="Arial" w:hAnsi="Arial" w:cs="Arial"/>
          <w:sz w:val="24"/>
          <w:szCs w:val="24"/>
          <w:lang w:val="en-US"/>
        </w:rPr>
        <w:t>2 above), which again poses a challenge for many statistical methods making an assumption about distribution.</w:t>
      </w:r>
    </w:p>
    <w:p w:rsidR="00480789" w:rsidRDefault="00B41E7B">
      <w:pPr>
        <w:spacing w:line="360" w:lineRule="auto"/>
        <w:ind w:firstLine="720"/>
        <w:jc w:val="both"/>
        <w:rPr>
          <w:rFonts w:ascii="Arial" w:hAnsi="Arial" w:cs="Arial"/>
          <w:sz w:val="24"/>
          <w:szCs w:val="24"/>
          <w:lang w:val="en-US"/>
        </w:rPr>
      </w:pPr>
      <w:r>
        <w:rPr>
          <w:rFonts w:ascii="Arial" w:hAnsi="Arial" w:cs="Arial"/>
          <w:sz w:val="24"/>
          <w:szCs w:val="24"/>
          <w:lang w:val="en-US"/>
        </w:rPr>
        <w:t>The design of the s</w:t>
      </w:r>
      <w:r>
        <w:rPr>
          <w:rFonts w:ascii="Arial" w:hAnsi="Arial" w:cs="Arial"/>
          <w:sz w:val="24"/>
          <w:szCs w:val="24"/>
          <w:lang w:val="en-US"/>
        </w:rPr>
        <w:t>tudy aimed to alleviate these challenges to some extent by (i) repeatedly measuring the same individuals across both time and treatment factors; (ii) selecting cases with similar demographics, i.e. age and living conditions; and (iii) limiting the influenc</w:t>
      </w:r>
      <w:r>
        <w:rPr>
          <w:rFonts w:ascii="Arial" w:hAnsi="Arial" w:cs="Arial"/>
          <w:sz w:val="24"/>
          <w:szCs w:val="24"/>
          <w:lang w:val="en-US"/>
        </w:rPr>
        <w:t>e of dietary difference by exposing cases to each intervention while in a fasting state. Finally, the results discussed in this paper pertain only to a subset of the data, one of the four treatment interventions, making this initial analysis more palatable</w:t>
      </w:r>
      <w:r>
        <w:rPr>
          <w:rFonts w:ascii="Arial" w:hAnsi="Arial" w:cs="Arial"/>
          <w:sz w:val="24"/>
          <w:szCs w:val="24"/>
          <w:lang w:val="en-US"/>
        </w:rPr>
        <w:t xml:space="preserve"> yet still highly informative. </w:t>
      </w:r>
    </w:p>
    <w:p w:rsidR="00480789" w:rsidRDefault="00B41E7B">
      <w:pPr>
        <w:spacing w:line="360" w:lineRule="auto"/>
        <w:ind w:firstLine="720"/>
        <w:jc w:val="both"/>
        <w:rPr>
          <w:rFonts w:ascii="Arial" w:hAnsi="Arial" w:cs="Arial"/>
          <w:sz w:val="24"/>
          <w:szCs w:val="24"/>
          <w:lang w:val="en-US"/>
        </w:rPr>
      </w:pPr>
      <w:r>
        <w:rPr>
          <w:rFonts w:ascii="Arial" w:hAnsi="Arial" w:cs="Arial"/>
          <w:sz w:val="24"/>
          <w:szCs w:val="24"/>
          <w:lang w:val="en-US"/>
        </w:rPr>
        <w:t>Taking into account the design of the experiment as well as the limitations of the various statistical techniques, a range of methods were applied to this subset of the data, as discussed in more detail below.</w:t>
      </w:r>
    </w:p>
    <w:p w:rsidR="00480789" w:rsidRDefault="00480789">
      <w:pPr>
        <w:spacing w:line="360" w:lineRule="auto"/>
        <w:jc w:val="both"/>
        <w:rPr>
          <w:rFonts w:ascii="Arial" w:hAnsi="Arial" w:cs="Arial"/>
          <w:sz w:val="24"/>
          <w:szCs w:val="24"/>
          <w:lang w:val="en-US"/>
        </w:rPr>
      </w:pPr>
    </w:p>
    <w:p w:rsidR="00480789" w:rsidRDefault="00B41E7B">
      <w:pPr>
        <w:spacing w:line="360" w:lineRule="auto"/>
        <w:jc w:val="both"/>
        <w:rPr>
          <w:rFonts w:ascii="Arial" w:hAnsi="Arial" w:cs="Arial"/>
          <w:b/>
          <w:sz w:val="32"/>
          <w:szCs w:val="32"/>
          <w:lang w:val="en-US"/>
        </w:rPr>
      </w:pPr>
      <w:r>
        <w:rPr>
          <w:rFonts w:ascii="Arial" w:hAnsi="Arial" w:cs="Arial"/>
          <w:b/>
          <w:sz w:val="32"/>
          <w:szCs w:val="32"/>
          <w:lang w:val="en-US"/>
        </w:rPr>
        <w:t>S</w:t>
      </w:r>
      <w:r w:rsidR="00750248">
        <w:rPr>
          <w:rFonts w:ascii="Arial" w:hAnsi="Arial" w:cs="Arial"/>
          <w:b/>
          <w:sz w:val="32"/>
          <w:szCs w:val="32"/>
          <w:lang w:val="en-US"/>
        </w:rPr>
        <w:t xml:space="preserve">ection </w:t>
      </w:r>
      <w:r>
        <w:rPr>
          <w:rFonts w:ascii="Arial" w:hAnsi="Arial" w:cs="Arial"/>
          <w:b/>
          <w:sz w:val="32"/>
          <w:szCs w:val="32"/>
          <w:lang w:val="en-US"/>
        </w:rPr>
        <w:t>3.1 Case red</w:t>
      </w:r>
      <w:r>
        <w:rPr>
          <w:rFonts w:ascii="Arial" w:hAnsi="Arial" w:cs="Arial"/>
          <w:b/>
          <w:sz w:val="32"/>
          <w:szCs w:val="32"/>
          <w:lang w:val="en-US"/>
        </w:rPr>
        <w:t>uction</w:t>
      </w:r>
    </w:p>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t>Reproducibility and repeatability are not known concerns in NMR analysis [5]. Nevertheless, three pooled quality control (QC) samples were included in each NMR batch run, in the first, middle and last positions. The role of the QC samples was not to</w:t>
      </w:r>
      <w:r>
        <w:rPr>
          <w:rFonts w:ascii="Arial" w:hAnsi="Arial" w:cs="Arial"/>
          <w:sz w:val="24"/>
          <w:szCs w:val="24"/>
          <w:lang w:val="en-US"/>
        </w:rPr>
        <w:t xml:space="preserve"> correct for any drift or between-batch effects, as done in GC-MS for instance, as this category of confounding factors should not be present in NMR analysis. Rather, the QC samples were used to identify batches which produced unexpected and therefore untr</w:t>
      </w:r>
      <w:r>
        <w:rPr>
          <w:rFonts w:ascii="Arial" w:hAnsi="Arial" w:cs="Arial"/>
          <w:sz w:val="24"/>
          <w:szCs w:val="24"/>
          <w:lang w:val="en-US"/>
        </w:rPr>
        <w:t>ustworthy results due to some external factor we did not or could not control or measure.  Outlier detection was based on the scores from a principal component analysis (PCA) with 90% confidence regions, along with Hotelling’s T</w:t>
      </w:r>
      <w:r>
        <w:rPr>
          <w:rFonts w:ascii="Arial" w:hAnsi="Arial" w:cs="Arial"/>
          <w:sz w:val="24"/>
          <w:szCs w:val="24"/>
          <w:vertAlign w:val="superscript"/>
          <w:lang w:val="en-US"/>
        </w:rPr>
        <w:t>2</w:t>
      </w:r>
      <w:r>
        <w:rPr>
          <w:rFonts w:ascii="Arial" w:hAnsi="Arial" w:cs="Arial"/>
          <w:sz w:val="24"/>
          <w:szCs w:val="24"/>
          <w:lang w:val="en-US"/>
        </w:rPr>
        <w:t xml:space="preserve"> statistic (Figure A). A tw</w:t>
      </w:r>
      <w:r>
        <w:rPr>
          <w:rFonts w:ascii="Arial" w:hAnsi="Arial" w:cs="Arial"/>
          <w:sz w:val="24"/>
          <w:szCs w:val="24"/>
          <w:lang w:val="en-US"/>
        </w:rPr>
        <w:t>o-component PCA model was constructed based on the log-scaled and centered normalized data (464 bins) from only the QC samples. Note that the 50% zero filter was not yet applied as some of the zero measurements may be due to outlying batches.</w:t>
      </w:r>
    </w:p>
    <w:p w:rsidR="00480789" w:rsidRDefault="00B41E7B">
      <w:pPr>
        <w:spacing w:line="360" w:lineRule="auto"/>
        <w:ind w:firstLine="720"/>
        <w:jc w:val="both"/>
        <w:rPr>
          <w:rFonts w:ascii="Arial" w:hAnsi="Arial" w:cs="Arial"/>
          <w:sz w:val="24"/>
          <w:szCs w:val="24"/>
          <w:lang w:val="en-US"/>
        </w:rPr>
      </w:pPr>
      <w:r>
        <w:rPr>
          <w:rFonts w:ascii="Arial" w:hAnsi="Arial" w:cs="Arial"/>
          <w:sz w:val="24"/>
          <w:szCs w:val="24"/>
          <w:lang w:val="en-US"/>
        </w:rPr>
        <w:lastRenderedPageBreak/>
        <w:t xml:space="preserve">All three QC </w:t>
      </w:r>
      <w:r>
        <w:rPr>
          <w:rFonts w:ascii="Arial" w:hAnsi="Arial" w:cs="Arial"/>
          <w:sz w:val="24"/>
          <w:szCs w:val="24"/>
          <w:lang w:val="en-US"/>
        </w:rPr>
        <w:t>samples from batches 2 and 3 were identified as outliers. This could have been due to some analytical error which occurred during the preparation of the samples from these two batches. This chemical shift in the NMR spectra of the samples in these two batc</w:t>
      </w:r>
      <w:r>
        <w:rPr>
          <w:rFonts w:ascii="Arial" w:hAnsi="Arial" w:cs="Arial"/>
          <w:sz w:val="24"/>
          <w:szCs w:val="24"/>
          <w:lang w:val="en-US"/>
        </w:rPr>
        <w:t>hes, however, made it difficult to compare the peaks in these samples with those of the samples from the 21 other batches. Consequently, these two batches were excluded from further analysis as batch corrections based on only three QCs may introduce more e</w:t>
      </w:r>
      <w:r>
        <w:rPr>
          <w:rFonts w:ascii="Arial" w:hAnsi="Arial" w:cs="Arial"/>
          <w:sz w:val="24"/>
          <w:szCs w:val="24"/>
          <w:lang w:val="en-US"/>
        </w:rPr>
        <w:t>rror than they remove. We could eliminate these batches with little effect as all samples from a given case represented a batch; so, even though we sacrificed in terms of sample size, the exclusions did not change the design.</w:t>
      </w:r>
    </w:p>
    <w:p w:rsidR="00480789" w:rsidRDefault="00480789">
      <w:pPr>
        <w:spacing w:line="360" w:lineRule="auto"/>
        <w:jc w:val="both"/>
        <w:rPr>
          <w:rFonts w:ascii="Arial" w:hAnsi="Arial" w:cs="Arial"/>
          <w:sz w:val="24"/>
          <w:szCs w:val="24"/>
          <w:lang w:val="en-US"/>
        </w:rPr>
      </w:pPr>
    </w:p>
    <w:tbl>
      <w:tblPr>
        <w:tblStyle w:val="TableGrid"/>
        <w:tblW w:w="10093" w:type="dxa"/>
        <w:tblInd w:w="-459" w:type="dxa"/>
        <w:tblLook w:val="04A0" w:firstRow="1" w:lastRow="0" w:firstColumn="1" w:lastColumn="0" w:noHBand="0" w:noVBand="1"/>
      </w:tblPr>
      <w:tblGrid>
        <w:gridCol w:w="5071"/>
        <w:gridCol w:w="5022"/>
      </w:tblGrid>
      <w:tr w:rsidR="00480789">
        <w:tc>
          <w:tcPr>
            <w:tcW w:w="5071" w:type="dxa"/>
            <w:tcBorders>
              <w:right w:val="nil"/>
            </w:tcBorders>
          </w:tcPr>
          <w:p w:rsidR="00480789" w:rsidRDefault="00B41E7B">
            <w:pPr>
              <w:spacing w:line="360" w:lineRule="auto"/>
              <w:jc w:val="both"/>
              <w:rPr>
                <w:rFonts w:ascii="Arial" w:hAnsi="Arial" w:cs="Arial"/>
                <w:b/>
                <w:sz w:val="24"/>
                <w:szCs w:val="24"/>
                <w:lang w:val="en-US"/>
              </w:rPr>
            </w:pPr>
            <w:r>
              <w:rPr>
                <w:rFonts w:ascii="Arial" w:hAnsi="Arial" w:cs="Arial"/>
                <w:b/>
                <w:sz w:val="24"/>
                <w:szCs w:val="24"/>
                <w:lang w:val="en-US"/>
              </w:rPr>
              <w:t>A</w:t>
            </w:r>
            <w:r>
              <w:rPr>
                <w:rFonts w:ascii="Arial" w:hAnsi="Arial" w:cs="Arial"/>
                <w:b/>
                <w:noProof/>
                <w:sz w:val="24"/>
                <w:szCs w:val="24"/>
                <w:lang w:val="en-US"/>
              </w:rPr>
              <w:drawing>
                <wp:inline distT="0" distB="0" distL="0" distR="0">
                  <wp:extent cx="3083442" cy="3932082"/>
                  <wp:effectExtent l="0" t="0" r="0" b="0"/>
                  <wp:docPr id="1" name="Picture 1" descr="C:\Users\NWUUser\Documents\My Clients\Active\Cindy Irvine\2016\NMR\OTHER RESULTS\Outliers (CI90) PCA Q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WUUser\Documents\My Clients\Active\Cindy Irvine\2016\NMR\OTHER RESULTS\Outliers (CI90) PCA QC.b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537" r="7077"/>
                          <a:stretch/>
                        </pic:blipFill>
                        <pic:spPr bwMode="auto">
                          <a:xfrm>
                            <a:off x="0" y="0"/>
                            <a:ext cx="3098738" cy="39515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22" w:type="dxa"/>
            <w:tcBorders>
              <w:left w:val="nil"/>
            </w:tcBorders>
          </w:tcPr>
          <w:p w:rsidR="00480789" w:rsidRDefault="00B41E7B">
            <w:pPr>
              <w:spacing w:line="360" w:lineRule="auto"/>
              <w:jc w:val="both"/>
              <w:rPr>
                <w:rFonts w:ascii="Arial" w:hAnsi="Arial" w:cs="Arial"/>
                <w:b/>
                <w:sz w:val="24"/>
                <w:szCs w:val="24"/>
                <w:lang w:val="en-US"/>
              </w:rPr>
            </w:pPr>
            <w:r>
              <w:rPr>
                <w:rFonts w:ascii="Arial" w:hAnsi="Arial" w:cs="Arial"/>
                <w:b/>
                <w:sz w:val="24"/>
                <w:szCs w:val="24"/>
                <w:lang w:val="en-US"/>
              </w:rPr>
              <w:t>B</w:t>
            </w:r>
            <w:r>
              <w:rPr>
                <w:rFonts w:ascii="Arial" w:hAnsi="Arial" w:cs="Arial"/>
                <w:b/>
                <w:noProof/>
                <w:sz w:val="24"/>
                <w:szCs w:val="24"/>
                <w:lang w:val="en-US"/>
              </w:rPr>
              <w:drawing>
                <wp:inline distT="0" distB="0" distL="0" distR="0">
                  <wp:extent cx="3052032" cy="3997841"/>
                  <wp:effectExtent l="0" t="0" r="0" b="0"/>
                  <wp:docPr id="2" name="Picture 2" descr="C:\Users\NWUUser\Documents\My Clients\Active\Cindy Irvine\2016\NMR\OTHER RESULTS\Outlier Detection Hotellings Distances Q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WUUser\Documents\My Clients\Active\Cindy Irvine\2016\NMR\OTHER RESULTS\Outlier Detection Hotellings Distances QC.b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91" r="51592"/>
                          <a:stretch/>
                        </pic:blipFill>
                        <pic:spPr bwMode="auto">
                          <a:xfrm>
                            <a:off x="0" y="0"/>
                            <a:ext cx="3071412" cy="4023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789">
        <w:tc>
          <w:tcPr>
            <w:tcW w:w="10093" w:type="dxa"/>
            <w:gridSpan w:val="2"/>
            <w:vAlign w:val="center"/>
          </w:tcPr>
          <w:p w:rsidR="00480789" w:rsidRDefault="00B41E7B">
            <w:pPr>
              <w:spacing w:line="360" w:lineRule="auto"/>
              <w:jc w:val="both"/>
              <w:rPr>
                <w:rFonts w:ascii="Arial" w:hAnsi="Arial" w:cs="Arial"/>
                <w:b/>
                <w:sz w:val="24"/>
                <w:szCs w:val="24"/>
                <w:lang w:val="en-US"/>
              </w:rPr>
            </w:pPr>
            <w:r>
              <w:rPr>
                <w:rFonts w:ascii="Arial" w:hAnsi="Arial" w:cs="Arial"/>
                <w:b/>
                <w:sz w:val="24"/>
                <w:szCs w:val="24"/>
                <w:lang w:val="en-US"/>
              </w:rPr>
              <w:t xml:space="preserve">Figure A: QC Outlier </w:t>
            </w:r>
            <w:r>
              <w:rPr>
                <w:rFonts w:ascii="Arial" w:hAnsi="Arial" w:cs="Arial"/>
                <w:b/>
                <w:sz w:val="24"/>
                <w:szCs w:val="24"/>
                <w:lang w:val="en-US"/>
              </w:rPr>
              <w:t>Detection</w:t>
            </w:r>
          </w:p>
          <w:p w:rsidR="00480789" w:rsidRDefault="00B41E7B">
            <w:pPr>
              <w:jc w:val="both"/>
              <w:rPr>
                <w:rFonts w:ascii="Arial" w:hAnsi="Arial" w:cs="Arial"/>
                <w:sz w:val="24"/>
                <w:szCs w:val="24"/>
                <w:lang w:val="en-US"/>
              </w:rPr>
            </w:pPr>
            <w:r>
              <w:rPr>
                <w:rFonts w:ascii="Arial" w:hAnsi="Arial" w:cs="Arial"/>
                <w:sz w:val="24"/>
                <w:szCs w:val="24"/>
                <w:lang w:val="en-US"/>
              </w:rPr>
              <w:t>The figure shows the results of a PCA analysis on the QC samples. The PCA scores of all three QC samples for batches 2 and 3 fall outside the 90% confidence region (A). The Hotelling’s T</w:t>
            </w:r>
            <w:r>
              <w:rPr>
                <w:rFonts w:ascii="Arial" w:hAnsi="Arial" w:cs="Arial"/>
                <w:sz w:val="24"/>
                <w:szCs w:val="24"/>
                <w:vertAlign w:val="superscript"/>
                <w:lang w:val="en-US"/>
              </w:rPr>
              <w:t>2</w:t>
            </w:r>
            <w:r>
              <w:rPr>
                <w:rFonts w:ascii="Arial" w:hAnsi="Arial" w:cs="Arial"/>
                <w:sz w:val="24"/>
                <w:szCs w:val="24"/>
                <w:lang w:val="en-US"/>
              </w:rPr>
              <w:t xml:space="preserve"> statistics for these same samples flag them as outliers (B</w:t>
            </w:r>
            <w:r>
              <w:rPr>
                <w:rFonts w:ascii="Arial" w:hAnsi="Arial" w:cs="Arial"/>
                <w:sz w:val="24"/>
                <w:szCs w:val="24"/>
                <w:lang w:val="en-US"/>
              </w:rPr>
              <w:t>). Two other QC samples from different batches were also flagged; however, as only one of the three QCs in these batches was flagged, these batches were not removed.</w:t>
            </w:r>
          </w:p>
        </w:tc>
      </w:tr>
    </w:tbl>
    <w:p w:rsidR="00480789" w:rsidRDefault="00480789">
      <w:pPr>
        <w:spacing w:line="360" w:lineRule="auto"/>
        <w:jc w:val="both"/>
        <w:rPr>
          <w:rFonts w:ascii="Arial" w:hAnsi="Arial" w:cs="Arial"/>
          <w:sz w:val="24"/>
          <w:szCs w:val="24"/>
          <w:lang w:val="en-US"/>
        </w:rPr>
      </w:pPr>
    </w:p>
    <w:p w:rsidR="00480789" w:rsidRDefault="00B41E7B">
      <w:pPr>
        <w:spacing w:line="360" w:lineRule="auto"/>
        <w:jc w:val="both"/>
        <w:rPr>
          <w:rFonts w:ascii="Arial" w:hAnsi="Arial" w:cs="Arial"/>
          <w:b/>
          <w:sz w:val="24"/>
          <w:szCs w:val="24"/>
          <w:lang w:val="en-US"/>
        </w:rPr>
      </w:pPr>
      <w:r>
        <w:rPr>
          <w:rFonts w:ascii="Arial" w:hAnsi="Arial" w:cs="Arial"/>
          <w:sz w:val="24"/>
          <w:szCs w:val="24"/>
          <w:lang w:val="en-US"/>
        </w:rPr>
        <w:lastRenderedPageBreak/>
        <w:t>The above processing and analysis was performed in Matlab using PCA function provided by</w:t>
      </w:r>
      <w:r>
        <w:rPr>
          <w:rFonts w:ascii="Arial" w:hAnsi="Arial" w:cs="Arial"/>
          <w:sz w:val="24"/>
          <w:szCs w:val="24"/>
          <w:lang w:val="en-US"/>
        </w:rPr>
        <w:t xml:space="preserve"> the PLS Toolbox [3], as outlined in the script provided as additional material.</w:t>
      </w:r>
      <w:r>
        <w:rPr>
          <w:rFonts w:ascii="Arial" w:hAnsi="Arial" w:cs="Arial"/>
          <w:b/>
          <w:sz w:val="24"/>
          <w:szCs w:val="24"/>
          <w:lang w:val="en-US"/>
        </w:rPr>
        <w:br w:type="page"/>
      </w:r>
    </w:p>
    <w:p w:rsidR="00480789" w:rsidRDefault="00B41E7B">
      <w:pPr>
        <w:spacing w:line="360" w:lineRule="auto"/>
        <w:jc w:val="both"/>
        <w:rPr>
          <w:rFonts w:ascii="Arial" w:hAnsi="Arial" w:cs="Arial"/>
          <w:b/>
          <w:sz w:val="32"/>
          <w:szCs w:val="32"/>
          <w:lang w:val="en-US"/>
        </w:rPr>
      </w:pPr>
      <w:r>
        <w:rPr>
          <w:rFonts w:ascii="Arial" w:hAnsi="Arial" w:cs="Arial"/>
          <w:b/>
          <w:sz w:val="32"/>
          <w:szCs w:val="32"/>
          <w:lang w:val="en-US"/>
        </w:rPr>
        <w:lastRenderedPageBreak/>
        <w:t>S</w:t>
      </w:r>
      <w:r w:rsidR="00750248">
        <w:rPr>
          <w:rFonts w:ascii="Arial" w:hAnsi="Arial" w:cs="Arial"/>
          <w:b/>
          <w:sz w:val="32"/>
          <w:szCs w:val="32"/>
          <w:lang w:val="en-US"/>
        </w:rPr>
        <w:t xml:space="preserve">ection </w:t>
      </w:r>
      <w:r>
        <w:rPr>
          <w:rFonts w:ascii="Arial" w:hAnsi="Arial" w:cs="Arial"/>
          <w:b/>
          <w:sz w:val="32"/>
          <w:szCs w:val="32"/>
          <w:lang w:val="en-US"/>
        </w:rPr>
        <w:t>3.2 Data transformation and scaling</w:t>
      </w:r>
    </w:p>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t>To reduce the uncertainty in the data, we applied a threshold to the data matrix followed by a “zero-filter” (S</w:t>
      </w:r>
      <w:r w:rsidR="00750248">
        <w:rPr>
          <w:rFonts w:ascii="Arial" w:hAnsi="Arial" w:cs="Arial"/>
          <w:sz w:val="24"/>
          <w:szCs w:val="24"/>
          <w:lang w:val="en-US"/>
        </w:rPr>
        <w:t xml:space="preserve">ection </w:t>
      </w:r>
      <w:r>
        <w:rPr>
          <w:rFonts w:ascii="Arial" w:hAnsi="Arial" w:cs="Arial"/>
          <w:sz w:val="24"/>
          <w:szCs w:val="24"/>
          <w:lang w:val="en-US"/>
        </w:rPr>
        <w:t xml:space="preserve">2). The reduced data were </w:t>
      </w:r>
      <w:r>
        <w:rPr>
          <w:rFonts w:ascii="Arial" w:hAnsi="Arial" w:cs="Arial"/>
          <w:sz w:val="24"/>
          <w:szCs w:val="24"/>
          <w:lang w:val="en-US"/>
        </w:rPr>
        <w:t>log transformed to ensure that the additive models used to extract information from the data were appropriate [6]. Log transformation also makes skew distributions – often resulting when variables (i.e. bins) assume only positive values, such as here – mor</w:t>
      </w:r>
      <w:r>
        <w:rPr>
          <w:rFonts w:ascii="Arial" w:hAnsi="Arial" w:cs="Arial"/>
          <w:sz w:val="24"/>
          <w:szCs w:val="24"/>
          <w:lang w:val="en-US"/>
        </w:rPr>
        <w:t>e symmetric. Symmetry is assumed in many statistical methods, including some of the methods used here. The above processing was performed using Matlab.</w:t>
      </w:r>
    </w:p>
    <w:p w:rsidR="00480789" w:rsidRDefault="00480789">
      <w:pPr>
        <w:spacing w:line="360" w:lineRule="auto"/>
        <w:jc w:val="both"/>
        <w:rPr>
          <w:rFonts w:ascii="Arial" w:hAnsi="Arial" w:cs="Arial"/>
          <w:b/>
          <w:sz w:val="24"/>
          <w:szCs w:val="24"/>
          <w:lang w:val="en-US"/>
        </w:rPr>
      </w:pPr>
    </w:p>
    <w:p w:rsidR="00480789" w:rsidRDefault="00B41E7B">
      <w:pPr>
        <w:spacing w:line="360" w:lineRule="auto"/>
        <w:jc w:val="both"/>
        <w:rPr>
          <w:rFonts w:ascii="Arial" w:hAnsi="Arial" w:cs="Arial"/>
          <w:b/>
          <w:sz w:val="32"/>
          <w:szCs w:val="32"/>
          <w:lang w:val="en-US"/>
        </w:rPr>
      </w:pPr>
      <w:r>
        <w:rPr>
          <w:rFonts w:ascii="Arial" w:hAnsi="Arial" w:cs="Arial"/>
          <w:b/>
          <w:sz w:val="32"/>
          <w:szCs w:val="32"/>
          <w:lang w:val="en-US"/>
        </w:rPr>
        <w:t>S</w:t>
      </w:r>
      <w:r w:rsidR="00750248">
        <w:rPr>
          <w:rFonts w:ascii="Arial" w:hAnsi="Arial" w:cs="Arial"/>
          <w:b/>
          <w:sz w:val="32"/>
          <w:szCs w:val="32"/>
          <w:lang w:val="en-US"/>
        </w:rPr>
        <w:t xml:space="preserve">ection </w:t>
      </w:r>
      <w:r>
        <w:rPr>
          <w:rFonts w:ascii="Arial" w:hAnsi="Arial" w:cs="Arial"/>
          <w:b/>
          <w:sz w:val="32"/>
          <w:szCs w:val="32"/>
          <w:lang w:val="en-US"/>
        </w:rPr>
        <w:t>3.3 Cross-sectional analysis</w:t>
      </w:r>
    </w:p>
    <w:p w:rsidR="00480789" w:rsidRDefault="00B41E7B">
      <w:pPr>
        <w:spacing w:after="120" w:line="360" w:lineRule="auto"/>
        <w:jc w:val="both"/>
        <w:rPr>
          <w:rFonts w:ascii="Arial" w:hAnsi="Arial" w:cs="Arial"/>
          <w:bCs/>
          <w:sz w:val="24"/>
          <w:szCs w:val="24"/>
          <w:lang w:val="en-US"/>
        </w:rPr>
      </w:pPr>
      <w:r>
        <w:rPr>
          <w:rFonts w:ascii="Arial" w:hAnsi="Arial" w:cs="Arial"/>
          <w:bCs/>
          <w:sz w:val="24"/>
          <w:szCs w:val="24"/>
          <w:lang w:val="en-US"/>
        </w:rPr>
        <w:t>Here we made use of various methods to compare times –1, 1, 2, 3 and 4 ho</w:t>
      </w:r>
      <w:r>
        <w:rPr>
          <w:rFonts w:ascii="Arial" w:hAnsi="Arial" w:cs="Arial"/>
          <w:bCs/>
          <w:sz w:val="24"/>
          <w:szCs w:val="24"/>
          <w:lang w:val="en-US"/>
        </w:rPr>
        <w:t xml:space="preserve">urs with time 0. We did this to answer the following questions: </w:t>
      </w:r>
    </w:p>
    <w:p w:rsidR="00480789" w:rsidRDefault="00B41E7B">
      <w:pPr>
        <w:pStyle w:val="ListParagraph"/>
        <w:numPr>
          <w:ilvl w:val="0"/>
          <w:numId w:val="1"/>
        </w:numPr>
        <w:spacing w:after="120" w:line="360" w:lineRule="auto"/>
        <w:jc w:val="both"/>
        <w:rPr>
          <w:rFonts w:ascii="Arial" w:hAnsi="Arial" w:cs="Arial"/>
          <w:bCs/>
          <w:sz w:val="24"/>
          <w:szCs w:val="24"/>
          <w:lang w:val="en-US"/>
        </w:rPr>
      </w:pPr>
      <w:r>
        <w:rPr>
          <w:rFonts w:ascii="Arial" w:hAnsi="Arial" w:cs="Arial"/>
          <w:bCs/>
          <w:sz w:val="24"/>
          <w:szCs w:val="24"/>
          <w:lang w:val="en-US"/>
        </w:rPr>
        <w:t xml:space="preserve">At what time did the effect of the vehicle first become apparent? </w:t>
      </w:r>
    </w:p>
    <w:p w:rsidR="00480789" w:rsidRDefault="00B41E7B">
      <w:pPr>
        <w:pStyle w:val="ListParagraph"/>
        <w:numPr>
          <w:ilvl w:val="0"/>
          <w:numId w:val="1"/>
        </w:numPr>
        <w:spacing w:after="120" w:line="360" w:lineRule="auto"/>
        <w:jc w:val="both"/>
        <w:rPr>
          <w:rFonts w:ascii="Arial" w:hAnsi="Arial" w:cs="Arial"/>
          <w:bCs/>
          <w:sz w:val="24"/>
          <w:szCs w:val="24"/>
          <w:lang w:val="en-US"/>
        </w:rPr>
      </w:pPr>
      <w:r>
        <w:rPr>
          <w:rFonts w:ascii="Arial" w:hAnsi="Arial" w:cs="Arial"/>
          <w:bCs/>
          <w:sz w:val="24"/>
          <w:szCs w:val="24"/>
          <w:lang w:val="en-US"/>
        </w:rPr>
        <w:t xml:space="preserve">At what time did the effect of the vehicle start to diminish? </w:t>
      </w:r>
    </w:p>
    <w:p w:rsidR="00480789" w:rsidRDefault="00B41E7B">
      <w:pPr>
        <w:pStyle w:val="ListParagraph"/>
        <w:numPr>
          <w:ilvl w:val="0"/>
          <w:numId w:val="1"/>
        </w:numPr>
        <w:spacing w:after="120" w:line="360" w:lineRule="auto"/>
        <w:jc w:val="both"/>
        <w:rPr>
          <w:rFonts w:ascii="Arial" w:hAnsi="Arial" w:cs="Arial"/>
          <w:bCs/>
          <w:sz w:val="24"/>
          <w:szCs w:val="24"/>
          <w:lang w:val="en-US"/>
        </w:rPr>
      </w:pPr>
      <w:r>
        <w:rPr>
          <w:rFonts w:ascii="Arial" w:hAnsi="Arial" w:cs="Arial"/>
          <w:bCs/>
          <w:sz w:val="24"/>
          <w:szCs w:val="24"/>
          <w:lang w:val="en-US"/>
        </w:rPr>
        <w:t>Were individuals in a fasting state more similar?</w:t>
      </w:r>
    </w:p>
    <w:p w:rsidR="00480789" w:rsidRDefault="00B41E7B">
      <w:pPr>
        <w:pStyle w:val="ListParagraph"/>
        <w:numPr>
          <w:ilvl w:val="0"/>
          <w:numId w:val="1"/>
        </w:numPr>
        <w:spacing w:after="120" w:line="360" w:lineRule="auto"/>
        <w:jc w:val="both"/>
        <w:rPr>
          <w:rFonts w:ascii="Arial" w:hAnsi="Arial" w:cs="Arial"/>
          <w:bCs/>
          <w:sz w:val="24"/>
          <w:szCs w:val="24"/>
          <w:lang w:val="en-US"/>
        </w:rPr>
      </w:pPr>
      <w:r>
        <w:rPr>
          <w:rFonts w:ascii="Arial" w:hAnsi="Arial" w:cs="Arial"/>
          <w:bCs/>
          <w:sz w:val="24"/>
          <w:szCs w:val="24"/>
          <w:lang w:val="en-US"/>
        </w:rPr>
        <w:t xml:space="preserve">Did their metabolism change greatly while fasting? </w:t>
      </w:r>
    </w:p>
    <w:p w:rsidR="00480789" w:rsidRDefault="00B41E7B">
      <w:pPr>
        <w:spacing w:after="120" w:line="360" w:lineRule="auto"/>
        <w:jc w:val="both"/>
        <w:rPr>
          <w:rFonts w:ascii="Arial" w:hAnsi="Arial" w:cs="Arial"/>
          <w:bCs/>
          <w:sz w:val="24"/>
          <w:szCs w:val="24"/>
          <w:lang w:val="en-US"/>
        </w:rPr>
      </w:pPr>
      <w:r>
        <w:rPr>
          <w:rFonts w:ascii="Arial" w:hAnsi="Arial" w:cs="Arial"/>
          <w:bCs/>
          <w:sz w:val="24"/>
          <w:szCs w:val="24"/>
          <w:lang w:val="en-US"/>
        </w:rPr>
        <w:t xml:space="preserve">While the last two questions do not relate to the aims of the study, their answers influence how we interpret other results. Next, we discuss the univariate methods used. </w:t>
      </w:r>
      <w:r>
        <w:rPr>
          <w:rFonts w:ascii="Arial" w:hAnsi="Arial" w:cs="Arial"/>
          <w:sz w:val="24"/>
          <w:szCs w:val="24"/>
          <w:lang w:val="en-US"/>
        </w:rPr>
        <w:t xml:space="preserve">These analyses were performed in </w:t>
      </w:r>
      <w:r>
        <w:rPr>
          <w:rFonts w:ascii="Arial" w:hAnsi="Arial" w:cs="Arial"/>
          <w:sz w:val="24"/>
          <w:szCs w:val="24"/>
          <w:lang w:val="en-US"/>
        </w:rPr>
        <w:t>Matlab and included (i) univariate statistics using the statistics toolbox; (ii) PCA using the PLS Toolbox; and (iii) PLS-DA using the PLS Toolbox [3].</w:t>
      </w:r>
    </w:p>
    <w:p w:rsidR="00480789" w:rsidRDefault="00480789">
      <w:pPr>
        <w:spacing w:after="120" w:line="360" w:lineRule="auto"/>
        <w:jc w:val="both"/>
        <w:rPr>
          <w:rFonts w:ascii="Arial" w:hAnsi="Arial" w:cs="Arial"/>
          <w:b/>
          <w:bCs/>
          <w:sz w:val="28"/>
          <w:szCs w:val="28"/>
          <w:lang w:val="en-US"/>
        </w:rPr>
      </w:pPr>
    </w:p>
    <w:p w:rsidR="00480789" w:rsidRDefault="00B41E7B">
      <w:pPr>
        <w:spacing w:after="120" w:line="360" w:lineRule="auto"/>
        <w:jc w:val="both"/>
        <w:rPr>
          <w:rFonts w:ascii="Arial" w:hAnsi="Arial" w:cs="Arial"/>
          <w:b/>
          <w:bCs/>
          <w:sz w:val="28"/>
          <w:szCs w:val="28"/>
          <w:lang w:val="en-US"/>
        </w:rPr>
      </w:pPr>
      <w:r>
        <w:rPr>
          <w:rFonts w:ascii="Arial" w:hAnsi="Arial" w:cs="Arial"/>
          <w:b/>
          <w:bCs/>
          <w:sz w:val="28"/>
          <w:szCs w:val="28"/>
          <w:lang w:val="en-US"/>
        </w:rPr>
        <w:t>S</w:t>
      </w:r>
      <w:r w:rsidR="00750248">
        <w:rPr>
          <w:rFonts w:ascii="Arial" w:hAnsi="Arial" w:cs="Arial"/>
          <w:b/>
          <w:bCs/>
          <w:sz w:val="28"/>
          <w:szCs w:val="28"/>
          <w:lang w:val="en-US"/>
        </w:rPr>
        <w:t xml:space="preserve">ection </w:t>
      </w:r>
      <w:r>
        <w:rPr>
          <w:rFonts w:ascii="Arial" w:hAnsi="Arial" w:cs="Arial"/>
          <w:b/>
          <w:bCs/>
          <w:sz w:val="28"/>
          <w:szCs w:val="28"/>
          <w:lang w:val="en-US"/>
        </w:rPr>
        <w:t>3.3.1 Univariate analysis</w:t>
      </w:r>
    </w:p>
    <w:p w:rsidR="00480789" w:rsidRDefault="00B41E7B">
      <w:pPr>
        <w:spacing w:after="120" w:line="360" w:lineRule="auto"/>
        <w:jc w:val="both"/>
        <w:rPr>
          <w:rFonts w:ascii="Arial" w:hAnsi="Arial" w:cs="Arial"/>
          <w:bCs/>
          <w:sz w:val="24"/>
          <w:szCs w:val="24"/>
          <w:lang w:val="en-US"/>
        </w:rPr>
      </w:pPr>
      <w:r>
        <w:rPr>
          <w:rFonts w:ascii="Arial" w:hAnsi="Arial" w:cs="Arial"/>
          <w:bCs/>
          <w:sz w:val="24"/>
          <w:szCs w:val="24"/>
          <w:lang w:val="en-US"/>
        </w:rPr>
        <w:t>The Wilcoxon signed rank test was first employed to find significant differe</w:t>
      </w:r>
      <w:r>
        <w:rPr>
          <w:rFonts w:ascii="Arial" w:hAnsi="Arial" w:cs="Arial"/>
          <w:bCs/>
          <w:sz w:val="24"/>
          <w:szCs w:val="24"/>
          <w:lang w:val="en-US"/>
        </w:rPr>
        <w:t>nces in the average ranks of bin values between two time points.  This hypothesis test is non-parametric (i.e. makes no distributional assumptions) and assumes samples are paired. Since cases were measured repeatedly, it is important to use statistical met</w:t>
      </w:r>
      <w:r>
        <w:rPr>
          <w:rFonts w:ascii="Arial" w:hAnsi="Arial" w:cs="Arial"/>
          <w:bCs/>
          <w:sz w:val="24"/>
          <w:szCs w:val="24"/>
          <w:lang w:val="en-US"/>
        </w:rPr>
        <w:t>hods that can model this dependence. Paired measures reduce some of the variation that is not of interest (i.e. between cases) and methods exploiting this are therefore better able to detect group differences.  All hypothesis tests rely on random sampling,</w:t>
      </w:r>
      <w:r>
        <w:rPr>
          <w:rFonts w:ascii="Arial" w:hAnsi="Arial" w:cs="Arial"/>
          <w:bCs/>
          <w:sz w:val="24"/>
          <w:szCs w:val="24"/>
          <w:lang w:val="en-US"/>
        </w:rPr>
        <w:t xml:space="preserve"> which is not the case here. Convenience sampling, as used here, can bias </w:t>
      </w:r>
      <w:r>
        <w:rPr>
          <w:rFonts w:ascii="Arial" w:hAnsi="Arial" w:cs="Arial"/>
          <w:bCs/>
          <w:sz w:val="24"/>
          <w:szCs w:val="24"/>
          <w:lang w:val="en-US"/>
        </w:rPr>
        <w:lastRenderedPageBreak/>
        <w:t>p-values produced by tests and they should be evaluated with caution. Further multiple testing requires controlling the family-wise error rate. However, since we did not base variabl</w:t>
      </w:r>
      <w:r>
        <w:rPr>
          <w:rFonts w:ascii="Arial" w:hAnsi="Arial" w:cs="Arial"/>
          <w:bCs/>
          <w:sz w:val="24"/>
          <w:szCs w:val="24"/>
          <w:lang w:val="en-US"/>
        </w:rPr>
        <w:t>e selection on hypothesis testing, these factors were less of a concern. Our aim here was simply to gain insight into the general progression of the effect of the treatment over time (i.e. whether differences became more pronounced or not).</w:t>
      </w:r>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Given the limit</w:t>
      </w:r>
      <w:r>
        <w:rPr>
          <w:rFonts w:ascii="Arial" w:hAnsi="Arial" w:cs="Arial"/>
          <w:bCs/>
          <w:sz w:val="24"/>
          <w:szCs w:val="24"/>
          <w:lang w:val="en-US"/>
        </w:rPr>
        <w:t xml:space="preserve">ations of hypothesis testing listed above, other univariate measures supplemented our evaluation of the general progression. For each bin, two more intuitive measures of group differences were also evaluated: (i) effects sizes based on the Wilcoxon signed </w:t>
      </w:r>
      <w:r>
        <w:rPr>
          <w:rFonts w:ascii="Arial" w:hAnsi="Arial" w:cs="Arial"/>
          <w:bCs/>
          <w:sz w:val="24"/>
          <w:szCs w:val="24"/>
          <w:lang w:val="en-US"/>
        </w:rPr>
        <w:t>rank z-statistic to evaluate practical significance; and (ii) fold change value.</w:t>
      </w:r>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Figure B provides the Volcano plots for all pairwise time point comparisons. A Volcano plot is essentially a scatter plot of the log</w:t>
      </w:r>
      <w:r>
        <w:rPr>
          <w:rFonts w:ascii="Arial" w:hAnsi="Arial" w:cs="Arial"/>
          <w:bCs/>
          <w:sz w:val="24"/>
          <w:szCs w:val="24"/>
          <w:vertAlign w:val="subscript"/>
          <w:lang w:val="en-US"/>
        </w:rPr>
        <w:t>2</w:t>
      </w:r>
      <w:r>
        <w:rPr>
          <w:rFonts w:ascii="Arial" w:hAnsi="Arial" w:cs="Arial"/>
          <w:bCs/>
          <w:sz w:val="24"/>
          <w:szCs w:val="24"/>
          <w:lang w:val="en-US"/>
        </w:rPr>
        <w:t xml:space="preserve"> scaled fold change values against the –lo</w:t>
      </w:r>
      <w:r>
        <w:rPr>
          <w:rFonts w:ascii="Arial" w:hAnsi="Arial" w:cs="Arial"/>
          <w:bCs/>
          <w:sz w:val="24"/>
          <w:szCs w:val="24"/>
          <w:lang w:val="en-US"/>
        </w:rPr>
        <w:t>g</w:t>
      </w:r>
      <w:r>
        <w:rPr>
          <w:rFonts w:ascii="Arial" w:hAnsi="Arial" w:cs="Arial"/>
          <w:bCs/>
          <w:sz w:val="24"/>
          <w:szCs w:val="24"/>
          <w:vertAlign w:val="subscript"/>
          <w:lang w:val="en-US"/>
        </w:rPr>
        <w:t>10</w:t>
      </w:r>
      <w:r>
        <w:rPr>
          <w:rFonts w:ascii="Arial" w:hAnsi="Arial" w:cs="Arial"/>
          <w:bCs/>
          <w:sz w:val="24"/>
          <w:szCs w:val="24"/>
          <w:lang w:val="en-US"/>
        </w:rPr>
        <w:t xml:space="preserve"> scaled p-values (in this case p-values from the Wilcoxon signed rank test). By performing scaling, the plot is able to highlight the discriminatory bins in the upper left and right corners for a given threshold. In this instance bins with p-values belo</w:t>
      </w:r>
      <w:r>
        <w:rPr>
          <w:rFonts w:ascii="Arial" w:hAnsi="Arial" w:cs="Arial"/>
          <w:bCs/>
          <w:sz w:val="24"/>
          <w:szCs w:val="24"/>
          <w:lang w:val="en-US"/>
        </w:rPr>
        <w:t>w 0.05 and fold change values larger than 2 were highlighted in the figures. From Figure B it is evident that individual bins start to reflect the effect of the vehicle intervention 1 hour after consumption.</w:t>
      </w:r>
    </w:p>
    <w:p w:rsidR="00480789" w:rsidRDefault="00480789">
      <w:pPr>
        <w:spacing w:after="120" w:line="360" w:lineRule="auto"/>
        <w:jc w:val="both"/>
        <w:rPr>
          <w:rFonts w:ascii="Arial" w:hAnsi="Arial" w:cs="Arial"/>
          <w:bCs/>
          <w:sz w:val="24"/>
          <w:szCs w:val="24"/>
          <w:lang w:val="en-US"/>
        </w:rPr>
      </w:pPr>
    </w:p>
    <w:tbl>
      <w:tblPr>
        <w:tblStyle w:val="TableGrid"/>
        <w:tblW w:w="10123" w:type="dxa"/>
        <w:tblInd w:w="-459" w:type="dxa"/>
        <w:tblLook w:val="04A0" w:firstRow="1" w:lastRow="0" w:firstColumn="1" w:lastColumn="0" w:noHBand="0" w:noVBand="1"/>
      </w:tblPr>
      <w:tblGrid>
        <w:gridCol w:w="10123"/>
      </w:tblGrid>
      <w:tr w:rsidR="00480789">
        <w:trPr>
          <w:trHeight w:val="3017"/>
        </w:trPr>
        <w:tc>
          <w:tcPr>
            <w:tcW w:w="10123" w:type="dxa"/>
          </w:tcPr>
          <w:p w:rsidR="00480789" w:rsidRDefault="00B41E7B">
            <w:pPr>
              <w:spacing w:after="120" w:line="360" w:lineRule="auto"/>
              <w:jc w:val="center"/>
              <w:rPr>
                <w:rFonts w:ascii="Arial" w:hAnsi="Arial" w:cs="Arial"/>
                <w:bCs/>
                <w:sz w:val="24"/>
                <w:szCs w:val="24"/>
                <w:lang w:val="en-US"/>
              </w:rPr>
            </w:pPr>
            <w:r>
              <w:rPr>
                <w:rFonts w:ascii="Arial" w:hAnsi="Arial" w:cs="Arial"/>
                <w:bCs/>
                <w:noProof/>
                <w:sz w:val="24"/>
                <w:szCs w:val="24"/>
                <w:lang w:val="en-US"/>
              </w:rPr>
              <w:lastRenderedPageBreak/>
              <w:drawing>
                <wp:inline distT="0" distB="0" distL="0" distR="0">
                  <wp:extent cx="6291304" cy="3434316"/>
                  <wp:effectExtent l="0" t="0" r="0" b="0"/>
                  <wp:docPr id="3" name="Picture 3" descr="C:\Users\12791733\Desktop\ALL VOLC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791733\Desktop\ALL VOLCAN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3257" cy="3435382"/>
                          </a:xfrm>
                          <a:prstGeom prst="rect">
                            <a:avLst/>
                          </a:prstGeom>
                          <a:noFill/>
                          <a:ln>
                            <a:noFill/>
                          </a:ln>
                        </pic:spPr>
                      </pic:pic>
                    </a:graphicData>
                  </a:graphic>
                </wp:inline>
              </w:drawing>
            </w:r>
          </w:p>
        </w:tc>
      </w:tr>
      <w:tr w:rsidR="00480789">
        <w:tc>
          <w:tcPr>
            <w:tcW w:w="10123" w:type="dxa"/>
            <w:vAlign w:val="center"/>
          </w:tcPr>
          <w:p w:rsidR="00480789" w:rsidRDefault="00B41E7B">
            <w:pPr>
              <w:jc w:val="both"/>
              <w:rPr>
                <w:rFonts w:ascii="Arial" w:hAnsi="Arial" w:cs="Arial"/>
                <w:b/>
                <w:bCs/>
                <w:sz w:val="24"/>
                <w:szCs w:val="24"/>
                <w:lang w:val="en-US"/>
              </w:rPr>
            </w:pPr>
            <w:r>
              <w:rPr>
                <w:rFonts w:ascii="Arial" w:hAnsi="Arial" w:cs="Arial"/>
                <w:b/>
                <w:bCs/>
                <w:sz w:val="24"/>
                <w:szCs w:val="24"/>
                <w:lang w:val="en-US"/>
              </w:rPr>
              <w:t>Figure B: Volcano Plots of Pairwise Time Poi</w:t>
            </w:r>
            <w:r>
              <w:rPr>
                <w:rFonts w:ascii="Arial" w:hAnsi="Arial" w:cs="Arial"/>
                <w:b/>
                <w:bCs/>
                <w:sz w:val="24"/>
                <w:szCs w:val="24"/>
                <w:lang w:val="en-US"/>
              </w:rPr>
              <w:t xml:space="preserve">nt Comparisons with time 0 </w:t>
            </w:r>
          </w:p>
          <w:p w:rsidR="00480789" w:rsidRDefault="00B41E7B">
            <w:pPr>
              <w:jc w:val="both"/>
              <w:rPr>
                <w:rFonts w:ascii="Arial" w:hAnsi="Arial" w:cs="Arial"/>
                <w:bCs/>
                <w:sz w:val="24"/>
                <w:szCs w:val="24"/>
                <w:lang w:val="en-US"/>
              </w:rPr>
            </w:pPr>
            <w:r>
              <w:rPr>
                <w:rFonts w:ascii="Arial" w:hAnsi="Arial" w:cs="Arial"/>
                <w:bCs/>
                <w:sz w:val="24"/>
                <w:szCs w:val="24"/>
                <w:lang w:val="en-US"/>
              </w:rPr>
              <w:t>The figure displays the individual Volcano plots for the pairwise comparisons of time –1 vs. time 0 (A); time 0 vs. time 1 (B); time 0 vs. time 2 (C); time 0 vs. time 3 (D); and time 0 vs. time 4 (E).</w:t>
            </w:r>
          </w:p>
        </w:tc>
      </w:tr>
    </w:tbl>
    <w:p w:rsidR="00480789" w:rsidRDefault="00480789">
      <w:pPr>
        <w:spacing w:after="120" w:line="360" w:lineRule="auto"/>
        <w:jc w:val="both"/>
        <w:rPr>
          <w:rFonts w:ascii="Arial" w:hAnsi="Arial" w:cs="Arial"/>
          <w:b/>
          <w:bCs/>
          <w:sz w:val="28"/>
          <w:szCs w:val="28"/>
          <w:lang w:val="en-US"/>
        </w:rPr>
      </w:pPr>
    </w:p>
    <w:p w:rsidR="00480789" w:rsidRDefault="00B41E7B">
      <w:pPr>
        <w:spacing w:after="120" w:line="360" w:lineRule="auto"/>
        <w:jc w:val="both"/>
        <w:rPr>
          <w:rFonts w:ascii="Arial" w:hAnsi="Arial" w:cs="Arial"/>
          <w:b/>
          <w:bCs/>
          <w:sz w:val="28"/>
          <w:szCs w:val="28"/>
          <w:lang w:val="en-US"/>
        </w:rPr>
      </w:pPr>
      <w:r>
        <w:rPr>
          <w:rFonts w:ascii="Arial" w:hAnsi="Arial" w:cs="Arial"/>
          <w:b/>
          <w:bCs/>
          <w:sz w:val="28"/>
          <w:szCs w:val="28"/>
          <w:lang w:val="en-US"/>
        </w:rPr>
        <w:t>S</w:t>
      </w:r>
      <w:r w:rsidR="00750248">
        <w:rPr>
          <w:rFonts w:ascii="Arial" w:hAnsi="Arial" w:cs="Arial"/>
          <w:b/>
          <w:bCs/>
          <w:sz w:val="28"/>
          <w:szCs w:val="28"/>
          <w:lang w:val="en-US"/>
        </w:rPr>
        <w:t xml:space="preserve">ection </w:t>
      </w:r>
      <w:r>
        <w:rPr>
          <w:rFonts w:ascii="Arial" w:hAnsi="Arial" w:cs="Arial"/>
          <w:b/>
          <w:bCs/>
          <w:sz w:val="28"/>
          <w:szCs w:val="28"/>
          <w:lang w:val="en-US"/>
        </w:rPr>
        <w:t xml:space="preserve">3.3.2 Multivariate </w:t>
      </w:r>
      <w:r>
        <w:rPr>
          <w:rFonts w:ascii="Arial" w:hAnsi="Arial" w:cs="Arial"/>
          <w:b/>
          <w:bCs/>
          <w:sz w:val="28"/>
          <w:szCs w:val="28"/>
          <w:lang w:val="en-US"/>
        </w:rPr>
        <w:t>analysis</w:t>
      </w:r>
    </w:p>
    <w:p w:rsidR="00480789" w:rsidRDefault="00B41E7B">
      <w:pPr>
        <w:spacing w:after="120" w:line="360" w:lineRule="auto"/>
        <w:jc w:val="both"/>
        <w:rPr>
          <w:rFonts w:ascii="Arial" w:hAnsi="Arial" w:cs="Arial"/>
          <w:bCs/>
          <w:sz w:val="24"/>
          <w:szCs w:val="24"/>
          <w:lang w:val="en-US"/>
        </w:rPr>
      </w:pPr>
      <w:r>
        <w:rPr>
          <w:rFonts w:ascii="Arial" w:hAnsi="Arial" w:cs="Arial"/>
          <w:bCs/>
          <w:sz w:val="24"/>
          <w:szCs w:val="24"/>
          <w:lang w:val="en-US"/>
        </w:rPr>
        <w:t>To gain insight into the interactions between bins, i.e. to find bins which in combination differ between groups, we made use of multivariate statistical methods. Euclidean and Ward cluster analysis was used to find natural groupings between the c</w:t>
      </w:r>
      <w:r>
        <w:rPr>
          <w:rFonts w:ascii="Arial" w:hAnsi="Arial" w:cs="Arial"/>
          <w:bCs/>
          <w:sz w:val="24"/>
          <w:szCs w:val="24"/>
          <w:lang w:val="en-US"/>
        </w:rPr>
        <w:t>ases based on the bin data provided, but without providing information on the known group structure (unsupervised). Cluster analysis makes use of a distance measure (Euclidean) to measure the distances or difference between samples based on the measured va</w:t>
      </w:r>
      <w:r>
        <w:rPr>
          <w:rFonts w:ascii="Arial" w:hAnsi="Arial" w:cs="Arial"/>
          <w:bCs/>
          <w:sz w:val="24"/>
          <w:szCs w:val="24"/>
          <w:lang w:val="en-US"/>
        </w:rPr>
        <w:t>riables. A linkage method (Ward) was then used to group neighboring samples. The groups formed can be viewed using a dendrogram. If these groups coincide with the known group structure (as indicated by labeling the dendrogram after the fact), we can be con</w:t>
      </w:r>
      <w:r>
        <w:rPr>
          <w:rFonts w:ascii="Arial" w:hAnsi="Arial" w:cs="Arial"/>
          <w:bCs/>
          <w:sz w:val="24"/>
          <w:szCs w:val="24"/>
          <w:lang w:val="en-US"/>
        </w:rPr>
        <w:t>fident that the data set contains discriminatory bins. For more detail on cluster analysis refer to Field [7]. Figure C shows the dendrograms for all pairwise time point comparisons with time 0. The interesting findings from these dendrograms are discussed</w:t>
      </w:r>
      <w:r>
        <w:rPr>
          <w:rFonts w:ascii="Arial" w:hAnsi="Arial" w:cs="Arial"/>
          <w:bCs/>
          <w:sz w:val="24"/>
          <w:szCs w:val="24"/>
          <w:lang w:val="en-US"/>
        </w:rPr>
        <w:t xml:space="preserve"> in the main paper.</w:t>
      </w:r>
    </w:p>
    <w:tbl>
      <w:tblPr>
        <w:tblStyle w:val="TableGrid"/>
        <w:tblW w:w="10064" w:type="dxa"/>
        <w:tblInd w:w="-459" w:type="dxa"/>
        <w:tblLayout w:type="fixed"/>
        <w:tblLook w:val="04A0" w:firstRow="1" w:lastRow="0" w:firstColumn="1" w:lastColumn="0" w:noHBand="0" w:noVBand="1"/>
      </w:tblPr>
      <w:tblGrid>
        <w:gridCol w:w="10064"/>
      </w:tblGrid>
      <w:tr w:rsidR="00480789">
        <w:trPr>
          <w:trHeight w:val="3017"/>
        </w:trPr>
        <w:tc>
          <w:tcPr>
            <w:tcW w:w="10064" w:type="dxa"/>
          </w:tcPr>
          <w:p w:rsidR="00480789" w:rsidRDefault="00B41E7B">
            <w:pPr>
              <w:spacing w:after="120" w:line="360" w:lineRule="auto"/>
              <w:jc w:val="center"/>
              <w:rPr>
                <w:rFonts w:ascii="Arial" w:hAnsi="Arial" w:cs="Arial"/>
                <w:bCs/>
                <w:sz w:val="24"/>
                <w:szCs w:val="24"/>
                <w:lang w:val="en-US"/>
              </w:rPr>
            </w:pPr>
            <w:r>
              <w:rPr>
                <w:rFonts w:ascii="Arial" w:hAnsi="Arial" w:cs="Arial"/>
                <w:bCs/>
                <w:noProof/>
                <w:sz w:val="24"/>
                <w:szCs w:val="24"/>
                <w:lang w:val="en-US"/>
              </w:rPr>
              <w:lastRenderedPageBreak/>
              <w:drawing>
                <wp:inline distT="0" distB="0" distL="0" distR="0">
                  <wp:extent cx="6275121" cy="6719305"/>
                  <wp:effectExtent l="0" t="0" r="0" b="0"/>
                  <wp:docPr id="6" name="Picture 6" descr="C:\Users\NWUUser\Desktop\ALL Clus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WUUser\Desktop\ALL Cluster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4405" cy="6729247"/>
                          </a:xfrm>
                          <a:prstGeom prst="rect">
                            <a:avLst/>
                          </a:prstGeom>
                          <a:noFill/>
                          <a:ln>
                            <a:noFill/>
                          </a:ln>
                        </pic:spPr>
                      </pic:pic>
                    </a:graphicData>
                  </a:graphic>
                </wp:inline>
              </w:drawing>
            </w:r>
          </w:p>
        </w:tc>
      </w:tr>
      <w:tr w:rsidR="00480789">
        <w:tc>
          <w:tcPr>
            <w:tcW w:w="10064" w:type="dxa"/>
            <w:vAlign w:val="center"/>
          </w:tcPr>
          <w:p w:rsidR="00480789" w:rsidRDefault="00B41E7B">
            <w:pPr>
              <w:spacing w:after="120" w:line="360" w:lineRule="auto"/>
              <w:jc w:val="both"/>
              <w:rPr>
                <w:rFonts w:ascii="Arial" w:hAnsi="Arial" w:cs="Arial"/>
                <w:b/>
                <w:bCs/>
                <w:sz w:val="24"/>
                <w:szCs w:val="24"/>
                <w:lang w:val="en-US"/>
              </w:rPr>
            </w:pPr>
            <w:r>
              <w:rPr>
                <w:rFonts w:ascii="Arial" w:hAnsi="Arial" w:cs="Arial"/>
                <w:b/>
                <w:bCs/>
                <w:sz w:val="24"/>
                <w:szCs w:val="24"/>
                <w:lang w:val="en-US"/>
              </w:rPr>
              <w:t xml:space="preserve">Figure C: Dendrograms of Pairwise Time Point Comparisons with time 0 </w:t>
            </w:r>
          </w:p>
          <w:p w:rsidR="00480789" w:rsidRDefault="00B41E7B">
            <w:pPr>
              <w:spacing w:after="120"/>
              <w:jc w:val="both"/>
              <w:rPr>
                <w:rFonts w:ascii="Arial" w:hAnsi="Arial" w:cs="Arial"/>
                <w:bCs/>
                <w:sz w:val="24"/>
                <w:szCs w:val="24"/>
                <w:lang w:val="en-US"/>
              </w:rPr>
            </w:pPr>
            <w:r>
              <w:rPr>
                <w:rFonts w:ascii="Arial" w:hAnsi="Arial" w:cs="Arial"/>
                <w:bCs/>
                <w:sz w:val="24"/>
                <w:szCs w:val="24"/>
                <w:lang w:val="en-US"/>
              </w:rPr>
              <w:t>The figure displays the individual dendrograms for the pairwise comparisons of time –1 vs. time 0 (A); time 0 vs. time 1 (B); time 0 vs. time 2 (C); time 0 vs. tim</w:t>
            </w:r>
            <w:r>
              <w:rPr>
                <w:rFonts w:ascii="Arial" w:hAnsi="Arial" w:cs="Arial"/>
                <w:bCs/>
                <w:sz w:val="24"/>
                <w:szCs w:val="24"/>
                <w:lang w:val="en-US"/>
              </w:rPr>
              <w:t>e 3 (D); and time 0 vs. time 4 (E).</w:t>
            </w:r>
          </w:p>
        </w:tc>
      </w:tr>
    </w:tbl>
    <w:p w:rsidR="00480789" w:rsidRDefault="00480789">
      <w:pPr>
        <w:spacing w:after="120" w:line="360" w:lineRule="auto"/>
        <w:jc w:val="both"/>
        <w:rPr>
          <w:rFonts w:ascii="Arial" w:hAnsi="Arial" w:cs="Arial"/>
          <w:bCs/>
          <w:sz w:val="24"/>
          <w:szCs w:val="24"/>
          <w:lang w:val="en-US"/>
        </w:rPr>
      </w:pPr>
    </w:p>
    <w:p w:rsidR="00480789" w:rsidRDefault="00480789">
      <w:pPr>
        <w:spacing w:after="120" w:line="360" w:lineRule="auto"/>
        <w:jc w:val="both"/>
        <w:rPr>
          <w:rFonts w:ascii="Arial" w:hAnsi="Arial" w:cs="Arial"/>
          <w:bCs/>
          <w:sz w:val="24"/>
          <w:szCs w:val="24"/>
          <w:lang w:val="en-US"/>
        </w:rPr>
      </w:pPr>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lastRenderedPageBreak/>
        <w:t>Principal component analysis (PCA) was used to project the hundreds of bins onto a two-dimensional subspace using the following model:</w:t>
      </w:r>
    </w:p>
    <w:p w:rsidR="00480789" w:rsidRDefault="00B41E7B">
      <w:pPr>
        <w:spacing w:after="120" w:line="360" w:lineRule="auto"/>
        <w:jc w:val="both"/>
        <w:rPr>
          <w:rFonts w:ascii="Arial" w:hAnsi="Arial" w:cs="Arial"/>
          <w:bCs/>
          <w:sz w:val="24"/>
          <w:szCs w:val="24"/>
          <w:lang w:val="en-US"/>
        </w:rPr>
      </w:pPr>
      <w:r>
        <w:rPr>
          <w:rFonts w:ascii="Arial" w:hAnsi="Arial" w:cs="Arial"/>
          <w:bCs/>
          <w:sz w:val="24"/>
          <w:szCs w:val="24"/>
          <w:lang w:val="en-US"/>
        </w:rPr>
        <w:t xml:space="preserve">If </w:t>
      </w:r>
      <m:oMath>
        <m:r>
          <w:rPr>
            <w:rFonts w:ascii="Cambria Math" w:hAnsi="Cambria Math" w:cs="Arial"/>
            <w:sz w:val="24"/>
            <w:szCs w:val="24"/>
            <w:lang w:val="en-US"/>
          </w:rPr>
          <m:t>D</m:t>
        </m:r>
      </m:oMath>
      <w:r>
        <w:rPr>
          <w:rFonts w:ascii="Arial" w:hAnsi="Arial" w:cs="Arial"/>
          <w:bCs/>
          <w:sz w:val="24"/>
          <w:szCs w:val="24"/>
          <w:lang w:val="en-US"/>
        </w:rPr>
        <w:t xml:space="preserve"> represents a data matrix of </w:t>
      </w:r>
      <m:oMath>
        <m:r>
          <w:rPr>
            <w:rFonts w:ascii="Cambria Math" w:hAnsi="Cambria Math" w:cs="Arial"/>
            <w:sz w:val="24"/>
            <w:szCs w:val="24"/>
            <w:lang w:val="en-US"/>
          </w:rPr>
          <m:t>N</m:t>
        </m:r>
      </m:oMath>
      <w:r>
        <w:rPr>
          <w:rFonts w:ascii="Arial" w:hAnsi="Arial" w:cs="Arial"/>
          <w:bCs/>
          <w:sz w:val="24"/>
          <w:szCs w:val="24"/>
          <w:lang w:val="en-US"/>
        </w:rPr>
        <w:t xml:space="preserve"> cases (i.e. samples) by </w:t>
      </w:r>
      <m:oMath>
        <m:r>
          <w:rPr>
            <w:rFonts w:ascii="Cambria Math" w:hAnsi="Cambria Math" w:cs="Arial"/>
            <w:sz w:val="24"/>
            <w:szCs w:val="24"/>
            <w:lang w:val="en-US"/>
          </w:rPr>
          <m:t>K</m:t>
        </m:r>
      </m:oMath>
      <w:r>
        <w:rPr>
          <w:rFonts w:ascii="Arial" w:hAnsi="Arial" w:cs="Arial"/>
          <w:bCs/>
          <w:sz w:val="24"/>
          <w:szCs w:val="24"/>
          <w:lang w:val="en-US"/>
        </w:rPr>
        <w:t xml:space="preserve"> variables, where the </w:t>
      </w:r>
      <m:oMath>
        <m:r>
          <w:rPr>
            <w:rFonts w:ascii="Cambria Math" w:hAnsi="Cambria Math" w:cs="Arial"/>
            <w:sz w:val="24"/>
            <w:szCs w:val="24"/>
            <w:lang w:val="en-US"/>
          </w:rPr>
          <m:t>N</m:t>
        </m:r>
      </m:oMath>
      <w:r>
        <w:rPr>
          <w:rFonts w:ascii="Arial" w:hAnsi="Arial" w:cs="Arial"/>
          <w:bCs/>
          <w:sz w:val="24"/>
          <w:szCs w:val="24"/>
          <w:lang w:val="en-US"/>
        </w:rPr>
        <w:t xml:space="preserve"> cases represent observations across all factor levels, then the PCA model of </w:t>
      </w:r>
      <m:oMath>
        <m:r>
          <w:rPr>
            <w:rFonts w:ascii="Cambria Math" w:hAnsi="Cambria Math" w:cs="Arial"/>
            <w:sz w:val="24"/>
            <w:szCs w:val="24"/>
            <w:lang w:val="en-US"/>
          </w:rPr>
          <m:t>D</m:t>
        </m:r>
      </m:oMath>
      <w:r>
        <w:rPr>
          <w:rFonts w:ascii="Arial" w:hAnsi="Arial" w:cs="Arial"/>
          <w:bCs/>
          <w:sz w:val="24"/>
          <w:szCs w:val="24"/>
          <w:lang w:val="en-US"/>
        </w:rPr>
        <w:t xml:space="preserve"> can be written as: </w:t>
      </w:r>
      <m:oMath>
        <m:r>
          <w:rPr>
            <w:rFonts w:ascii="Cambria Math" w:hAnsi="Cambria Math" w:cs="Arial"/>
            <w:sz w:val="24"/>
            <w:szCs w:val="24"/>
            <w:lang w:val="en-US"/>
          </w:rPr>
          <m:t>D</m:t>
        </m:r>
        <m:r>
          <w:rPr>
            <w:rFonts w:ascii="Cambria Math" w:hAnsi="Cambria Math" w:cs="Arial"/>
            <w:sz w:val="24"/>
            <w:szCs w:val="24"/>
            <w:lang w:val="en-US"/>
          </w:rPr>
          <m:t>=</m:t>
        </m:r>
        <m:r>
          <w:rPr>
            <w:rFonts w:ascii="Cambria Math" w:hAnsi="Cambria Math" w:cs="Arial"/>
            <w:sz w:val="24"/>
            <w:szCs w:val="24"/>
            <w:lang w:val="en-US"/>
          </w:rPr>
          <m:t>TP</m:t>
        </m:r>
        <m:r>
          <w:rPr>
            <w:rFonts w:ascii="Cambria Math" w:hAnsi="Cambria Math" w:cs="Arial"/>
            <w:sz w:val="24"/>
            <w:szCs w:val="24"/>
            <w:lang w:val="en-US"/>
          </w:rPr>
          <m:t>'+</m:t>
        </m:r>
        <m:r>
          <w:rPr>
            <w:rFonts w:ascii="Cambria Math" w:hAnsi="Cambria Math" w:cs="Arial"/>
            <w:sz w:val="24"/>
            <w:szCs w:val="24"/>
            <w:lang w:val="en-US"/>
          </w:rPr>
          <m:t>E</m:t>
        </m:r>
      </m:oMath>
      <w:r>
        <w:rPr>
          <w:rFonts w:ascii="Arial" w:eastAsiaTheme="minorEastAsia" w:hAnsi="Arial" w:cs="Arial"/>
          <w:sz w:val="24"/>
          <w:szCs w:val="24"/>
          <w:lang w:val="en-US"/>
        </w:rPr>
        <w:t xml:space="preserve">, </w:t>
      </w:r>
      <w:r>
        <w:rPr>
          <w:rFonts w:ascii="Arial" w:hAnsi="Arial" w:cs="Arial"/>
          <w:bCs/>
          <w:sz w:val="24"/>
          <w:szCs w:val="24"/>
          <w:lang w:val="en-US"/>
        </w:rPr>
        <w:t xml:space="preserve">where </w:t>
      </w:r>
      <m:oMath>
        <m:r>
          <w:rPr>
            <w:rFonts w:ascii="Cambria Math" w:hAnsi="Cambria Math" w:cs="Arial"/>
            <w:sz w:val="24"/>
            <w:szCs w:val="24"/>
            <w:lang w:val="en-US"/>
          </w:rPr>
          <m:t>T</m:t>
        </m:r>
      </m:oMath>
      <w:r>
        <w:rPr>
          <w:rFonts w:ascii="Arial" w:hAnsi="Arial" w:cs="Arial"/>
          <w:bCs/>
          <w:sz w:val="24"/>
          <w:szCs w:val="24"/>
          <w:lang w:val="en-US"/>
        </w:rPr>
        <w:t xml:space="preserve"> represents the scores and </w:t>
      </w:r>
      <m:oMath>
        <m:r>
          <w:rPr>
            <w:rFonts w:ascii="Cambria Math" w:hAnsi="Cambria Math" w:cs="Arial"/>
            <w:sz w:val="24"/>
            <w:szCs w:val="24"/>
            <w:lang w:val="en-US"/>
          </w:rPr>
          <m:t>P</m:t>
        </m:r>
        <m:r>
          <w:rPr>
            <w:rFonts w:ascii="Cambria Math" w:hAnsi="Cambria Math" w:cs="Arial"/>
            <w:sz w:val="24"/>
            <w:szCs w:val="24"/>
            <w:lang w:val="en-US"/>
          </w:rPr>
          <m:t>’</m:t>
        </m:r>
      </m:oMath>
      <w:r>
        <w:rPr>
          <w:rFonts w:ascii="Arial" w:hAnsi="Arial" w:cs="Arial"/>
          <w:bCs/>
          <w:sz w:val="24"/>
          <w:szCs w:val="24"/>
          <w:lang w:val="en-US"/>
        </w:rPr>
        <w:t xml:space="preserve"> the transposed loadings matrices, respectively. Given that the dimensionality of</w:t>
      </w:r>
      <w:r>
        <w:rPr>
          <w:rFonts w:ascii="Arial" w:hAnsi="Arial" w:cs="Arial"/>
          <w:bCs/>
          <w:sz w:val="24"/>
          <w:szCs w:val="24"/>
          <w:lang w:val="en-US"/>
        </w:rPr>
        <w:t xml:space="preserve"> </w:t>
      </w:r>
      <m:oMath>
        <m:r>
          <w:rPr>
            <w:rFonts w:ascii="Cambria Math" w:hAnsi="Cambria Math" w:cs="Arial"/>
            <w:sz w:val="24"/>
            <w:szCs w:val="24"/>
            <w:lang w:val="en-US"/>
          </w:rPr>
          <m:t>D</m:t>
        </m:r>
      </m:oMath>
      <w:r>
        <w:rPr>
          <w:rFonts w:ascii="Arial" w:hAnsi="Arial" w:cs="Arial"/>
          <w:bCs/>
          <w:sz w:val="24"/>
          <w:szCs w:val="24"/>
          <w:lang w:val="en-US"/>
        </w:rPr>
        <w:t xml:space="preserve"> is reduced, the error matrix </w:t>
      </w:r>
      <m:oMath>
        <m:r>
          <w:rPr>
            <w:rFonts w:ascii="Cambria Math" w:hAnsi="Cambria Math" w:cs="Arial"/>
            <w:sz w:val="24"/>
            <w:szCs w:val="24"/>
            <w:lang w:val="en-US"/>
          </w:rPr>
          <m:t>E</m:t>
        </m:r>
      </m:oMath>
      <w:r>
        <w:rPr>
          <w:rFonts w:ascii="Arial" w:hAnsi="Arial" w:cs="Arial"/>
          <w:bCs/>
          <w:sz w:val="24"/>
          <w:szCs w:val="24"/>
          <w:lang w:val="en-US"/>
        </w:rPr>
        <w:t xml:space="preserve"> is added to account for the variation not explained by the model (</w:t>
      </w:r>
      <m:oMath>
        <m:r>
          <w:rPr>
            <w:rFonts w:ascii="Cambria Math" w:hAnsi="Cambria Math" w:cs="Arial"/>
            <w:sz w:val="24"/>
            <w:szCs w:val="24"/>
            <w:lang w:val="en-US"/>
          </w:rPr>
          <m:t>TP</m:t>
        </m:r>
        <m:r>
          <w:rPr>
            <w:rFonts w:ascii="Cambria Math" w:hAnsi="Cambria Math" w:cs="Arial"/>
            <w:sz w:val="24"/>
            <w:szCs w:val="24"/>
            <w:lang w:val="en-US"/>
          </w:rPr>
          <m:t>’</m:t>
        </m:r>
      </m:oMath>
      <w:r>
        <w:rPr>
          <w:rFonts w:ascii="Arial" w:eastAsiaTheme="minorEastAsia" w:hAnsi="Arial" w:cs="Arial"/>
          <w:sz w:val="24"/>
          <w:szCs w:val="24"/>
          <w:lang w:val="en-US"/>
        </w:rPr>
        <w:t>)</w:t>
      </w:r>
      <w:r>
        <w:rPr>
          <w:rFonts w:ascii="Arial" w:hAnsi="Arial" w:cs="Arial"/>
          <w:bCs/>
          <w:sz w:val="24"/>
          <w:szCs w:val="24"/>
          <w:lang w:val="en-US"/>
        </w:rPr>
        <w:t>. For more detail refer to [8].</w:t>
      </w:r>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Such a projection allows for a clearer view of the influence of experimental factors, specifically which factor domi</w:t>
      </w:r>
      <w:r>
        <w:rPr>
          <w:rFonts w:ascii="Arial" w:hAnsi="Arial" w:cs="Arial"/>
          <w:bCs/>
          <w:sz w:val="24"/>
          <w:szCs w:val="24"/>
          <w:lang w:val="en-US"/>
        </w:rPr>
        <w:t xml:space="preserve">nates the variability in the data. PCA, like cluster analysis, is also an unsupervised method, therefore the influence of experimental factors becomes visible when labeling the scores (values for samples in the new subspace) according to associated factor </w:t>
      </w:r>
      <w:r>
        <w:rPr>
          <w:rFonts w:ascii="Arial" w:hAnsi="Arial" w:cs="Arial"/>
          <w:bCs/>
          <w:sz w:val="24"/>
          <w:szCs w:val="24"/>
          <w:lang w:val="en-US"/>
        </w:rPr>
        <w:t>level after the model has been constructed, in our case the times associated with each sample. Projecting the matrix also allows us to evaluate the influence of each variable on the projected scores. In other words, if we find that our group structure pred</w:t>
      </w:r>
      <w:r>
        <w:rPr>
          <w:rFonts w:ascii="Arial" w:hAnsi="Arial" w:cs="Arial"/>
          <w:bCs/>
          <w:sz w:val="24"/>
          <w:szCs w:val="24"/>
          <w:lang w:val="en-US"/>
        </w:rPr>
        <w:t xml:space="preserve">ominantly explains the covariance structure of the data, we can evaluate the loadings (values for variables or bins in the new subspace) to identify a list of variables with discriminatory ability on their own or in combination. The loadings were not used </w:t>
      </w:r>
      <w:r>
        <w:rPr>
          <w:rFonts w:ascii="Arial" w:hAnsi="Arial" w:cs="Arial"/>
          <w:bCs/>
          <w:sz w:val="24"/>
          <w:szCs w:val="24"/>
          <w:lang w:val="en-US"/>
        </w:rPr>
        <w:t>during the PCA analysis but extensively so in the ASCA model (discussed later), which is built on the PCA model.</w:t>
      </w:r>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Figure D shows the score plots for all pairwise time point comparisons with time 0. Figure D(A) indicates how fasting state did not change over</w:t>
      </w:r>
      <w:r>
        <w:rPr>
          <w:rFonts w:ascii="Arial" w:hAnsi="Arial" w:cs="Arial"/>
          <w:bCs/>
          <w:sz w:val="24"/>
          <w:szCs w:val="24"/>
          <w:lang w:val="en-US"/>
        </w:rPr>
        <w:t xml:space="preserve"> time since times –1 and 0 are very similar and the individual cases are closely comparable. Figures D(B) – D(E) show how the global bin profile changes relative to the starting point of the intervention. The effect of the vehicle is already evident after </w:t>
      </w:r>
      <w:r>
        <w:rPr>
          <w:rFonts w:ascii="Arial" w:hAnsi="Arial" w:cs="Arial"/>
          <w:bCs/>
          <w:sz w:val="24"/>
          <w:szCs w:val="24"/>
          <w:lang w:val="en-US"/>
        </w:rPr>
        <w:t>the first hour, starts to diminish after two hours, and cases continue to return to normal three and four hours after the intervention.</w:t>
      </w:r>
    </w:p>
    <w:p w:rsidR="00480789" w:rsidRDefault="00480789">
      <w:pPr>
        <w:spacing w:after="120" w:line="360" w:lineRule="auto"/>
        <w:jc w:val="both"/>
        <w:rPr>
          <w:rFonts w:ascii="Arial" w:hAnsi="Arial" w:cs="Arial"/>
          <w:bCs/>
          <w:sz w:val="24"/>
          <w:szCs w:val="24"/>
          <w:lang w:val="en-US"/>
        </w:rPr>
      </w:pPr>
    </w:p>
    <w:tbl>
      <w:tblPr>
        <w:tblStyle w:val="TableGrid"/>
        <w:tblW w:w="10064" w:type="dxa"/>
        <w:tblInd w:w="-459" w:type="dxa"/>
        <w:tblLayout w:type="fixed"/>
        <w:tblLook w:val="04A0" w:firstRow="1" w:lastRow="0" w:firstColumn="1" w:lastColumn="0" w:noHBand="0" w:noVBand="1"/>
      </w:tblPr>
      <w:tblGrid>
        <w:gridCol w:w="10064"/>
      </w:tblGrid>
      <w:tr w:rsidR="00480789">
        <w:trPr>
          <w:trHeight w:val="3017"/>
        </w:trPr>
        <w:tc>
          <w:tcPr>
            <w:tcW w:w="9039" w:type="dxa"/>
          </w:tcPr>
          <w:p w:rsidR="00480789" w:rsidRDefault="00B41E7B">
            <w:pPr>
              <w:spacing w:after="120" w:line="360" w:lineRule="auto"/>
              <w:jc w:val="center"/>
              <w:rPr>
                <w:rFonts w:ascii="Arial" w:hAnsi="Arial" w:cs="Arial"/>
                <w:bCs/>
                <w:sz w:val="24"/>
                <w:szCs w:val="24"/>
                <w:lang w:val="en-US"/>
              </w:rPr>
            </w:pPr>
            <w:r>
              <w:rPr>
                <w:rFonts w:ascii="Arial" w:hAnsi="Arial" w:cs="Arial"/>
                <w:bCs/>
                <w:noProof/>
                <w:sz w:val="24"/>
                <w:szCs w:val="24"/>
                <w:lang w:val="en-US"/>
              </w:rPr>
              <w:lastRenderedPageBreak/>
              <w:drawing>
                <wp:inline distT="0" distB="0" distL="0" distR="0">
                  <wp:extent cx="6086475" cy="3813083"/>
                  <wp:effectExtent l="0" t="0" r="0" b="0"/>
                  <wp:docPr id="10" name="Picture 10" descr="C:\Users\12791733\Desktop\ALL P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791733\Desktop\ALL PC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8437" cy="3814312"/>
                          </a:xfrm>
                          <a:prstGeom prst="rect">
                            <a:avLst/>
                          </a:prstGeom>
                          <a:noFill/>
                          <a:ln>
                            <a:noFill/>
                          </a:ln>
                        </pic:spPr>
                      </pic:pic>
                    </a:graphicData>
                  </a:graphic>
                </wp:inline>
              </w:drawing>
            </w:r>
          </w:p>
        </w:tc>
      </w:tr>
      <w:tr w:rsidR="00480789">
        <w:tc>
          <w:tcPr>
            <w:tcW w:w="9039" w:type="dxa"/>
            <w:vAlign w:val="center"/>
          </w:tcPr>
          <w:p w:rsidR="00480789" w:rsidRDefault="00B41E7B">
            <w:pPr>
              <w:spacing w:after="120" w:line="360" w:lineRule="auto"/>
              <w:jc w:val="both"/>
              <w:rPr>
                <w:rFonts w:ascii="Arial" w:hAnsi="Arial" w:cs="Arial"/>
                <w:b/>
                <w:bCs/>
                <w:sz w:val="24"/>
                <w:szCs w:val="24"/>
                <w:lang w:val="en-US"/>
              </w:rPr>
            </w:pPr>
            <w:r>
              <w:rPr>
                <w:rFonts w:ascii="Arial" w:hAnsi="Arial" w:cs="Arial"/>
                <w:b/>
                <w:bCs/>
                <w:sz w:val="24"/>
                <w:szCs w:val="24"/>
                <w:lang w:val="en-US"/>
              </w:rPr>
              <w:t xml:space="preserve">Figure D: PCA Score Plots of Pairwise Time Point Comparisons with time 0 </w:t>
            </w:r>
          </w:p>
          <w:p w:rsidR="00480789" w:rsidRDefault="00B41E7B">
            <w:pPr>
              <w:spacing w:after="120"/>
              <w:jc w:val="both"/>
              <w:rPr>
                <w:rFonts w:ascii="Arial" w:hAnsi="Arial" w:cs="Arial"/>
                <w:bCs/>
                <w:sz w:val="24"/>
                <w:szCs w:val="24"/>
                <w:lang w:val="en-US"/>
              </w:rPr>
            </w:pPr>
            <w:r>
              <w:rPr>
                <w:rFonts w:ascii="Arial" w:hAnsi="Arial" w:cs="Arial"/>
                <w:bCs/>
                <w:sz w:val="24"/>
                <w:szCs w:val="24"/>
                <w:lang w:val="en-US"/>
              </w:rPr>
              <w:t>The figure displays the individual score p</w:t>
            </w:r>
            <w:r>
              <w:rPr>
                <w:rFonts w:ascii="Arial" w:hAnsi="Arial" w:cs="Arial"/>
                <w:bCs/>
                <w:sz w:val="24"/>
                <w:szCs w:val="24"/>
                <w:lang w:val="en-US"/>
              </w:rPr>
              <w:t>lots of the PCA models for the pairwise comparisons of time –1 vs. time 0 (A); time 0 vs. time 1 (B); time 0 vs. time 2 (C); time 0 vs. time 3 (D); and time 0 vs. time 4 (E).</w:t>
            </w:r>
          </w:p>
        </w:tc>
      </w:tr>
    </w:tbl>
    <w:p w:rsidR="00480789" w:rsidRDefault="00480789">
      <w:pPr>
        <w:spacing w:after="120" w:line="360" w:lineRule="auto"/>
        <w:jc w:val="both"/>
        <w:rPr>
          <w:rFonts w:ascii="Arial" w:hAnsi="Arial" w:cs="Arial"/>
          <w:bCs/>
          <w:sz w:val="24"/>
          <w:szCs w:val="24"/>
          <w:lang w:val="en-US"/>
        </w:rPr>
      </w:pPr>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 xml:space="preserve">Lastly, </w:t>
      </w:r>
      <w:r>
        <w:rPr>
          <w:rFonts w:ascii="Arial" w:hAnsi="Arial" w:cs="Arial"/>
          <w:sz w:val="24"/>
          <w:szCs w:val="24"/>
          <w:lang w:val="en-US"/>
        </w:rPr>
        <w:t>partial least-squares discriminant analysis (PLS-DA) was performed. This method is similar to PCA but makes use of the known group structure (i.e. it is a supervised method). The benefit of using this information is that the method is better able to identi</w:t>
      </w:r>
      <w:r>
        <w:rPr>
          <w:rFonts w:ascii="Arial" w:hAnsi="Arial" w:cs="Arial"/>
          <w:sz w:val="24"/>
          <w:szCs w:val="24"/>
          <w:lang w:val="en-US"/>
        </w:rPr>
        <w:t xml:space="preserve">fy a list of discriminatory variables. The downside is that the model itself may not generalize to other data sets as it is known to overfit [9]. Since our aim was not to develop a classification model, we were not too concerned about this. However, we do </w:t>
      </w:r>
      <w:r>
        <w:rPr>
          <w:rFonts w:ascii="Arial" w:hAnsi="Arial" w:cs="Arial"/>
          <w:sz w:val="24"/>
          <w:szCs w:val="24"/>
          <w:lang w:val="en-US"/>
        </w:rPr>
        <w:t>report two measures of confidence in the bins selected: (i) R</w:t>
      </w:r>
      <w:r>
        <w:rPr>
          <w:rFonts w:ascii="Arial" w:hAnsi="Arial" w:cs="Arial"/>
          <w:sz w:val="24"/>
          <w:szCs w:val="24"/>
          <w:vertAlign w:val="superscript"/>
          <w:lang w:val="en-US"/>
        </w:rPr>
        <w:t>2</w:t>
      </w:r>
      <w:r>
        <w:rPr>
          <w:rFonts w:ascii="Arial" w:hAnsi="Arial" w:cs="Arial"/>
          <w:sz w:val="24"/>
          <w:szCs w:val="24"/>
          <w:lang w:val="en-US"/>
        </w:rPr>
        <w:t xml:space="preserve"> to measure the goodness of the model fit; and (ii) Q</w:t>
      </w:r>
      <w:r>
        <w:rPr>
          <w:rFonts w:ascii="Arial" w:hAnsi="Arial" w:cs="Arial"/>
          <w:sz w:val="24"/>
          <w:szCs w:val="24"/>
          <w:vertAlign w:val="superscript"/>
          <w:lang w:val="en-US"/>
        </w:rPr>
        <w:t>2</w:t>
      </w:r>
      <w:r>
        <w:rPr>
          <w:rFonts w:ascii="Arial" w:hAnsi="Arial" w:cs="Arial"/>
          <w:sz w:val="24"/>
          <w:szCs w:val="24"/>
          <w:lang w:val="en-US"/>
        </w:rPr>
        <w:t>,</w:t>
      </w:r>
      <w:r>
        <w:rPr>
          <w:rFonts w:ascii="Arial" w:hAnsi="Arial" w:cs="Arial"/>
          <w:sz w:val="24"/>
          <w:szCs w:val="24"/>
          <w:vertAlign w:val="superscript"/>
          <w:lang w:val="en-US"/>
        </w:rPr>
        <w:t xml:space="preserve"> </w:t>
      </w:r>
      <w:r>
        <w:rPr>
          <w:rFonts w:ascii="Arial" w:hAnsi="Arial" w:cs="Arial"/>
          <w:sz w:val="24"/>
          <w:szCs w:val="24"/>
          <w:lang w:val="en-US"/>
        </w:rPr>
        <w:t>the leave-one-out cross-validated R</w:t>
      </w:r>
      <w:r>
        <w:rPr>
          <w:rFonts w:ascii="Arial" w:hAnsi="Arial" w:cs="Arial"/>
          <w:sz w:val="24"/>
          <w:szCs w:val="24"/>
          <w:vertAlign w:val="superscript"/>
          <w:lang w:val="en-US"/>
        </w:rPr>
        <w:t>2</w:t>
      </w:r>
      <w:r>
        <w:rPr>
          <w:rFonts w:ascii="Arial" w:hAnsi="Arial" w:cs="Arial"/>
          <w:sz w:val="24"/>
          <w:szCs w:val="24"/>
          <w:lang w:val="en-US"/>
        </w:rPr>
        <w:t xml:space="preserve">, to assess generalizability or sensitivity to the individual samples used to construct the model. </w:t>
      </w:r>
      <w:r>
        <w:rPr>
          <w:rFonts w:ascii="Arial" w:hAnsi="Arial" w:cs="Arial"/>
          <w:sz w:val="24"/>
          <w:szCs w:val="24"/>
          <w:lang w:val="en-US"/>
        </w:rPr>
        <w:t>Figure E</w:t>
      </w:r>
      <w:r>
        <w:rPr>
          <w:rFonts w:ascii="Arial" w:hAnsi="Arial" w:cs="Arial"/>
          <w:bCs/>
          <w:sz w:val="24"/>
          <w:szCs w:val="24"/>
          <w:lang w:val="en-US"/>
        </w:rPr>
        <w:t xml:space="preserve"> shows the score plots for all pairwise time point comparisons with time 0, whereas Table B contains the fit statistics. We can draw the same conclusion as from the PCA, but with a more pronounced difference, which is to be expected given that PLS-</w:t>
      </w:r>
      <w:r>
        <w:rPr>
          <w:rFonts w:ascii="Arial" w:hAnsi="Arial" w:cs="Arial"/>
          <w:bCs/>
          <w:sz w:val="24"/>
          <w:szCs w:val="24"/>
          <w:lang w:val="en-US"/>
        </w:rPr>
        <w:t>DA is a supervised method.</w:t>
      </w:r>
    </w:p>
    <w:tbl>
      <w:tblPr>
        <w:tblStyle w:val="TableGrid"/>
        <w:tblW w:w="10064" w:type="dxa"/>
        <w:tblInd w:w="-459" w:type="dxa"/>
        <w:tblLayout w:type="fixed"/>
        <w:tblLook w:val="04A0" w:firstRow="1" w:lastRow="0" w:firstColumn="1" w:lastColumn="0" w:noHBand="0" w:noVBand="1"/>
      </w:tblPr>
      <w:tblGrid>
        <w:gridCol w:w="10064"/>
      </w:tblGrid>
      <w:tr w:rsidR="00480789">
        <w:trPr>
          <w:trHeight w:val="3017"/>
        </w:trPr>
        <w:tc>
          <w:tcPr>
            <w:tcW w:w="9605" w:type="dxa"/>
          </w:tcPr>
          <w:p w:rsidR="00480789" w:rsidRDefault="00B41E7B">
            <w:pPr>
              <w:spacing w:after="120" w:line="360" w:lineRule="auto"/>
              <w:jc w:val="center"/>
              <w:rPr>
                <w:rFonts w:ascii="Arial" w:hAnsi="Arial" w:cs="Arial"/>
                <w:bCs/>
                <w:sz w:val="24"/>
                <w:szCs w:val="24"/>
                <w:lang w:val="en-US"/>
              </w:rPr>
            </w:pPr>
            <w:r>
              <w:rPr>
                <w:rFonts w:ascii="Arial" w:hAnsi="Arial" w:cs="Arial"/>
                <w:bCs/>
                <w:noProof/>
                <w:sz w:val="24"/>
                <w:szCs w:val="24"/>
                <w:lang w:val="en-US"/>
              </w:rPr>
              <w:lastRenderedPageBreak/>
              <w:drawing>
                <wp:inline distT="0" distB="0" distL="0" distR="0">
                  <wp:extent cx="5677786" cy="3621456"/>
                  <wp:effectExtent l="0" t="0" r="0" b="0"/>
                  <wp:docPr id="11" name="Picture 11" descr="C:\Users\12791733\Desktop\ALL PLS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791733\Desktop\ALL PLSD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7777" cy="3621450"/>
                          </a:xfrm>
                          <a:prstGeom prst="rect">
                            <a:avLst/>
                          </a:prstGeom>
                          <a:noFill/>
                          <a:ln>
                            <a:noFill/>
                          </a:ln>
                        </pic:spPr>
                      </pic:pic>
                    </a:graphicData>
                  </a:graphic>
                </wp:inline>
              </w:drawing>
            </w:r>
          </w:p>
        </w:tc>
      </w:tr>
      <w:tr w:rsidR="00480789">
        <w:tc>
          <w:tcPr>
            <w:tcW w:w="9605" w:type="dxa"/>
            <w:vAlign w:val="center"/>
          </w:tcPr>
          <w:p w:rsidR="00480789" w:rsidRDefault="00B41E7B">
            <w:pPr>
              <w:spacing w:after="120"/>
              <w:jc w:val="both"/>
              <w:rPr>
                <w:rFonts w:ascii="Arial" w:hAnsi="Arial" w:cs="Arial"/>
                <w:b/>
                <w:bCs/>
                <w:sz w:val="24"/>
                <w:szCs w:val="24"/>
                <w:lang w:val="en-US"/>
              </w:rPr>
            </w:pPr>
            <w:r>
              <w:rPr>
                <w:rFonts w:ascii="Arial" w:hAnsi="Arial" w:cs="Arial"/>
                <w:b/>
                <w:bCs/>
                <w:sz w:val="24"/>
                <w:szCs w:val="24"/>
                <w:lang w:val="en-US"/>
              </w:rPr>
              <w:t xml:space="preserve">Figure E: PLS-DA Score Plots of Pairwise Time Point Comparisons with time 0 </w:t>
            </w:r>
          </w:p>
          <w:p w:rsidR="00480789" w:rsidRDefault="00B41E7B">
            <w:pPr>
              <w:spacing w:after="120"/>
              <w:jc w:val="both"/>
              <w:rPr>
                <w:rFonts w:ascii="Arial" w:hAnsi="Arial" w:cs="Arial"/>
                <w:bCs/>
                <w:sz w:val="24"/>
                <w:szCs w:val="24"/>
                <w:lang w:val="en-US"/>
              </w:rPr>
            </w:pPr>
            <w:r>
              <w:rPr>
                <w:rFonts w:ascii="Arial" w:hAnsi="Arial" w:cs="Arial"/>
                <w:bCs/>
                <w:sz w:val="24"/>
                <w:szCs w:val="24"/>
                <w:lang w:val="en-US"/>
              </w:rPr>
              <w:t>The figure displays the individual score plots of the PLS-DA models for the pairwise comparisons of time –1 vs. time 0 (A); time 0 vs. time 1 (B); ti</w:t>
            </w:r>
            <w:r>
              <w:rPr>
                <w:rFonts w:ascii="Arial" w:hAnsi="Arial" w:cs="Arial"/>
                <w:bCs/>
                <w:sz w:val="24"/>
                <w:szCs w:val="24"/>
                <w:lang w:val="en-US"/>
              </w:rPr>
              <w:t>me 0 vs. time 2 (C); time 0 vs. time 3 (D); and time 0 vs. time 4 (E).</w:t>
            </w:r>
          </w:p>
        </w:tc>
      </w:tr>
    </w:tbl>
    <w:p w:rsidR="00480789" w:rsidRDefault="00480789">
      <w:pPr>
        <w:spacing w:after="120" w:line="360" w:lineRule="auto"/>
        <w:jc w:val="both"/>
        <w:rPr>
          <w:rFonts w:ascii="Arial" w:hAnsi="Arial" w:cs="Arial"/>
          <w:sz w:val="24"/>
          <w:szCs w:val="24"/>
          <w:lang w:val="en-US"/>
        </w:rPr>
      </w:pPr>
    </w:p>
    <w:tbl>
      <w:tblPr>
        <w:tblStyle w:val="TableGrid"/>
        <w:tblW w:w="10065" w:type="dxa"/>
        <w:tblInd w:w="-459" w:type="dxa"/>
        <w:tblLayout w:type="fixed"/>
        <w:tblLook w:val="04A0" w:firstRow="1" w:lastRow="0" w:firstColumn="1" w:lastColumn="0" w:noHBand="0" w:noVBand="1"/>
      </w:tblPr>
      <w:tblGrid>
        <w:gridCol w:w="3473"/>
        <w:gridCol w:w="3341"/>
        <w:gridCol w:w="3251"/>
      </w:tblGrid>
      <w:tr w:rsidR="00480789">
        <w:tc>
          <w:tcPr>
            <w:tcW w:w="3473" w:type="dxa"/>
            <w:vAlign w:val="center"/>
          </w:tcPr>
          <w:p w:rsidR="00480789" w:rsidRDefault="00B41E7B">
            <w:pPr>
              <w:spacing w:after="120" w:line="360" w:lineRule="auto"/>
              <w:jc w:val="both"/>
              <w:rPr>
                <w:rFonts w:ascii="Arial" w:hAnsi="Arial" w:cs="Arial"/>
                <w:b/>
                <w:sz w:val="24"/>
                <w:szCs w:val="24"/>
                <w:lang w:val="en-US"/>
              </w:rPr>
            </w:pPr>
            <w:r>
              <w:rPr>
                <w:rFonts w:ascii="Arial" w:hAnsi="Arial" w:cs="Arial"/>
                <w:b/>
                <w:sz w:val="24"/>
                <w:szCs w:val="24"/>
                <w:lang w:val="en-US"/>
              </w:rPr>
              <w:t>Comparison</w:t>
            </w:r>
          </w:p>
        </w:tc>
        <w:tc>
          <w:tcPr>
            <w:tcW w:w="3341" w:type="dxa"/>
            <w:vAlign w:val="center"/>
          </w:tcPr>
          <w:p w:rsidR="00480789" w:rsidRDefault="00B41E7B">
            <w:pPr>
              <w:spacing w:after="120" w:line="360" w:lineRule="auto"/>
              <w:jc w:val="both"/>
              <w:rPr>
                <w:rFonts w:ascii="Arial" w:hAnsi="Arial" w:cs="Arial"/>
                <w:b/>
                <w:sz w:val="24"/>
                <w:szCs w:val="24"/>
                <w:lang w:val="en-US"/>
              </w:rPr>
            </w:pPr>
            <w:r>
              <w:rPr>
                <w:rFonts w:ascii="Arial" w:hAnsi="Arial" w:cs="Arial"/>
                <w:b/>
                <w:sz w:val="24"/>
                <w:szCs w:val="24"/>
                <w:lang w:val="en-US"/>
              </w:rPr>
              <w:t>R</w:t>
            </w:r>
            <w:r>
              <w:rPr>
                <w:rFonts w:ascii="Arial" w:hAnsi="Arial" w:cs="Arial"/>
                <w:b/>
                <w:sz w:val="24"/>
                <w:szCs w:val="24"/>
                <w:vertAlign w:val="superscript"/>
                <w:lang w:val="en-US"/>
              </w:rPr>
              <w:t>2</w:t>
            </w:r>
          </w:p>
        </w:tc>
        <w:tc>
          <w:tcPr>
            <w:tcW w:w="3251" w:type="dxa"/>
            <w:vAlign w:val="center"/>
          </w:tcPr>
          <w:p w:rsidR="00480789" w:rsidRDefault="00B41E7B">
            <w:pPr>
              <w:spacing w:after="120" w:line="360" w:lineRule="auto"/>
              <w:jc w:val="both"/>
              <w:rPr>
                <w:rFonts w:ascii="Arial" w:hAnsi="Arial" w:cs="Arial"/>
                <w:b/>
                <w:sz w:val="24"/>
                <w:szCs w:val="24"/>
                <w:lang w:val="en-US"/>
              </w:rPr>
            </w:pPr>
            <w:r>
              <w:rPr>
                <w:rFonts w:ascii="Arial" w:hAnsi="Arial" w:cs="Arial"/>
                <w:b/>
                <w:sz w:val="24"/>
                <w:szCs w:val="24"/>
                <w:lang w:val="en-US"/>
              </w:rPr>
              <w:t>Q</w:t>
            </w:r>
            <w:r>
              <w:rPr>
                <w:rFonts w:ascii="Arial" w:hAnsi="Arial" w:cs="Arial"/>
                <w:b/>
                <w:sz w:val="24"/>
                <w:szCs w:val="24"/>
                <w:vertAlign w:val="superscript"/>
                <w:lang w:val="en-US"/>
              </w:rPr>
              <w:t>2</w:t>
            </w:r>
          </w:p>
        </w:tc>
      </w:tr>
      <w:tr w:rsidR="00480789">
        <w:tc>
          <w:tcPr>
            <w:tcW w:w="3473" w:type="dxa"/>
            <w:vAlign w:val="center"/>
          </w:tcPr>
          <w:p w:rsidR="00480789" w:rsidRDefault="00B41E7B">
            <w:pPr>
              <w:spacing w:after="120" w:line="360" w:lineRule="auto"/>
              <w:jc w:val="both"/>
              <w:rPr>
                <w:rFonts w:ascii="Arial" w:hAnsi="Arial" w:cs="Arial"/>
                <w:b/>
                <w:sz w:val="24"/>
                <w:szCs w:val="24"/>
                <w:lang w:val="en-US"/>
              </w:rPr>
            </w:pPr>
            <w:r>
              <w:rPr>
                <w:rFonts w:ascii="Arial" w:hAnsi="Arial" w:cs="Arial"/>
                <w:b/>
                <w:sz w:val="24"/>
                <w:szCs w:val="24"/>
                <w:lang w:val="en-US"/>
              </w:rPr>
              <w:t>Time 0 vs. –1</w:t>
            </w:r>
          </w:p>
        </w:tc>
        <w:tc>
          <w:tcPr>
            <w:tcW w:w="334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0.171</w:t>
            </w:r>
          </w:p>
        </w:tc>
        <w:tc>
          <w:tcPr>
            <w:tcW w:w="325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0.002</w:t>
            </w:r>
          </w:p>
        </w:tc>
      </w:tr>
      <w:tr w:rsidR="00480789">
        <w:tc>
          <w:tcPr>
            <w:tcW w:w="3473" w:type="dxa"/>
            <w:vAlign w:val="center"/>
          </w:tcPr>
          <w:p w:rsidR="00480789" w:rsidRDefault="00B41E7B">
            <w:pPr>
              <w:spacing w:after="120" w:line="360" w:lineRule="auto"/>
              <w:jc w:val="both"/>
              <w:rPr>
                <w:rFonts w:ascii="Arial" w:hAnsi="Arial" w:cs="Arial"/>
                <w:b/>
                <w:sz w:val="24"/>
                <w:szCs w:val="24"/>
                <w:lang w:val="en-US"/>
              </w:rPr>
            </w:pPr>
            <w:r>
              <w:rPr>
                <w:rFonts w:ascii="Arial" w:hAnsi="Arial" w:cs="Arial"/>
                <w:b/>
                <w:sz w:val="24"/>
                <w:szCs w:val="24"/>
                <w:lang w:val="en-US"/>
              </w:rPr>
              <w:t>Time 0 vs. 1</w:t>
            </w:r>
          </w:p>
        </w:tc>
        <w:tc>
          <w:tcPr>
            <w:tcW w:w="334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0.776</w:t>
            </w:r>
          </w:p>
        </w:tc>
        <w:tc>
          <w:tcPr>
            <w:tcW w:w="325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0.836</w:t>
            </w:r>
          </w:p>
        </w:tc>
      </w:tr>
      <w:tr w:rsidR="00480789">
        <w:tc>
          <w:tcPr>
            <w:tcW w:w="3473" w:type="dxa"/>
            <w:vAlign w:val="center"/>
          </w:tcPr>
          <w:p w:rsidR="00480789" w:rsidRDefault="00B41E7B">
            <w:pPr>
              <w:spacing w:after="120" w:line="360" w:lineRule="auto"/>
              <w:jc w:val="both"/>
              <w:rPr>
                <w:rFonts w:ascii="Arial" w:hAnsi="Arial" w:cs="Arial"/>
                <w:b/>
                <w:sz w:val="24"/>
                <w:szCs w:val="24"/>
                <w:lang w:val="en-US"/>
              </w:rPr>
            </w:pPr>
            <w:r>
              <w:rPr>
                <w:rFonts w:ascii="Arial" w:hAnsi="Arial" w:cs="Arial"/>
                <w:b/>
                <w:sz w:val="24"/>
                <w:szCs w:val="24"/>
                <w:lang w:val="en-US"/>
              </w:rPr>
              <w:t>Time 0 vs. 2</w:t>
            </w:r>
          </w:p>
        </w:tc>
        <w:tc>
          <w:tcPr>
            <w:tcW w:w="334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0.726</w:t>
            </w:r>
          </w:p>
        </w:tc>
        <w:tc>
          <w:tcPr>
            <w:tcW w:w="325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0.704</w:t>
            </w:r>
          </w:p>
        </w:tc>
      </w:tr>
      <w:tr w:rsidR="00480789">
        <w:tc>
          <w:tcPr>
            <w:tcW w:w="3473" w:type="dxa"/>
            <w:vAlign w:val="center"/>
          </w:tcPr>
          <w:p w:rsidR="00480789" w:rsidRDefault="00B41E7B">
            <w:pPr>
              <w:spacing w:after="120" w:line="360" w:lineRule="auto"/>
              <w:jc w:val="both"/>
              <w:rPr>
                <w:rFonts w:ascii="Arial" w:hAnsi="Arial" w:cs="Arial"/>
                <w:b/>
                <w:sz w:val="24"/>
                <w:szCs w:val="24"/>
                <w:lang w:val="en-US"/>
              </w:rPr>
            </w:pPr>
            <w:r>
              <w:rPr>
                <w:rFonts w:ascii="Arial" w:hAnsi="Arial" w:cs="Arial"/>
                <w:b/>
                <w:sz w:val="24"/>
                <w:szCs w:val="24"/>
                <w:lang w:val="en-US"/>
              </w:rPr>
              <w:t>Time 0 vs. 3</w:t>
            </w:r>
          </w:p>
        </w:tc>
        <w:tc>
          <w:tcPr>
            <w:tcW w:w="334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0.646</w:t>
            </w:r>
          </w:p>
        </w:tc>
        <w:tc>
          <w:tcPr>
            <w:tcW w:w="325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0.488</w:t>
            </w:r>
          </w:p>
        </w:tc>
      </w:tr>
      <w:tr w:rsidR="00480789">
        <w:tc>
          <w:tcPr>
            <w:tcW w:w="3473" w:type="dxa"/>
            <w:vAlign w:val="center"/>
          </w:tcPr>
          <w:p w:rsidR="00480789" w:rsidRDefault="00B41E7B">
            <w:pPr>
              <w:spacing w:after="120" w:line="360" w:lineRule="auto"/>
              <w:jc w:val="both"/>
              <w:rPr>
                <w:rFonts w:ascii="Arial" w:hAnsi="Arial" w:cs="Arial"/>
                <w:b/>
                <w:sz w:val="24"/>
                <w:szCs w:val="24"/>
                <w:lang w:val="en-US"/>
              </w:rPr>
            </w:pPr>
            <w:r>
              <w:rPr>
                <w:rFonts w:ascii="Arial" w:hAnsi="Arial" w:cs="Arial"/>
                <w:b/>
                <w:sz w:val="24"/>
                <w:szCs w:val="24"/>
                <w:lang w:val="en-US"/>
              </w:rPr>
              <w:t>Time 0 vs. 4</w:t>
            </w:r>
          </w:p>
        </w:tc>
        <w:tc>
          <w:tcPr>
            <w:tcW w:w="334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0.628</w:t>
            </w:r>
          </w:p>
        </w:tc>
        <w:tc>
          <w:tcPr>
            <w:tcW w:w="3251" w:type="dxa"/>
            <w:vAlign w:val="center"/>
          </w:tcPr>
          <w:p w:rsidR="00480789" w:rsidRDefault="00B41E7B">
            <w:pPr>
              <w:spacing w:after="120" w:line="360" w:lineRule="auto"/>
              <w:jc w:val="both"/>
              <w:rPr>
                <w:rFonts w:ascii="Arial" w:hAnsi="Arial" w:cs="Arial"/>
                <w:sz w:val="24"/>
                <w:szCs w:val="24"/>
                <w:lang w:val="en-US"/>
              </w:rPr>
            </w:pPr>
            <w:r>
              <w:rPr>
                <w:rFonts w:ascii="Arial" w:hAnsi="Arial" w:cs="Arial"/>
                <w:sz w:val="24"/>
                <w:szCs w:val="24"/>
                <w:lang w:val="en-US"/>
              </w:rPr>
              <w:t>0.501</w:t>
            </w:r>
          </w:p>
        </w:tc>
      </w:tr>
      <w:tr w:rsidR="00480789">
        <w:tc>
          <w:tcPr>
            <w:tcW w:w="10065" w:type="dxa"/>
            <w:gridSpan w:val="3"/>
            <w:vAlign w:val="center"/>
          </w:tcPr>
          <w:p w:rsidR="00480789" w:rsidRDefault="00B41E7B">
            <w:pPr>
              <w:spacing w:after="120"/>
              <w:jc w:val="both"/>
              <w:rPr>
                <w:rFonts w:ascii="Arial" w:hAnsi="Arial" w:cs="Arial"/>
                <w:b/>
                <w:bCs/>
                <w:sz w:val="24"/>
                <w:szCs w:val="24"/>
                <w:lang w:val="en-US"/>
              </w:rPr>
            </w:pPr>
            <w:r>
              <w:rPr>
                <w:rFonts w:ascii="Arial" w:hAnsi="Arial" w:cs="Arial"/>
                <w:b/>
                <w:bCs/>
                <w:sz w:val="24"/>
                <w:szCs w:val="24"/>
                <w:lang w:val="en-US"/>
              </w:rPr>
              <w:t xml:space="preserve">Table B: PLS-DA Fit Statistics Pairwise Time Point Comparisons with time 0 </w:t>
            </w:r>
          </w:p>
          <w:p w:rsidR="00480789" w:rsidRDefault="00B41E7B">
            <w:pPr>
              <w:spacing w:after="120"/>
              <w:jc w:val="both"/>
              <w:rPr>
                <w:rFonts w:ascii="Arial" w:hAnsi="Arial" w:cs="Arial"/>
                <w:sz w:val="24"/>
                <w:szCs w:val="24"/>
                <w:lang w:val="en-US"/>
              </w:rPr>
            </w:pPr>
            <w:r>
              <w:rPr>
                <w:rFonts w:ascii="Arial" w:hAnsi="Arial" w:cs="Arial"/>
                <w:bCs/>
                <w:sz w:val="24"/>
                <w:szCs w:val="24"/>
                <w:lang w:val="en-US"/>
              </w:rPr>
              <w:t>The table reports the fit statistics for the first latent variable of PLS-DA models for the pairwise comparisons.</w:t>
            </w:r>
          </w:p>
        </w:tc>
      </w:tr>
    </w:tbl>
    <w:p w:rsidR="00480789" w:rsidRDefault="00480789">
      <w:pPr>
        <w:spacing w:after="120" w:line="360" w:lineRule="auto"/>
        <w:jc w:val="both"/>
        <w:rPr>
          <w:rFonts w:ascii="Arial" w:hAnsi="Arial" w:cs="Arial"/>
          <w:sz w:val="24"/>
          <w:szCs w:val="24"/>
          <w:lang w:val="en-US"/>
        </w:rPr>
      </w:pPr>
    </w:p>
    <w:p w:rsidR="00480789" w:rsidRDefault="00B41E7B">
      <w:pPr>
        <w:spacing w:after="120" w:line="360" w:lineRule="auto"/>
        <w:ind w:firstLine="720"/>
        <w:jc w:val="both"/>
        <w:rPr>
          <w:rFonts w:ascii="Arial" w:hAnsi="Arial" w:cs="Arial"/>
          <w:sz w:val="24"/>
          <w:szCs w:val="24"/>
          <w:lang w:val="en-US"/>
        </w:rPr>
      </w:pPr>
      <w:r>
        <w:rPr>
          <w:rFonts w:ascii="Arial" w:hAnsi="Arial" w:cs="Arial"/>
          <w:sz w:val="24"/>
          <w:szCs w:val="24"/>
          <w:lang w:val="en-US"/>
        </w:rPr>
        <w:t>The results from the cross-sectional analysis led us to conclude</w:t>
      </w:r>
      <w:r>
        <w:rPr>
          <w:rFonts w:ascii="Arial" w:hAnsi="Arial" w:cs="Arial"/>
          <w:sz w:val="24"/>
          <w:szCs w:val="24"/>
          <w:lang w:val="en-US"/>
        </w:rPr>
        <w:t xml:space="preserve"> that, while between-case variation is significant, we were still able to find bins that differ from their baseline measure (time 0). We also found that the fasting state was long </w:t>
      </w:r>
      <w:r>
        <w:rPr>
          <w:rFonts w:ascii="Arial" w:hAnsi="Arial" w:cs="Arial"/>
          <w:sz w:val="24"/>
          <w:szCs w:val="24"/>
          <w:lang w:val="en-US"/>
        </w:rPr>
        <w:lastRenderedPageBreak/>
        <w:t xml:space="preserve">enough to reduce between-case variation (time –1 vs. 0). We made use of the </w:t>
      </w:r>
      <w:r>
        <w:rPr>
          <w:rFonts w:ascii="Arial" w:hAnsi="Arial" w:cs="Arial"/>
          <w:sz w:val="24"/>
          <w:szCs w:val="24"/>
          <w:lang w:val="en-US"/>
        </w:rPr>
        <w:t>bins selected by the PLS-DA models as one of the shortlists to be included in the Venn analysis that produced the key metabolites quantified and discussed. We wanted to include bins in this list that were informative at any point in time (compared to the b</w:t>
      </w:r>
      <w:r>
        <w:rPr>
          <w:rFonts w:ascii="Arial" w:hAnsi="Arial" w:cs="Arial"/>
          <w:sz w:val="24"/>
          <w:szCs w:val="24"/>
          <w:lang w:val="en-US"/>
        </w:rPr>
        <w:t>aseline, i.e. time 0) while accounting for the multiple PLS-DA models constructed. As such we decided to include bins with VIP values exceeding 2 in any of the models. A VIP score is calculated for each variable in the data matrix and provides an indicatio</w:t>
      </w:r>
      <w:r>
        <w:rPr>
          <w:rFonts w:ascii="Arial" w:hAnsi="Arial" w:cs="Arial"/>
          <w:sz w:val="24"/>
          <w:szCs w:val="24"/>
          <w:lang w:val="en-US"/>
        </w:rPr>
        <w:t xml:space="preserve">n of the variable’s importance in the projection (hence abbreviated as VIP). For more detail on this calculation refer to </w:t>
      </w:r>
      <w:r>
        <w:rPr>
          <w:rFonts w:ascii="Arial" w:hAnsi="Arial" w:cs="Arial"/>
          <w:bCs/>
          <w:sz w:val="24"/>
          <w:szCs w:val="24"/>
          <w:lang w:val="en-US"/>
        </w:rPr>
        <w:t>[10]</w:t>
      </w:r>
      <w:r>
        <w:rPr>
          <w:rFonts w:ascii="Arial" w:hAnsi="Arial" w:cs="Arial"/>
          <w:sz w:val="24"/>
          <w:szCs w:val="24"/>
          <w:lang w:val="en-US"/>
        </w:rPr>
        <w:t>.</w:t>
      </w:r>
    </w:p>
    <w:p w:rsidR="00480789" w:rsidRDefault="00480789">
      <w:pPr>
        <w:spacing w:line="360" w:lineRule="auto"/>
        <w:jc w:val="both"/>
        <w:rPr>
          <w:rFonts w:ascii="Arial" w:hAnsi="Arial" w:cs="Arial"/>
          <w:b/>
          <w:sz w:val="24"/>
          <w:szCs w:val="24"/>
          <w:lang w:val="en-US"/>
        </w:rPr>
      </w:pPr>
    </w:p>
    <w:p w:rsidR="00480789" w:rsidRDefault="00B41E7B">
      <w:pPr>
        <w:spacing w:after="120" w:line="360" w:lineRule="auto"/>
        <w:jc w:val="both"/>
        <w:rPr>
          <w:rFonts w:ascii="Arial" w:hAnsi="Arial" w:cs="Arial"/>
          <w:b/>
          <w:bCs/>
          <w:sz w:val="32"/>
          <w:szCs w:val="32"/>
          <w:lang w:val="en-US"/>
        </w:rPr>
      </w:pPr>
      <w:r>
        <w:rPr>
          <w:rFonts w:ascii="Arial" w:hAnsi="Arial" w:cs="Arial"/>
          <w:b/>
          <w:sz w:val="32"/>
          <w:szCs w:val="32"/>
          <w:lang w:val="en-US"/>
        </w:rPr>
        <w:t>S</w:t>
      </w:r>
      <w:r w:rsidR="00750248">
        <w:rPr>
          <w:rFonts w:ascii="Arial" w:hAnsi="Arial" w:cs="Arial"/>
          <w:b/>
          <w:sz w:val="32"/>
          <w:szCs w:val="32"/>
          <w:lang w:val="en-US"/>
        </w:rPr>
        <w:t xml:space="preserve">ection </w:t>
      </w:r>
      <w:r>
        <w:rPr>
          <w:rFonts w:ascii="Arial" w:hAnsi="Arial" w:cs="Arial"/>
          <w:b/>
          <w:sz w:val="32"/>
          <w:szCs w:val="32"/>
          <w:lang w:val="en-US"/>
        </w:rPr>
        <w:t xml:space="preserve">3.4 </w:t>
      </w:r>
      <w:r>
        <w:rPr>
          <w:rFonts w:ascii="Arial" w:hAnsi="Arial" w:cs="Arial"/>
          <w:b/>
          <w:bCs/>
          <w:sz w:val="32"/>
          <w:szCs w:val="32"/>
          <w:lang w:val="en-US"/>
        </w:rPr>
        <w:t>RM ANOVA</w:t>
      </w:r>
    </w:p>
    <w:p w:rsidR="00480789" w:rsidRDefault="00B41E7B">
      <w:pPr>
        <w:spacing w:after="120" w:line="360" w:lineRule="auto"/>
        <w:jc w:val="both"/>
        <w:rPr>
          <w:rFonts w:ascii="Arial" w:hAnsi="Arial" w:cs="Arial"/>
          <w:bCs/>
          <w:sz w:val="24"/>
          <w:szCs w:val="24"/>
          <w:lang w:val="en-US"/>
        </w:rPr>
      </w:pPr>
      <w:r>
        <w:rPr>
          <w:rFonts w:ascii="Arial" w:hAnsi="Arial" w:cs="Arial"/>
          <w:bCs/>
          <w:sz w:val="24"/>
          <w:szCs w:val="24"/>
          <w:lang w:val="en-US"/>
        </w:rPr>
        <w:t xml:space="preserve">RM ANOVA (repeated measures analysis of variance) is a statistical method that deconstructs a data set into the </w:t>
      </w:r>
      <w:r>
        <w:rPr>
          <w:rFonts w:ascii="Arial" w:hAnsi="Arial" w:cs="Arial"/>
          <w:bCs/>
          <w:sz w:val="24"/>
          <w:szCs w:val="24"/>
          <w:lang w:val="en-US"/>
        </w:rPr>
        <w:t>known sources of variation in order to assess which of these sources significantly influenced the values recorded in the data set. This deconstruction is performed by calculating and subtracting factor level means (ANOVA) – in our case the means for the ti</w:t>
      </w:r>
      <w:r>
        <w:rPr>
          <w:rFonts w:ascii="Arial" w:hAnsi="Arial" w:cs="Arial"/>
          <w:bCs/>
          <w:sz w:val="24"/>
          <w:szCs w:val="24"/>
          <w:lang w:val="en-US"/>
        </w:rPr>
        <w:t>me points, as well as for each case since the same cases were measured across all time points. The primary aim of this analysis was to identify variables that changed significantly in time (across the six time points).  We constructed the ANOVA model as fo</w:t>
      </w:r>
      <w:r>
        <w:rPr>
          <w:rFonts w:ascii="Arial" w:hAnsi="Arial" w:cs="Arial"/>
          <w:bCs/>
          <w:sz w:val="24"/>
          <w:szCs w:val="24"/>
          <w:lang w:val="en-US"/>
        </w:rPr>
        <w:t>llows:</w:t>
      </w:r>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Let</w:t>
      </w:r>
      <m:oMath>
        <m:r>
          <w:rPr>
            <w:rFonts w:ascii="Cambria Math" w:hAnsi="Cambria Math" w:cs="Arial"/>
            <w:sz w:val="24"/>
            <w:szCs w:val="24"/>
            <w:lang w:val="en-US"/>
          </w:rPr>
          <m:t xml:space="preserve"> </m:t>
        </m:r>
        <m:r>
          <w:rPr>
            <w:rFonts w:ascii="Cambria Math" w:hAnsi="Cambria Math" w:cs="Arial"/>
            <w:sz w:val="24"/>
            <w:szCs w:val="24"/>
            <w:lang w:val="en-US"/>
          </w:rPr>
          <m:t>X</m:t>
        </m:r>
      </m:oMath>
      <w:r>
        <w:rPr>
          <w:rFonts w:ascii="Arial" w:hAnsi="Arial" w:cs="Arial"/>
          <w:bCs/>
          <w:sz w:val="24"/>
          <w:szCs w:val="24"/>
          <w:lang w:val="en-US"/>
        </w:rPr>
        <w:t xml:space="preserve"> represent all observations for a given bin and let </w:t>
      </w:r>
      <m:oMath>
        <m:r>
          <w:rPr>
            <w:rFonts w:ascii="Cambria Math" w:hAnsi="Cambria Math" w:cs="Arial"/>
            <w:sz w:val="24"/>
            <w:szCs w:val="24"/>
            <w:lang w:val="en-US"/>
          </w:rPr>
          <m:t>α</m:t>
        </m:r>
      </m:oMath>
      <w:r>
        <w:rPr>
          <w:rFonts w:ascii="Arial" w:hAnsi="Arial" w:cs="Arial"/>
          <w:bCs/>
          <w:sz w:val="24"/>
          <w:szCs w:val="24"/>
          <w:lang w:val="en-US"/>
        </w:rPr>
        <w:t xml:space="preserve"> and </w:t>
      </w:r>
      <m:oMath>
        <m:r>
          <w:rPr>
            <w:rFonts w:ascii="Cambria Math" w:hAnsi="Cambria Math" w:cs="Arial"/>
            <w:sz w:val="24"/>
            <w:szCs w:val="24"/>
            <w:lang w:val="en-US"/>
          </w:rPr>
          <m:t>β</m:t>
        </m:r>
      </m:oMath>
      <w:r>
        <w:rPr>
          <w:rFonts w:ascii="Arial" w:hAnsi="Arial" w:cs="Arial"/>
          <w:bCs/>
          <w:sz w:val="24"/>
          <w:szCs w:val="24"/>
          <w:lang w:val="en-US"/>
        </w:rPr>
        <w:t xml:space="preserve"> represent the Time and Case factors, respectively. We can model the change in time as follows: </w:t>
      </w:r>
    </w:p>
    <w:p w:rsidR="00480789" w:rsidRDefault="00B41E7B">
      <w:pPr>
        <w:spacing w:after="120" w:line="360" w:lineRule="auto"/>
        <w:jc w:val="both"/>
        <w:rPr>
          <w:rFonts w:ascii="Arial" w:hAnsi="Arial" w:cs="Arial"/>
          <w:b/>
          <w:color w:val="000000"/>
          <w:sz w:val="24"/>
          <w:szCs w:val="24"/>
          <w:lang w:val="en-US" w:eastAsia="en-ZA"/>
        </w:rPr>
      </w:pPr>
      <m:oMathPara>
        <m:oMath>
          <m:sSub>
            <m:sSubPr>
              <m:ctrlPr>
                <w:rPr>
                  <w:rFonts w:ascii="Cambria Math" w:hAnsi="Cambria Math" w:cs="Arial"/>
                  <w:bCs/>
                  <w:i/>
                  <w:sz w:val="24"/>
                  <w:szCs w:val="24"/>
                  <w:lang w:val="en-US"/>
                </w:rPr>
              </m:ctrlPr>
            </m:sSubPr>
            <m:e>
              <m:r>
                <w:rPr>
                  <w:rFonts w:ascii="Cambria Math" w:hAnsi="Cambria Math" w:cs="Arial"/>
                  <w:sz w:val="24"/>
                  <w:szCs w:val="24"/>
                  <w:lang w:val="en-US"/>
                </w:rPr>
                <m:t>X</m:t>
              </m:r>
            </m:e>
            <m:sub>
              <m:r>
                <w:rPr>
                  <w:rFonts w:ascii="Cambria Math" w:hAnsi="Cambria Math" w:cs="Arial"/>
                  <w:sz w:val="24"/>
                  <w:szCs w:val="24"/>
                  <w:lang w:val="en-US"/>
                </w:rPr>
                <m:t>ij</m:t>
              </m:r>
            </m:sub>
          </m:sSub>
          <m:r>
            <w:rPr>
              <w:rFonts w:ascii="Cambria Math" w:hAnsi="Cambria Math" w:cs="Arial"/>
              <w:sz w:val="24"/>
              <w:szCs w:val="24"/>
              <w:lang w:val="en-US"/>
            </w:rPr>
            <m:t>=</m:t>
          </m:r>
          <m:r>
            <w:rPr>
              <w:rFonts w:ascii="Cambria Math" w:hAnsi="Cambria Math" w:cs="Arial"/>
              <w:sz w:val="24"/>
              <w:szCs w:val="24"/>
              <w:lang w:val="en-US"/>
            </w:rPr>
            <m:t>μ</m:t>
          </m:r>
          <m:r>
            <w:rPr>
              <w:rFonts w:ascii="Cambria Math" w:hAnsi="Cambria Math" w:cs="Arial"/>
              <w:sz w:val="24"/>
              <w:szCs w:val="24"/>
              <w:lang w:val="en-US"/>
            </w:rPr>
            <m:t>+</m:t>
          </m:r>
          <m:sSub>
            <m:sSubPr>
              <m:ctrlPr>
                <w:rPr>
                  <w:rFonts w:ascii="Cambria Math" w:hAnsi="Cambria Math" w:cs="Arial"/>
                  <w:bCs/>
                  <w:i/>
                  <w:sz w:val="24"/>
                  <w:szCs w:val="24"/>
                  <w:lang w:val="en-US"/>
                </w:rPr>
              </m:ctrlPr>
            </m:sSubPr>
            <m:e>
              <m:r>
                <w:rPr>
                  <w:rFonts w:ascii="Cambria Math" w:hAnsi="Cambria Math" w:cs="Arial"/>
                  <w:sz w:val="24"/>
                  <w:szCs w:val="24"/>
                  <w:lang w:val="en-US"/>
                </w:rPr>
                <m:t>α</m:t>
              </m:r>
            </m:e>
            <m:sub>
              <m:r>
                <w:rPr>
                  <w:rFonts w:ascii="Cambria Math" w:hAnsi="Cambria Math" w:cs="Arial"/>
                  <w:sz w:val="24"/>
                  <w:szCs w:val="24"/>
                  <w:lang w:val="en-US"/>
                </w:rPr>
                <m:t>i</m:t>
              </m:r>
            </m:sub>
          </m:sSub>
          <m:r>
            <w:rPr>
              <w:rFonts w:ascii="Cambria Math" w:hAnsi="Cambria Math" w:cs="Arial"/>
              <w:sz w:val="24"/>
              <w:szCs w:val="24"/>
              <w:lang w:val="en-US"/>
            </w:rPr>
            <m:t>+</m:t>
          </m:r>
          <m:sSub>
            <m:sSubPr>
              <m:ctrlPr>
                <w:rPr>
                  <w:rFonts w:ascii="Cambria Math" w:hAnsi="Cambria Math" w:cs="Arial"/>
                  <w:bCs/>
                  <w:i/>
                  <w:sz w:val="24"/>
                  <w:szCs w:val="24"/>
                  <w:lang w:val="en-US"/>
                </w:rPr>
              </m:ctrlPr>
            </m:sSubPr>
            <m:e>
              <m:r>
                <w:rPr>
                  <w:rFonts w:ascii="Cambria Math" w:hAnsi="Cambria Math" w:cs="Arial"/>
                  <w:sz w:val="24"/>
                  <w:szCs w:val="24"/>
                  <w:lang w:val="en-US"/>
                </w:rPr>
                <m:t>β</m:t>
              </m:r>
            </m:e>
            <m:sub>
              <m:r>
                <w:rPr>
                  <w:rFonts w:ascii="Cambria Math" w:hAnsi="Cambria Math" w:cs="Arial"/>
                  <w:sz w:val="24"/>
                  <w:szCs w:val="24"/>
                  <w:lang w:val="en-US"/>
                </w:rPr>
                <m:t>j</m:t>
              </m:r>
            </m:sub>
          </m:sSub>
          <m:r>
            <w:rPr>
              <w:rFonts w:ascii="Cambria Math" w:hAnsi="Cambria Math" w:cs="Arial"/>
              <w:sz w:val="24"/>
              <w:szCs w:val="24"/>
              <w:lang w:val="en-US"/>
            </w:rPr>
            <m:t>+</m:t>
          </m:r>
          <m:sSub>
            <m:sSubPr>
              <m:ctrlPr>
                <w:rPr>
                  <w:rFonts w:ascii="Cambria Math" w:hAnsi="Cambria Math" w:cs="Arial"/>
                  <w:bCs/>
                  <w:i/>
                  <w:sz w:val="24"/>
                  <w:szCs w:val="24"/>
                  <w:lang w:val="en-US"/>
                </w:rPr>
              </m:ctrlPr>
            </m:sSubPr>
            <m:e>
              <m:r>
                <w:rPr>
                  <w:rFonts w:ascii="Cambria Math" w:hAnsi="Cambria Math" w:cs="Arial"/>
                  <w:sz w:val="24"/>
                  <w:szCs w:val="24"/>
                  <w:lang w:val="en-US"/>
                </w:rPr>
                <m:t>αβ</m:t>
              </m:r>
            </m:e>
            <m:sub>
              <m:r>
                <w:rPr>
                  <w:rFonts w:ascii="Cambria Math" w:hAnsi="Cambria Math" w:cs="Arial"/>
                  <w:sz w:val="24"/>
                  <w:szCs w:val="24"/>
                  <w:lang w:val="en-US"/>
                </w:rPr>
                <m:t>ij</m:t>
              </m:r>
            </m:sub>
          </m:sSub>
        </m:oMath>
      </m:oMathPara>
    </w:p>
    <w:p w:rsidR="00480789" w:rsidRDefault="00B41E7B">
      <w:pPr>
        <w:spacing w:line="360" w:lineRule="auto"/>
        <w:jc w:val="both"/>
        <w:rPr>
          <w:rFonts w:ascii="Arial" w:hAnsi="Arial" w:cs="Arial"/>
          <w:color w:val="000000"/>
          <w:sz w:val="24"/>
          <w:szCs w:val="24"/>
          <w:vertAlign w:val="subscript"/>
          <w:lang w:val="en-US" w:eastAsia="en-ZA"/>
        </w:rPr>
      </w:pPr>
      <w:r>
        <w:rPr>
          <w:rFonts w:ascii="Arial" w:hAnsi="Arial" w:cs="Arial"/>
          <w:color w:val="000000"/>
          <w:sz w:val="24"/>
          <w:szCs w:val="24"/>
          <w:lang w:val="en-US" w:eastAsia="en-ZA"/>
        </w:rPr>
        <w:t xml:space="preserve">where </w:t>
      </w:r>
      <m:oMath>
        <m:r>
          <w:rPr>
            <w:rFonts w:ascii="Cambria Math" w:hAnsi="Cambria Math" w:cs="Arial"/>
            <w:color w:val="000000"/>
            <w:sz w:val="24"/>
            <w:szCs w:val="24"/>
            <w:lang w:val="en-US" w:eastAsia="en-ZA"/>
          </w:rPr>
          <m:t>μ</m:t>
        </m:r>
      </m:oMath>
      <w:r>
        <w:rPr>
          <w:rFonts w:ascii="Arial" w:hAnsi="Arial" w:cs="Arial"/>
          <w:color w:val="000000"/>
          <w:sz w:val="24"/>
          <w:szCs w:val="24"/>
          <w:lang w:val="en-US" w:eastAsia="en-ZA"/>
        </w:rPr>
        <w:t xml:space="preserve"> represents the overall mean of the bin</w:t>
      </w:r>
    </w:p>
    <w:p w:rsidR="00480789" w:rsidRDefault="00B41E7B">
      <w:pPr>
        <w:spacing w:line="360" w:lineRule="auto"/>
        <w:ind w:firstLine="720"/>
        <w:jc w:val="both"/>
        <w:rPr>
          <w:rFonts w:ascii="Arial" w:hAnsi="Arial" w:cs="Arial"/>
          <w:color w:val="000000"/>
          <w:sz w:val="24"/>
          <w:szCs w:val="24"/>
          <w:vertAlign w:val="subscript"/>
          <w:lang w:val="en-US" w:eastAsia="en-ZA"/>
        </w:rPr>
      </w:pPr>
      <m:oMath>
        <m:sSub>
          <m:sSubPr>
            <m:ctrlPr>
              <w:rPr>
                <w:rFonts w:ascii="Cambria Math" w:hAnsi="Cambria Math" w:cs="Arial"/>
                <w:bCs/>
                <w:i/>
                <w:sz w:val="24"/>
                <w:szCs w:val="24"/>
                <w:lang w:val="en-US"/>
              </w:rPr>
            </m:ctrlPr>
          </m:sSubPr>
          <m:e>
            <m:r>
              <w:rPr>
                <w:rFonts w:ascii="Cambria Math" w:hAnsi="Cambria Math" w:cs="Arial"/>
                <w:sz w:val="24"/>
                <w:szCs w:val="24"/>
                <w:lang w:val="en-US"/>
              </w:rPr>
              <m:t>α</m:t>
            </m:r>
          </m:e>
          <m:sub>
            <m:r>
              <w:rPr>
                <w:rFonts w:ascii="Cambria Math" w:hAnsi="Cambria Math" w:cs="Arial"/>
                <w:sz w:val="24"/>
                <w:szCs w:val="24"/>
                <w:lang w:val="en-US"/>
              </w:rPr>
              <m:t>i</m:t>
            </m:r>
          </m:sub>
        </m:sSub>
      </m:oMath>
      <w:r>
        <w:rPr>
          <w:rFonts w:ascii="Arial" w:hAnsi="Arial" w:cs="Arial"/>
          <w:bCs/>
          <w:sz w:val="24"/>
          <w:szCs w:val="24"/>
          <w:lang w:val="en-US"/>
        </w:rPr>
        <w:t xml:space="preserve"> </w:t>
      </w:r>
      <w:r>
        <w:rPr>
          <w:rFonts w:ascii="Arial" w:hAnsi="Arial" w:cs="Arial"/>
          <w:color w:val="000000"/>
          <w:sz w:val="24"/>
          <w:szCs w:val="24"/>
          <w:lang w:val="en-US" w:eastAsia="en-ZA"/>
        </w:rPr>
        <w:t xml:space="preserve">represents the time effects with </w:t>
      </w:r>
      <m:oMath>
        <m:r>
          <w:rPr>
            <w:rFonts w:ascii="Cambria Math" w:hAnsi="Cambria Math" w:cs="Arial"/>
            <w:color w:val="000000"/>
            <w:sz w:val="24"/>
            <w:szCs w:val="24"/>
            <w:lang w:val="en-US" w:eastAsia="en-ZA"/>
          </w:rPr>
          <m:t>i</m:t>
        </m:r>
        <m:r>
          <w:rPr>
            <w:rFonts w:ascii="Cambria Math" w:hAnsi="Cambria Math" w:cs="Arial"/>
            <w:color w:val="000000"/>
            <w:sz w:val="24"/>
            <w:szCs w:val="24"/>
            <w:lang w:val="en-US" w:eastAsia="en-ZA"/>
          </w:rPr>
          <m:t>=1…6</m:t>
        </m:r>
      </m:oMath>
    </w:p>
    <w:p w:rsidR="00480789" w:rsidRDefault="00B41E7B">
      <w:pPr>
        <w:spacing w:line="360" w:lineRule="auto"/>
        <w:ind w:left="1440" w:hanging="720"/>
        <w:jc w:val="both"/>
        <w:rPr>
          <w:rFonts w:ascii="Arial" w:hAnsi="Arial" w:cs="Arial"/>
          <w:color w:val="000000"/>
          <w:sz w:val="24"/>
          <w:szCs w:val="24"/>
          <w:lang w:val="en-US" w:eastAsia="en-ZA"/>
        </w:rPr>
      </w:pPr>
      <m:oMath>
        <m:sSub>
          <m:sSubPr>
            <m:ctrlPr>
              <w:rPr>
                <w:rFonts w:ascii="Cambria Math" w:hAnsi="Cambria Math" w:cs="Arial"/>
                <w:bCs/>
                <w:i/>
                <w:sz w:val="24"/>
                <w:szCs w:val="24"/>
                <w:lang w:val="en-US"/>
              </w:rPr>
            </m:ctrlPr>
          </m:sSubPr>
          <m:e>
            <m:r>
              <w:rPr>
                <w:rFonts w:ascii="Cambria Math" w:hAnsi="Cambria Math" w:cs="Arial"/>
                <w:sz w:val="24"/>
                <w:szCs w:val="24"/>
                <w:lang w:val="en-US"/>
              </w:rPr>
              <m:t>β</m:t>
            </m:r>
          </m:e>
          <m:sub>
            <m:r>
              <w:rPr>
                <w:rFonts w:ascii="Cambria Math" w:hAnsi="Cambria Math" w:cs="Arial"/>
                <w:sz w:val="24"/>
                <w:szCs w:val="24"/>
                <w:lang w:val="en-US"/>
              </w:rPr>
              <m:t>j</m:t>
            </m:r>
          </m:sub>
        </m:sSub>
        <m:r>
          <w:rPr>
            <w:rFonts w:ascii="Cambria Math" w:hAnsi="Cambria Math" w:cs="Arial"/>
            <w:sz w:val="24"/>
            <w:szCs w:val="24"/>
            <w:lang w:val="en-US"/>
          </w:rPr>
          <m:t xml:space="preserve"> </m:t>
        </m:r>
      </m:oMath>
      <w:r>
        <w:rPr>
          <w:rFonts w:ascii="Arial" w:hAnsi="Arial" w:cs="Arial"/>
          <w:color w:val="000000"/>
          <w:sz w:val="24"/>
          <w:szCs w:val="24"/>
          <w:lang w:val="en-US" w:eastAsia="en-ZA"/>
        </w:rPr>
        <w:t xml:space="preserve">represents the case effects with </w:t>
      </w:r>
      <m:oMath>
        <m:r>
          <w:rPr>
            <w:rFonts w:ascii="Cambria Math" w:hAnsi="Cambria Math" w:cs="Arial"/>
            <w:color w:val="000000"/>
            <w:sz w:val="24"/>
            <w:szCs w:val="24"/>
            <w:lang w:val="en-US" w:eastAsia="en-ZA"/>
          </w:rPr>
          <m:t>j</m:t>
        </m:r>
        <m:r>
          <w:rPr>
            <w:rFonts w:ascii="Cambria Math" w:hAnsi="Cambria Math" w:cs="Arial"/>
            <w:color w:val="000000"/>
            <w:sz w:val="24"/>
            <w:szCs w:val="24"/>
            <w:lang w:val="en-US" w:eastAsia="en-ZA"/>
          </w:rPr>
          <m:t>=1…21</m:t>
        </m:r>
      </m:oMath>
    </w:p>
    <w:p w:rsidR="00480789" w:rsidRDefault="00B41E7B">
      <w:pPr>
        <w:spacing w:line="360" w:lineRule="auto"/>
        <w:ind w:left="709" w:hanging="11"/>
        <w:jc w:val="both"/>
        <w:rPr>
          <w:rFonts w:ascii="Arial" w:hAnsi="Arial" w:cs="Arial"/>
          <w:color w:val="000000"/>
          <w:sz w:val="24"/>
          <w:szCs w:val="24"/>
          <w:lang w:val="en-US" w:eastAsia="en-ZA"/>
        </w:rPr>
      </w:pPr>
      <m:oMath>
        <m:sSub>
          <m:sSubPr>
            <m:ctrlPr>
              <w:rPr>
                <w:rFonts w:ascii="Cambria Math" w:hAnsi="Cambria Math" w:cs="Arial"/>
                <w:bCs/>
                <w:i/>
                <w:sz w:val="24"/>
                <w:szCs w:val="24"/>
                <w:lang w:val="en-US"/>
              </w:rPr>
            </m:ctrlPr>
          </m:sSubPr>
          <m:e>
            <m:r>
              <w:rPr>
                <w:rFonts w:ascii="Cambria Math" w:hAnsi="Cambria Math" w:cs="Arial"/>
                <w:sz w:val="24"/>
                <w:szCs w:val="24"/>
                <w:lang w:val="en-US"/>
              </w:rPr>
              <m:t>αβ</m:t>
            </m:r>
          </m:e>
          <m:sub>
            <m:r>
              <w:rPr>
                <w:rFonts w:ascii="Cambria Math" w:hAnsi="Cambria Math" w:cs="Arial"/>
                <w:sz w:val="24"/>
                <w:szCs w:val="24"/>
                <w:lang w:val="en-US"/>
              </w:rPr>
              <m:t>ij</m:t>
            </m:r>
          </m:sub>
        </m:sSub>
      </m:oMath>
      <w:r>
        <w:rPr>
          <w:rFonts w:ascii="Arial" w:hAnsi="Arial" w:cs="Arial"/>
          <w:bCs/>
          <w:sz w:val="24"/>
          <w:szCs w:val="24"/>
          <w:lang w:val="en-US"/>
        </w:rPr>
        <w:t xml:space="preserve"> </w:t>
      </w:r>
      <w:r>
        <w:rPr>
          <w:rFonts w:ascii="Arial" w:hAnsi="Arial" w:cs="Arial"/>
          <w:color w:val="000000"/>
          <w:sz w:val="24"/>
          <w:szCs w:val="24"/>
          <w:lang w:val="en-US" w:eastAsia="en-ZA"/>
        </w:rPr>
        <w:t xml:space="preserve">represent the random interaction effect between case </w:t>
      </w:r>
      <w:r>
        <w:rPr>
          <w:rFonts w:ascii="Arial" w:hAnsi="Arial" w:cs="Arial"/>
          <w:i/>
          <w:color w:val="000000"/>
          <w:sz w:val="24"/>
          <w:szCs w:val="24"/>
          <w:lang w:val="en-US" w:eastAsia="en-ZA"/>
        </w:rPr>
        <w:t xml:space="preserve">i, </w:t>
      </w:r>
      <w:r>
        <w:rPr>
          <w:rFonts w:ascii="Arial" w:hAnsi="Arial" w:cs="Arial"/>
          <w:color w:val="000000"/>
          <w:sz w:val="24"/>
          <w:szCs w:val="24"/>
          <w:lang w:val="en-US" w:eastAsia="en-ZA"/>
        </w:rPr>
        <w:t xml:space="preserve">treatment </w:t>
      </w:r>
      <w:r>
        <w:rPr>
          <w:rFonts w:ascii="Arial" w:hAnsi="Arial" w:cs="Arial"/>
          <w:i/>
          <w:color w:val="000000"/>
          <w:sz w:val="24"/>
          <w:szCs w:val="24"/>
          <w:lang w:val="en-US" w:eastAsia="en-ZA"/>
        </w:rPr>
        <w:t>j</w:t>
      </w:r>
      <w:r>
        <w:rPr>
          <w:rFonts w:ascii="Arial" w:hAnsi="Arial" w:cs="Arial"/>
          <w:color w:val="000000"/>
          <w:sz w:val="24"/>
          <w:szCs w:val="24"/>
          <w:lang w:val="en-US" w:eastAsia="en-ZA"/>
        </w:rPr>
        <w:t>, i.e. the random error not explained by the model.</w:t>
      </w:r>
    </w:p>
    <w:p w:rsidR="00480789" w:rsidRDefault="00480789">
      <w:pPr>
        <w:spacing w:line="360" w:lineRule="auto"/>
        <w:ind w:left="709" w:hanging="11"/>
        <w:jc w:val="both"/>
        <w:rPr>
          <w:rFonts w:ascii="Arial" w:hAnsi="Arial" w:cs="Arial"/>
          <w:color w:val="000000"/>
          <w:sz w:val="24"/>
          <w:szCs w:val="24"/>
          <w:lang w:val="en-US" w:eastAsia="en-ZA"/>
        </w:rPr>
      </w:pPr>
    </w:p>
    <w:p w:rsidR="00480789" w:rsidRDefault="00B41E7B">
      <w:pPr>
        <w:spacing w:line="360" w:lineRule="auto"/>
        <w:ind w:firstLine="698"/>
        <w:jc w:val="both"/>
        <w:rPr>
          <w:rFonts w:ascii="Arial" w:hAnsi="Arial" w:cs="Arial"/>
          <w:bCs/>
          <w:sz w:val="24"/>
          <w:szCs w:val="24"/>
          <w:lang w:val="en-US"/>
        </w:rPr>
      </w:pPr>
      <w:r>
        <w:rPr>
          <w:rFonts w:ascii="Arial" w:hAnsi="Arial" w:cs="Arial"/>
          <w:color w:val="000000"/>
          <w:sz w:val="24"/>
          <w:szCs w:val="24"/>
          <w:lang w:val="en-US" w:eastAsia="en-ZA"/>
        </w:rPr>
        <w:t xml:space="preserve">Therefore </w:t>
      </w:r>
      <m:oMath>
        <m:sSub>
          <m:sSubPr>
            <m:ctrlPr>
              <w:rPr>
                <w:rFonts w:ascii="Cambria Math" w:hAnsi="Cambria Math" w:cs="Arial"/>
                <w:bCs/>
                <w:i/>
                <w:sz w:val="24"/>
                <w:szCs w:val="24"/>
                <w:lang w:val="en-US"/>
              </w:rPr>
            </m:ctrlPr>
          </m:sSubPr>
          <m:e>
            <m:r>
              <w:rPr>
                <w:rFonts w:ascii="Cambria Math" w:hAnsi="Cambria Math" w:cs="Arial"/>
                <w:sz w:val="24"/>
                <w:szCs w:val="24"/>
                <w:lang w:val="en-US"/>
              </w:rPr>
              <m:t>X</m:t>
            </m:r>
          </m:e>
          <m:sub>
            <m:r>
              <w:rPr>
                <w:rFonts w:ascii="Cambria Math" w:hAnsi="Cambria Math" w:cs="Arial"/>
                <w:sz w:val="24"/>
                <w:szCs w:val="24"/>
                <w:lang w:val="en-US"/>
              </w:rPr>
              <m:t>ij</m:t>
            </m:r>
          </m:sub>
        </m:sSub>
      </m:oMath>
      <w:r>
        <w:rPr>
          <w:rFonts w:ascii="Arial" w:hAnsi="Arial" w:cs="Arial"/>
          <w:color w:val="000000"/>
          <w:sz w:val="24"/>
          <w:szCs w:val="24"/>
          <w:lang w:val="en-US" w:eastAsia="en-ZA"/>
        </w:rPr>
        <w:t xml:space="preserve"> represents the observation on the bin for case </w:t>
      </w:r>
      <m:oMath>
        <m:r>
          <w:rPr>
            <w:rFonts w:ascii="Cambria Math" w:hAnsi="Cambria Math" w:cs="Arial"/>
            <w:color w:val="000000"/>
            <w:sz w:val="24"/>
            <w:szCs w:val="24"/>
            <w:lang w:val="en-US" w:eastAsia="en-ZA"/>
          </w:rPr>
          <m:t>j</m:t>
        </m:r>
      </m:oMath>
      <w:r>
        <w:rPr>
          <w:rFonts w:ascii="Arial" w:hAnsi="Arial" w:cs="Arial"/>
          <w:color w:val="000000"/>
          <w:sz w:val="24"/>
          <w:szCs w:val="24"/>
          <w:lang w:val="en-US" w:eastAsia="en-ZA"/>
        </w:rPr>
        <w:t xml:space="preserve">, </w:t>
      </w:r>
      <m:oMath>
        <m:r>
          <w:rPr>
            <w:rFonts w:ascii="Cambria Math" w:hAnsi="Cambria Math" w:cs="Arial"/>
            <w:color w:val="000000"/>
            <w:sz w:val="24"/>
            <w:szCs w:val="24"/>
            <w:lang w:val="en-US" w:eastAsia="en-ZA"/>
          </w:rPr>
          <m:t>i</m:t>
        </m:r>
        <m:r>
          <w:rPr>
            <w:rFonts w:ascii="Cambria Math" w:hAnsi="Cambria Math" w:cs="Arial"/>
            <w:color w:val="000000"/>
            <w:sz w:val="24"/>
            <w:szCs w:val="24"/>
            <w:lang w:val="en-US" w:eastAsia="en-ZA"/>
          </w:rPr>
          <m:t>-</m:t>
        </m:r>
        <m:r>
          <w:rPr>
            <w:rFonts w:ascii="Cambria Math" w:hAnsi="Cambria Math" w:cs="Arial"/>
            <w:color w:val="000000"/>
            <w:sz w:val="24"/>
            <w:szCs w:val="24"/>
            <w:lang w:val="en-US" w:eastAsia="en-ZA"/>
          </w:rPr>
          <m:t>2</m:t>
        </m:r>
      </m:oMath>
      <w:r>
        <w:rPr>
          <w:rFonts w:ascii="Arial" w:hAnsi="Arial" w:cs="Arial"/>
          <w:color w:val="000000"/>
          <w:sz w:val="24"/>
          <w:szCs w:val="24"/>
          <w:lang w:val="en-US" w:eastAsia="en-ZA"/>
        </w:rPr>
        <w:t xml:space="preserve"> hours after consuming the vehicle, as modeled on the basis of the factor means and </w:t>
      </w:r>
      <w:r>
        <w:rPr>
          <w:rFonts w:ascii="Arial" w:hAnsi="Arial" w:cs="Arial"/>
          <w:color w:val="000000"/>
          <w:sz w:val="24"/>
          <w:szCs w:val="24"/>
          <w:lang w:val="en-US" w:eastAsia="en-ZA"/>
        </w:rPr>
        <w:lastRenderedPageBreak/>
        <w:t xml:space="preserve">random noise. Bins for which the factor means play a larger role than the random noise to obtain the observed value </w:t>
      </w:r>
      <w:r>
        <w:rPr>
          <w:rFonts w:ascii="Arial" w:hAnsi="Arial" w:cs="Arial"/>
          <w:color w:val="000000"/>
          <w:sz w:val="24"/>
          <w:szCs w:val="24"/>
          <w:lang w:val="en-US" w:eastAsia="en-ZA"/>
        </w:rPr>
        <w:t>are flagged as significant.</w:t>
      </w:r>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 xml:space="preserve">RM ANOVA essentially expands the cross-sectional approach to account for the complete study design of the data set (or subset since we retain only time as a factor). However, it does not account for interactions between bins as </w:t>
      </w:r>
      <w:r>
        <w:rPr>
          <w:rFonts w:ascii="Arial" w:hAnsi="Arial" w:cs="Arial"/>
          <w:bCs/>
          <w:sz w:val="24"/>
          <w:szCs w:val="24"/>
          <w:lang w:val="en-US"/>
        </w:rPr>
        <w:t>it is a univariate method. RM ANOVA can be expanded to evaluate multiple variables, but breaks down when the number of variables exceeds the number of cases, as mentioned earlier. For in-depth insight into ANOVA methods, refer to Tabachnick &amp; Fidell [11,12</w:t>
      </w:r>
      <w:r>
        <w:rPr>
          <w:rFonts w:ascii="Arial" w:hAnsi="Arial" w:cs="Arial"/>
          <w:bCs/>
          <w:sz w:val="24"/>
          <w:szCs w:val="24"/>
          <w:lang w:val="en-US"/>
        </w:rPr>
        <w:t xml:space="preserve">]. Here we used RM ANOVA to identify individual bins that changed significantly in time, as constituting the second </w:t>
      </w:r>
      <w:r>
        <w:rPr>
          <w:rFonts w:ascii="Arial" w:hAnsi="Arial" w:cs="Arial"/>
          <w:sz w:val="24"/>
          <w:szCs w:val="24"/>
          <w:lang w:val="en-US"/>
        </w:rPr>
        <w:t>shortlist to be included in the Venn analysis. To control the family-wise error rate resulting from applying RM ANOVA hypothesis testing mul</w:t>
      </w:r>
      <w:r>
        <w:rPr>
          <w:rFonts w:ascii="Arial" w:hAnsi="Arial" w:cs="Arial"/>
          <w:sz w:val="24"/>
          <w:szCs w:val="24"/>
          <w:lang w:val="en-US"/>
        </w:rPr>
        <w:t xml:space="preserve">tiple times, bins were selected only if their </w:t>
      </w:r>
      <w:r>
        <w:rPr>
          <w:rFonts w:ascii="Arial" w:hAnsi="Arial" w:cs="Arial"/>
          <w:bCs/>
          <w:sz w:val="24"/>
          <w:szCs w:val="24"/>
          <w:lang w:val="en-US"/>
        </w:rPr>
        <w:t xml:space="preserve">associated p-values were estimated as 0. </w:t>
      </w:r>
      <w:r>
        <w:rPr>
          <w:rFonts w:ascii="Arial" w:hAnsi="Arial" w:cs="Arial"/>
          <w:sz w:val="24"/>
          <w:szCs w:val="24"/>
          <w:lang w:val="en-US"/>
        </w:rPr>
        <w:t>This analysis was performed in Matlab using the statistics toolbox [3] and code adapted from Trujillo-Ortiz et al [13].</w:t>
      </w:r>
    </w:p>
    <w:p w:rsidR="00480789" w:rsidRDefault="00480789">
      <w:pPr>
        <w:spacing w:line="360" w:lineRule="auto"/>
        <w:jc w:val="both"/>
        <w:rPr>
          <w:rFonts w:ascii="Arial" w:hAnsi="Arial" w:cs="Arial"/>
          <w:bCs/>
          <w:sz w:val="24"/>
          <w:szCs w:val="24"/>
          <w:lang w:val="en-US"/>
        </w:rPr>
      </w:pPr>
    </w:p>
    <w:p w:rsidR="00480789" w:rsidRDefault="00B41E7B">
      <w:pPr>
        <w:spacing w:after="120" w:line="360" w:lineRule="auto"/>
        <w:jc w:val="both"/>
        <w:rPr>
          <w:rFonts w:ascii="Arial" w:hAnsi="Arial" w:cs="Arial"/>
          <w:b/>
          <w:bCs/>
          <w:sz w:val="32"/>
          <w:szCs w:val="32"/>
          <w:lang w:val="en-US"/>
        </w:rPr>
      </w:pPr>
      <w:r>
        <w:rPr>
          <w:rFonts w:ascii="Arial" w:hAnsi="Arial" w:cs="Arial"/>
          <w:b/>
          <w:bCs/>
          <w:sz w:val="32"/>
          <w:szCs w:val="32"/>
          <w:lang w:val="en-US"/>
        </w:rPr>
        <w:t>S</w:t>
      </w:r>
      <w:r w:rsidR="00750248">
        <w:rPr>
          <w:rFonts w:ascii="Arial" w:hAnsi="Arial" w:cs="Arial"/>
          <w:b/>
          <w:bCs/>
          <w:sz w:val="32"/>
          <w:szCs w:val="32"/>
          <w:lang w:val="en-US"/>
        </w:rPr>
        <w:t xml:space="preserve">ection </w:t>
      </w:r>
      <w:r>
        <w:rPr>
          <w:rFonts w:ascii="Arial" w:hAnsi="Arial" w:cs="Arial"/>
          <w:b/>
          <w:bCs/>
          <w:sz w:val="32"/>
          <w:szCs w:val="32"/>
          <w:lang w:val="en-US"/>
        </w:rPr>
        <w:t>3.5 Unfolded PCA</w:t>
      </w:r>
    </w:p>
    <w:p w:rsidR="00480789" w:rsidRDefault="00B41E7B">
      <w:pPr>
        <w:spacing w:after="120" w:line="360" w:lineRule="auto"/>
        <w:jc w:val="both"/>
        <w:rPr>
          <w:rFonts w:ascii="Arial" w:hAnsi="Arial" w:cs="Arial"/>
          <w:bCs/>
          <w:sz w:val="24"/>
          <w:szCs w:val="24"/>
          <w:lang w:val="en-US"/>
        </w:rPr>
      </w:pPr>
      <w:r>
        <w:rPr>
          <w:rFonts w:ascii="Arial" w:hAnsi="Arial" w:cs="Arial"/>
          <w:bCs/>
          <w:sz w:val="24"/>
          <w:szCs w:val="24"/>
          <w:lang w:val="en-US"/>
        </w:rPr>
        <w:t>Unfolded PCA was applied to gain insight into the global (i.e. multivariate) effect of the vehicle over time. This method extends the RM ANOVA idea to the multivariate setting. However, it does not explicitly take the study design into account as it does n</w:t>
      </w:r>
      <w:r>
        <w:rPr>
          <w:rFonts w:ascii="Arial" w:hAnsi="Arial" w:cs="Arial"/>
          <w:bCs/>
          <w:sz w:val="24"/>
          <w:szCs w:val="24"/>
          <w:lang w:val="en-US"/>
        </w:rPr>
        <w:t>ot truly decompose the data into the known sources of variation. The data tensor (with three dimensions representing cases, times and bins) was unfolded in time as illustrated in Figure F Unfolding transforms a three-dimensional tensor into a two-dimension</w:t>
      </w:r>
      <w:r>
        <w:rPr>
          <w:rFonts w:ascii="Arial" w:hAnsi="Arial" w:cs="Arial"/>
          <w:bCs/>
          <w:sz w:val="24"/>
          <w:szCs w:val="24"/>
          <w:lang w:val="en-US"/>
        </w:rPr>
        <w:t>al matrix, allowing for principal component analysis. PCA of the unfolded tensor provides insight into the effect of the vehicle in time on the bins (indicated by the ellipses and centroids) as well as individual cases (indicated by the overlaid trajectori</w:t>
      </w:r>
      <w:r>
        <w:rPr>
          <w:rFonts w:ascii="Arial" w:hAnsi="Arial" w:cs="Arial"/>
          <w:bCs/>
          <w:sz w:val="24"/>
          <w:szCs w:val="24"/>
          <w:lang w:val="en-US"/>
        </w:rPr>
        <w:t xml:space="preserve">es) (Figure 5 in the main paper). For a more in-depth discussion on unfolding refer to [14]. </w:t>
      </w:r>
      <w:r>
        <w:rPr>
          <w:rFonts w:ascii="Arial" w:hAnsi="Arial" w:cs="Arial"/>
          <w:sz w:val="24"/>
          <w:szCs w:val="24"/>
          <w:lang w:val="en-US"/>
        </w:rPr>
        <w:t>This analysis was performed in Matlab using the PCA function of the PLS toolbox</w:t>
      </w:r>
      <w:r>
        <w:rPr>
          <w:rFonts w:ascii="Arial" w:hAnsi="Arial" w:cs="Arial"/>
          <w:bCs/>
          <w:sz w:val="24"/>
          <w:szCs w:val="24"/>
          <w:lang w:val="en-US"/>
        </w:rPr>
        <w:t>.</w:t>
      </w:r>
      <w:r>
        <w:rPr>
          <w:rFonts w:ascii="Arial" w:hAnsi="Arial" w:cs="Arial"/>
          <w:bCs/>
          <w:sz w:val="24"/>
          <w:szCs w:val="24"/>
          <w:lang w:val="en-US"/>
        </w:rPr>
        <w:br w:type="page"/>
      </w:r>
    </w:p>
    <w:tbl>
      <w:tblPr>
        <w:tblStyle w:val="TableGrid"/>
        <w:tblW w:w="10064" w:type="dxa"/>
        <w:tblInd w:w="-459" w:type="dxa"/>
        <w:tblLook w:val="04A0" w:firstRow="1" w:lastRow="0" w:firstColumn="1" w:lastColumn="0" w:noHBand="0" w:noVBand="1"/>
      </w:tblPr>
      <w:tblGrid>
        <w:gridCol w:w="10064"/>
      </w:tblGrid>
      <w:tr w:rsidR="00480789">
        <w:tc>
          <w:tcPr>
            <w:tcW w:w="10064" w:type="dxa"/>
          </w:tcPr>
          <w:p w:rsidR="00480789" w:rsidRDefault="00480789">
            <w:pPr>
              <w:spacing w:after="120" w:line="360" w:lineRule="auto"/>
              <w:jc w:val="both"/>
              <w:rPr>
                <w:rFonts w:ascii="Arial" w:hAnsi="Arial" w:cs="Arial"/>
                <w:b/>
                <w:bCs/>
                <w:sz w:val="24"/>
                <w:szCs w:val="24"/>
                <w:lang w:val="en-US"/>
              </w:rPr>
            </w:pPr>
          </w:p>
          <w:p w:rsidR="00480789" w:rsidRDefault="00B41E7B">
            <w:pPr>
              <w:spacing w:after="120" w:line="360" w:lineRule="auto"/>
              <w:jc w:val="both"/>
              <w:rPr>
                <w:rFonts w:ascii="Arial" w:hAnsi="Arial" w:cs="Arial"/>
                <w:b/>
                <w:bCs/>
                <w:sz w:val="24"/>
                <w:szCs w:val="24"/>
                <w:lang w:val="en-US"/>
              </w:rPr>
            </w:pPr>
            <w:r>
              <w:rPr>
                <w:rFonts w:ascii="Arial" w:hAnsi="Arial" w:cs="Arial"/>
                <w:b/>
                <w:bCs/>
                <w:noProof/>
                <w:sz w:val="24"/>
                <w:szCs w:val="24"/>
                <w:lang w:val="en-US"/>
              </w:rPr>
              <w:drawing>
                <wp:inline distT="0" distB="0" distL="0" distR="0">
                  <wp:extent cx="6245225" cy="1854835"/>
                  <wp:effectExtent l="0" t="0" r="0" b="0"/>
                  <wp:docPr id="4" name="Picture 4" descr="Unfold T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fold Tens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5225" cy="1854835"/>
                          </a:xfrm>
                          <a:prstGeom prst="rect">
                            <a:avLst/>
                          </a:prstGeom>
                          <a:noFill/>
                          <a:ln>
                            <a:noFill/>
                          </a:ln>
                        </pic:spPr>
                      </pic:pic>
                    </a:graphicData>
                  </a:graphic>
                </wp:inline>
              </w:drawing>
            </w:r>
          </w:p>
        </w:tc>
      </w:tr>
      <w:tr w:rsidR="00480789">
        <w:tc>
          <w:tcPr>
            <w:tcW w:w="10064" w:type="dxa"/>
            <w:vAlign w:val="center"/>
          </w:tcPr>
          <w:p w:rsidR="00480789" w:rsidRDefault="00B41E7B">
            <w:pPr>
              <w:spacing w:after="120"/>
              <w:jc w:val="both"/>
              <w:rPr>
                <w:rFonts w:ascii="Arial" w:hAnsi="Arial" w:cs="Arial"/>
                <w:b/>
                <w:bCs/>
                <w:sz w:val="24"/>
                <w:szCs w:val="24"/>
                <w:lang w:val="en-US"/>
              </w:rPr>
            </w:pPr>
            <w:r>
              <w:rPr>
                <w:rFonts w:ascii="Arial" w:hAnsi="Arial" w:cs="Arial"/>
                <w:b/>
                <w:bCs/>
                <w:sz w:val="24"/>
                <w:szCs w:val="24"/>
                <w:lang w:val="en-US"/>
              </w:rPr>
              <w:t>Figure F: Unfolding Data</w:t>
            </w:r>
          </w:p>
          <w:p w:rsidR="00480789" w:rsidRDefault="00B41E7B">
            <w:pPr>
              <w:spacing w:after="120"/>
              <w:jc w:val="both"/>
              <w:rPr>
                <w:rFonts w:ascii="Arial" w:hAnsi="Arial" w:cs="Arial"/>
                <w:bCs/>
                <w:sz w:val="24"/>
                <w:szCs w:val="24"/>
                <w:lang w:val="en-US"/>
              </w:rPr>
            </w:pPr>
            <w:r>
              <w:rPr>
                <w:rFonts w:ascii="Arial" w:hAnsi="Arial" w:cs="Arial"/>
                <w:bCs/>
                <w:sz w:val="24"/>
                <w:szCs w:val="24"/>
                <w:lang w:val="en-US"/>
              </w:rPr>
              <w:t>The figure illustrates how a new data matrix was for</w:t>
            </w:r>
            <w:r>
              <w:rPr>
                <w:rFonts w:ascii="Arial" w:hAnsi="Arial" w:cs="Arial"/>
                <w:bCs/>
                <w:sz w:val="24"/>
                <w:szCs w:val="24"/>
                <w:lang w:val="en-US"/>
              </w:rPr>
              <w:t>med by unfolding the data tensor, generated by the vehicle intervention, over time.</w:t>
            </w:r>
          </w:p>
        </w:tc>
      </w:tr>
    </w:tbl>
    <w:p w:rsidR="00480789" w:rsidRDefault="00480789">
      <w:pPr>
        <w:jc w:val="both"/>
        <w:rPr>
          <w:rFonts w:ascii="Arial" w:hAnsi="Arial" w:cs="Arial"/>
          <w:snapToGrid w:val="0"/>
          <w:color w:val="000000"/>
          <w:w w:val="0"/>
          <w:sz w:val="24"/>
          <w:szCs w:val="24"/>
          <w:u w:color="000000"/>
          <w:bdr w:val="none" w:sz="0" w:space="0" w:color="000000"/>
          <w:shd w:val="clear" w:color="000000" w:fill="000000"/>
          <w:lang w:val="en-US"/>
        </w:rPr>
      </w:pPr>
    </w:p>
    <w:p w:rsidR="00480789" w:rsidRDefault="00480789">
      <w:pPr>
        <w:spacing w:after="120" w:line="360" w:lineRule="auto"/>
        <w:jc w:val="both"/>
        <w:rPr>
          <w:rFonts w:ascii="Arial" w:hAnsi="Arial" w:cs="Arial"/>
          <w:b/>
          <w:bCs/>
          <w:sz w:val="24"/>
          <w:szCs w:val="32"/>
          <w:lang w:val="en-US"/>
        </w:rPr>
      </w:pPr>
    </w:p>
    <w:p w:rsidR="00480789" w:rsidRDefault="00B41E7B">
      <w:pPr>
        <w:spacing w:after="120" w:line="360" w:lineRule="auto"/>
        <w:jc w:val="both"/>
        <w:rPr>
          <w:rFonts w:ascii="Arial" w:hAnsi="Arial" w:cs="Arial"/>
          <w:b/>
          <w:bCs/>
          <w:sz w:val="32"/>
          <w:szCs w:val="32"/>
          <w:lang w:val="en-US"/>
        </w:rPr>
      </w:pPr>
      <w:r>
        <w:rPr>
          <w:rFonts w:ascii="Arial" w:hAnsi="Arial" w:cs="Arial"/>
          <w:b/>
          <w:bCs/>
          <w:sz w:val="32"/>
          <w:szCs w:val="32"/>
          <w:lang w:val="en-US"/>
        </w:rPr>
        <w:t>S</w:t>
      </w:r>
      <w:r w:rsidR="00750248">
        <w:rPr>
          <w:rFonts w:ascii="Arial" w:hAnsi="Arial" w:cs="Arial"/>
          <w:b/>
          <w:bCs/>
          <w:sz w:val="32"/>
          <w:szCs w:val="32"/>
          <w:lang w:val="en-US"/>
        </w:rPr>
        <w:t xml:space="preserve">ection </w:t>
      </w:r>
      <w:r>
        <w:rPr>
          <w:rFonts w:ascii="Arial" w:hAnsi="Arial" w:cs="Arial"/>
          <w:b/>
          <w:bCs/>
          <w:sz w:val="32"/>
          <w:szCs w:val="32"/>
          <w:lang w:val="en-US"/>
        </w:rPr>
        <w:t>3.6 ASCA</w:t>
      </w:r>
    </w:p>
    <w:p w:rsidR="00480789" w:rsidRDefault="00B41E7B">
      <w:pPr>
        <w:spacing w:after="120" w:line="360" w:lineRule="auto"/>
        <w:jc w:val="both"/>
        <w:rPr>
          <w:rFonts w:ascii="Arial" w:hAnsi="Arial" w:cs="Arial"/>
          <w:bCs/>
          <w:sz w:val="24"/>
          <w:szCs w:val="24"/>
          <w:lang w:val="en-US"/>
        </w:rPr>
      </w:pPr>
      <w:r>
        <w:rPr>
          <w:rFonts w:ascii="Arial" w:hAnsi="Arial" w:cs="Arial"/>
          <w:bCs/>
          <w:sz w:val="24"/>
          <w:szCs w:val="24"/>
          <w:lang w:val="en-US"/>
        </w:rPr>
        <w:t xml:space="preserve">ASCA (ANOVA-simultaneous component analysis) was developed for analyzing designed metabolomics data. It can not only account for the study design but also for </w:t>
      </w:r>
      <w:r>
        <w:rPr>
          <w:rFonts w:ascii="Arial" w:hAnsi="Arial" w:cs="Arial"/>
          <w:bCs/>
          <w:sz w:val="24"/>
          <w:szCs w:val="24"/>
          <w:lang w:val="en-US"/>
        </w:rPr>
        <w:t>the high-dimensionality of the data. In essence ASCA combines MANOVA and PCA (as can be deduced from the name) by first deconstructing the data as done in ANOVA and subsequently applying PCA to each subset. The model can be summarized as follows:</w:t>
      </w:r>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 xml:space="preserve">If </w:t>
      </w:r>
      <m:oMath>
        <m:r>
          <w:rPr>
            <w:rFonts w:ascii="Cambria Math" w:hAnsi="Cambria Math" w:cs="Arial"/>
            <w:sz w:val="24"/>
            <w:szCs w:val="24"/>
            <w:lang w:val="en-US"/>
          </w:rPr>
          <m:t>D</m:t>
        </m:r>
      </m:oMath>
      <w:r>
        <w:rPr>
          <w:rFonts w:ascii="Arial" w:hAnsi="Arial" w:cs="Arial"/>
          <w:bCs/>
          <w:sz w:val="24"/>
          <w:szCs w:val="24"/>
          <w:lang w:val="en-US"/>
        </w:rPr>
        <w:t xml:space="preserve"> rep</w:t>
      </w:r>
      <w:r>
        <w:rPr>
          <w:rFonts w:ascii="Arial" w:hAnsi="Arial" w:cs="Arial"/>
          <w:bCs/>
          <w:sz w:val="24"/>
          <w:szCs w:val="24"/>
          <w:lang w:val="en-US"/>
        </w:rPr>
        <w:t xml:space="preserve">resents a data tensor then ASCA will deconstruct </w:t>
      </w:r>
      <m:oMath>
        <m:r>
          <w:rPr>
            <w:rFonts w:ascii="Cambria Math" w:hAnsi="Cambria Math" w:cs="Arial"/>
            <w:sz w:val="24"/>
            <w:szCs w:val="24"/>
            <w:lang w:val="en-US"/>
          </w:rPr>
          <m:t>D</m:t>
        </m:r>
        <m:r>
          <w:rPr>
            <w:rFonts w:ascii="Cambria Math" w:hAnsi="Cambria Math" w:cs="Arial"/>
            <w:sz w:val="24"/>
            <w:szCs w:val="24"/>
            <w:lang w:val="en-US"/>
          </w:rPr>
          <m:t xml:space="preserve"> </m:t>
        </m:r>
      </m:oMath>
      <w:r>
        <w:rPr>
          <w:rFonts w:ascii="Arial" w:hAnsi="Arial" w:cs="Arial"/>
          <w:bCs/>
          <w:sz w:val="24"/>
          <w:szCs w:val="24"/>
          <w:lang w:val="en-US"/>
        </w:rPr>
        <w:t xml:space="preserve">similarly to RM ANOVA: </w:t>
      </w:r>
    </w:p>
    <w:p w:rsidR="00480789" w:rsidRDefault="00B41E7B">
      <w:pPr>
        <w:spacing w:after="120" w:line="360" w:lineRule="auto"/>
        <w:jc w:val="both"/>
        <w:rPr>
          <w:rFonts w:ascii="Arial" w:hAnsi="Arial" w:cs="Arial"/>
          <w:b/>
          <w:color w:val="000000"/>
          <w:sz w:val="24"/>
          <w:szCs w:val="24"/>
          <w:lang w:val="en-US" w:eastAsia="en-ZA"/>
        </w:rPr>
      </w:pPr>
      <m:oMathPara>
        <m:oMath>
          <m:r>
            <m:rPr>
              <m:sty m:val="bi"/>
            </m:rPr>
            <w:rPr>
              <w:rFonts w:ascii="Cambria Math" w:hAnsi="Cambria Math" w:cs="Arial"/>
              <w:sz w:val="24"/>
              <w:szCs w:val="24"/>
              <w:lang w:val="en-US"/>
            </w:rPr>
            <m:t>D</m:t>
          </m:r>
          <m:r>
            <w:rPr>
              <w:rFonts w:ascii="Cambria Math" w:hAnsi="Cambria Math" w:cs="Arial"/>
              <w:sz w:val="24"/>
              <w:szCs w:val="24"/>
              <w:lang w:val="en-US"/>
            </w:rPr>
            <m:t>=</m:t>
          </m:r>
          <m:r>
            <m:rPr>
              <m:sty m:val="bi"/>
            </m:rPr>
            <w:rPr>
              <w:rFonts w:ascii="Cambria Math" w:hAnsi="Cambria Math" w:cs="Arial"/>
              <w:sz w:val="24"/>
              <w:szCs w:val="24"/>
              <w:lang w:val="en-US"/>
            </w:rPr>
            <m:t>μ</m:t>
          </m:r>
          <m:r>
            <w:rPr>
              <w:rFonts w:ascii="Cambria Math" w:hAnsi="Cambria Math" w:cs="Arial"/>
              <w:sz w:val="24"/>
              <w:szCs w:val="24"/>
              <w:lang w:val="en-US"/>
            </w:rPr>
            <m:t>+</m:t>
          </m:r>
          <m:sSub>
            <m:sSubPr>
              <m:ctrlPr>
                <w:rPr>
                  <w:rFonts w:ascii="Cambria Math" w:hAnsi="Cambria Math" w:cs="Arial"/>
                  <w:b/>
                  <w:bCs/>
                  <w:i/>
                  <w:sz w:val="24"/>
                  <w:szCs w:val="24"/>
                  <w:lang w:val="en-US"/>
                </w:rPr>
              </m:ctrlPr>
            </m:sSubPr>
            <m:e>
              <m:r>
                <m:rPr>
                  <m:sty m:val="bi"/>
                </m:rPr>
                <w:rPr>
                  <w:rFonts w:ascii="Cambria Math" w:hAnsi="Cambria Math" w:cs="Arial"/>
                  <w:sz w:val="24"/>
                  <w:szCs w:val="24"/>
                  <w:lang w:val="en-US"/>
                </w:rPr>
                <m:t>α</m:t>
              </m:r>
            </m:e>
            <m:sub>
              <m:r>
                <m:rPr>
                  <m:sty m:val="bi"/>
                </m:rPr>
                <w:rPr>
                  <w:rFonts w:ascii="Cambria Math" w:hAnsi="Cambria Math" w:cs="Arial"/>
                  <w:sz w:val="24"/>
                  <w:szCs w:val="24"/>
                  <w:lang w:val="en-US"/>
                </w:rPr>
                <m:t>i</m:t>
              </m:r>
            </m:sub>
          </m:sSub>
          <m:r>
            <w:rPr>
              <w:rFonts w:ascii="Cambria Math" w:hAnsi="Cambria Math" w:cs="Arial"/>
              <w:sz w:val="24"/>
              <w:szCs w:val="24"/>
              <w:lang w:val="en-US"/>
            </w:rPr>
            <m:t>+</m:t>
          </m:r>
          <m:sSub>
            <m:sSubPr>
              <m:ctrlPr>
                <w:rPr>
                  <w:rFonts w:ascii="Cambria Math" w:hAnsi="Cambria Math" w:cs="Arial"/>
                  <w:b/>
                  <w:bCs/>
                  <w:i/>
                  <w:sz w:val="24"/>
                  <w:szCs w:val="24"/>
                  <w:lang w:val="en-US"/>
                </w:rPr>
              </m:ctrlPr>
            </m:sSubPr>
            <m:e>
              <m:r>
                <m:rPr>
                  <m:sty m:val="bi"/>
                </m:rPr>
                <w:rPr>
                  <w:rFonts w:ascii="Cambria Math" w:hAnsi="Cambria Math" w:cs="Arial"/>
                  <w:sz w:val="24"/>
                  <w:szCs w:val="24"/>
                  <w:lang w:val="en-US"/>
                </w:rPr>
                <m:t>β</m:t>
              </m:r>
            </m:e>
            <m:sub>
              <m:r>
                <m:rPr>
                  <m:sty m:val="bi"/>
                </m:rPr>
                <w:rPr>
                  <w:rFonts w:ascii="Cambria Math" w:hAnsi="Cambria Math" w:cs="Arial"/>
                  <w:sz w:val="24"/>
                  <w:szCs w:val="24"/>
                  <w:lang w:val="en-US"/>
                </w:rPr>
                <m:t>j</m:t>
              </m:r>
            </m:sub>
          </m:sSub>
          <m:r>
            <w:rPr>
              <w:rFonts w:ascii="Cambria Math" w:hAnsi="Cambria Math" w:cs="Arial"/>
              <w:sz w:val="24"/>
              <w:szCs w:val="24"/>
              <w:lang w:val="en-US"/>
            </w:rPr>
            <m:t>+</m:t>
          </m:r>
          <m:sSub>
            <m:sSubPr>
              <m:ctrlPr>
                <w:rPr>
                  <w:rFonts w:ascii="Cambria Math" w:hAnsi="Cambria Math" w:cs="Arial"/>
                  <w:b/>
                  <w:bCs/>
                  <w:i/>
                  <w:sz w:val="24"/>
                  <w:szCs w:val="24"/>
                  <w:lang w:val="en-US"/>
                </w:rPr>
              </m:ctrlPr>
            </m:sSubPr>
            <m:e>
              <m:r>
                <m:rPr>
                  <m:sty m:val="bi"/>
                </m:rPr>
                <w:rPr>
                  <w:rFonts w:ascii="Cambria Math" w:hAnsi="Cambria Math" w:cs="Arial"/>
                  <w:sz w:val="24"/>
                  <w:szCs w:val="24"/>
                  <w:lang w:val="en-US"/>
                </w:rPr>
                <m:t>αβ</m:t>
              </m:r>
            </m:e>
            <m:sub>
              <m:r>
                <m:rPr>
                  <m:sty m:val="bi"/>
                </m:rPr>
                <w:rPr>
                  <w:rFonts w:ascii="Cambria Math" w:hAnsi="Cambria Math" w:cs="Arial"/>
                  <w:sz w:val="24"/>
                  <w:szCs w:val="24"/>
                  <w:lang w:val="en-US"/>
                </w:rPr>
                <m:t>ij</m:t>
              </m:r>
            </m:sub>
          </m:sSub>
        </m:oMath>
      </m:oMathPara>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Note the adoption of boldface symbols, as the factor now represents matrices of means across all variables as opposed to just a vector of means for one var</w:t>
      </w:r>
      <w:r>
        <w:rPr>
          <w:rFonts w:ascii="Arial" w:hAnsi="Arial" w:cs="Arial"/>
          <w:bCs/>
          <w:sz w:val="24"/>
          <w:szCs w:val="24"/>
          <w:lang w:val="en-US"/>
        </w:rPr>
        <w:t>iable for each factor level. Next, PCA is performed for each matrix</w:t>
      </w:r>
    </w:p>
    <w:p w:rsidR="00480789" w:rsidRDefault="00B41E7B">
      <w:pPr>
        <w:spacing w:after="120" w:line="360" w:lineRule="auto"/>
        <w:jc w:val="both"/>
        <w:rPr>
          <w:rFonts w:ascii="Arial" w:hAnsi="Arial" w:cs="Arial"/>
          <w:bCs/>
          <w:sz w:val="24"/>
          <w:szCs w:val="24"/>
          <w:lang w:val="en-US"/>
        </w:rPr>
      </w:pPr>
      <m:oMathPara>
        <m:oMath>
          <m:r>
            <w:rPr>
              <w:rFonts w:ascii="Cambria Math" w:hAnsi="Cambria Math" w:cs="Arial"/>
              <w:sz w:val="24"/>
              <w:szCs w:val="24"/>
              <w:lang w:val="en-US"/>
            </w:rPr>
            <m:t>D</m:t>
          </m:r>
          <m:r>
            <w:rPr>
              <w:rFonts w:ascii="Cambria Math" w:hAnsi="Cambria Math" w:cs="Arial"/>
              <w:sz w:val="24"/>
              <w:szCs w:val="24"/>
              <w:lang w:val="en-US"/>
            </w:rPr>
            <m:t>=1</m:t>
          </m:r>
          <m:r>
            <w:rPr>
              <w:rFonts w:ascii="Cambria Math" w:hAnsi="Cambria Math" w:cs="Arial"/>
              <w:sz w:val="24"/>
              <w:szCs w:val="24"/>
              <w:lang w:val="en-US"/>
            </w:rPr>
            <m:t>m</m:t>
          </m:r>
          <m:r>
            <w:rPr>
              <w:rFonts w:ascii="Cambria Math" w:hAnsi="Cambria Math" w:cs="Arial"/>
              <w:sz w:val="24"/>
              <w:szCs w:val="24"/>
              <w:lang w:val="en-US"/>
            </w:rPr>
            <m:t>+</m:t>
          </m:r>
          <m:sSub>
            <m:sSubPr>
              <m:ctrlPr>
                <w:rPr>
                  <w:rFonts w:ascii="Cambria Math" w:hAnsi="Cambria Math" w:cs="Arial"/>
                  <w:bCs/>
                  <w:i/>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α</m:t>
              </m:r>
            </m:sub>
          </m:sSub>
          <m:sSubSup>
            <m:sSubSupPr>
              <m:ctrlPr>
                <w:rPr>
                  <w:rFonts w:ascii="Cambria Math" w:hAnsi="Cambria Math" w:cs="Arial"/>
                  <w:bCs/>
                  <w:i/>
                  <w:sz w:val="24"/>
                  <w:szCs w:val="24"/>
                  <w:lang w:val="en-US"/>
                </w:rPr>
              </m:ctrlPr>
            </m:sSubSupPr>
            <m:e>
              <m:r>
                <w:rPr>
                  <w:rFonts w:ascii="Cambria Math" w:hAnsi="Cambria Math" w:cs="Arial"/>
                  <w:sz w:val="24"/>
                  <w:szCs w:val="24"/>
                  <w:lang w:val="en-US"/>
                </w:rPr>
                <m:t>P</m:t>
              </m:r>
            </m:e>
            <m:sub>
              <m:r>
                <w:rPr>
                  <w:rFonts w:ascii="Cambria Math" w:hAnsi="Cambria Math" w:cs="Arial"/>
                  <w:sz w:val="24"/>
                  <w:szCs w:val="24"/>
                  <w:lang w:val="en-US"/>
                </w:rPr>
                <m:t>α</m:t>
              </m:r>
            </m:sub>
            <m:sup>
              <m:r>
                <w:rPr>
                  <w:rFonts w:ascii="Cambria Math" w:hAnsi="Cambria Math" w:cs="Arial"/>
                  <w:sz w:val="24"/>
                  <w:szCs w:val="24"/>
                  <w:lang w:val="en-US"/>
                </w:rPr>
                <m:t>'</m:t>
              </m:r>
            </m:sup>
          </m:sSubSup>
          <m:r>
            <w:rPr>
              <w:rFonts w:ascii="Cambria Math" w:hAnsi="Cambria Math" w:cs="Arial"/>
              <w:sz w:val="24"/>
              <w:szCs w:val="24"/>
              <w:lang w:val="en-US"/>
            </w:rPr>
            <m:t>+</m:t>
          </m:r>
          <m:sSub>
            <m:sSubPr>
              <m:ctrlPr>
                <w:rPr>
                  <w:rFonts w:ascii="Cambria Math" w:hAnsi="Cambria Math" w:cs="Arial"/>
                  <w:bCs/>
                  <w:i/>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β</m:t>
              </m:r>
            </m:sub>
          </m:sSub>
          <m:sSubSup>
            <m:sSubSupPr>
              <m:ctrlPr>
                <w:rPr>
                  <w:rFonts w:ascii="Cambria Math" w:hAnsi="Cambria Math" w:cs="Arial"/>
                  <w:bCs/>
                  <w:i/>
                  <w:sz w:val="24"/>
                  <w:szCs w:val="24"/>
                  <w:lang w:val="en-US"/>
                </w:rPr>
              </m:ctrlPr>
            </m:sSubSupPr>
            <m:e>
              <m:r>
                <w:rPr>
                  <w:rFonts w:ascii="Cambria Math" w:hAnsi="Cambria Math" w:cs="Arial"/>
                  <w:sz w:val="24"/>
                  <w:szCs w:val="24"/>
                  <w:lang w:val="en-US"/>
                </w:rPr>
                <m:t>P</m:t>
              </m:r>
            </m:e>
            <m:sub>
              <m:r>
                <w:rPr>
                  <w:rFonts w:ascii="Cambria Math" w:hAnsi="Cambria Math" w:cs="Arial"/>
                  <w:sz w:val="24"/>
                  <w:szCs w:val="24"/>
                  <w:lang w:val="en-US"/>
                </w:rPr>
                <m:t>β</m:t>
              </m:r>
            </m:sub>
            <m:sup>
              <m:r>
                <w:rPr>
                  <w:rFonts w:ascii="Cambria Math" w:hAnsi="Cambria Math" w:cs="Arial"/>
                  <w:sz w:val="24"/>
                  <w:szCs w:val="24"/>
                  <w:lang w:val="en-US"/>
                </w:rPr>
                <m:t>'</m:t>
              </m:r>
            </m:sup>
          </m:sSubSup>
          <m:r>
            <w:rPr>
              <w:rFonts w:ascii="Cambria Math" w:hAnsi="Cambria Math" w:cs="Arial"/>
              <w:sz w:val="24"/>
              <w:szCs w:val="24"/>
              <w:lang w:val="en-US"/>
            </w:rPr>
            <m:t>+</m:t>
          </m:r>
          <m:sSub>
            <m:sSubPr>
              <m:ctrlPr>
                <w:rPr>
                  <w:rFonts w:ascii="Cambria Math" w:hAnsi="Cambria Math" w:cs="Arial"/>
                  <w:bCs/>
                  <w:i/>
                  <w:sz w:val="24"/>
                  <w:szCs w:val="24"/>
                  <w:lang w:val="en-US"/>
                </w:rPr>
              </m:ctrlPr>
            </m:sSubPr>
            <m:e>
              <m:r>
                <w:rPr>
                  <w:rFonts w:ascii="Cambria Math" w:hAnsi="Cambria Math" w:cs="Arial"/>
                  <w:sz w:val="24"/>
                  <w:szCs w:val="24"/>
                  <w:lang w:val="en-US"/>
                </w:rPr>
                <m:t>T</m:t>
              </m:r>
            </m:e>
            <m:sub>
              <m:r>
                <w:rPr>
                  <w:rFonts w:ascii="Cambria Math" w:hAnsi="Cambria Math" w:cs="Arial"/>
                  <w:sz w:val="24"/>
                  <w:szCs w:val="24"/>
                  <w:lang w:val="en-US"/>
                </w:rPr>
                <m:t>αβ</m:t>
              </m:r>
            </m:sub>
          </m:sSub>
          <m:sSubSup>
            <m:sSubSupPr>
              <m:ctrlPr>
                <w:rPr>
                  <w:rFonts w:ascii="Cambria Math" w:hAnsi="Cambria Math" w:cs="Arial"/>
                  <w:bCs/>
                  <w:i/>
                  <w:sz w:val="24"/>
                  <w:szCs w:val="24"/>
                  <w:lang w:val="en-US"/>
                </w:rPr>
              </m:ctrlPr>
            </m:sSubSupPr>
            <m:e>
              <m:r>
                <w:rPr>
                  <w:rFonts w:ascii="Cambria Math" w:hAnsi="Cambria Math" w:cs="Arial"/>
                  <w:sz w:val="24"/>
                  <w:szCs w:val="24"/>
                  <w:lang w:val="en-US"/>
                </w:rPr>
                <m:t>P</m:t>
              </m:r>
            </m:e>
            <m:sub>
              <m:r>
                <w:rPr>
                  <w:rFonts w:ascii="Cambria Math" w:hAnsi="Cambria Math" w:cs="Arial"/>
                  <w:sz w:val="24"/>
                  <w:szCs w:val="24"/>
                  <w:lang w:val="en-US"/>
                </w:rPr>
                <m:t>αβ</m:t>
              </m:r>
            </m:sub>
            <m:sup>
              <m:r>
                <w:rPr>
                  <w:rFonts w:ascii="Cambria Math" w:hAnsi="Cambria Math" w:cs="Arial"/>
                  <w:sz w:val="24"/>
                  <w:szCs w:val="24"/>
                  <w:lang w:val="en-US"/>
                </w:rPr>
                <m:t>'</m:t>
              </m:r>
            </m:sup>
          </m:sSubSup>
        </m:oMath>
      </m:oMathPara>
    </w:p>
    <w:p w:rsidR="00480789" w:rsidRDefault="00B41E7B">
      <w:pPr>
        <w:spacing w:after="120" w:line="360" w:lineRule="auto"/>
        <w:ind w:firstLine="720"/>
        <w:jc w:val="both"/>
        <w:rPr>
          <w:rFonts w:ascii="Arial" w:hAnsi="Arial" w:cs="Arial"/>
          <w:bCs/>
          <w:sz w:val="24"/>
          <w:szCs w:val="24"/>
          <w:lang w:val="en-US"/>
        </w:rPr>
      </w:pPr>
      <w:r>
        <w:rPr>
          <w:rFonts w:ascii="Arial" w:hAnsi="Arial" w:cs="Arial"/>
          <w:bCs/>
          <w:sz w:val="24"/>
          <w:szCs w:val="24"/>
          <w:lang w:val="en-US"/>
        </w:rPr>
        <w:t xml:space="preserve">For an in-depth discussion on the ASCA method, refer to Jansen </w:t>
      </w:r>
      <w:r>
        <w:rPr>
          <w:rFonts w:ascii="Arial" w:hAnsi="Arial" w:cs="Arial"/>
          <w:bCs/>
          <w:i/>
          <w:sz w:val="24"/>
          <w:szCs w:val="24"/>
          <w:lang w:val="en-US"/>
        </w:rPr>
        <w:t>et al.</w:t>
      </w:r>
      <w:r>
        <w:rPr>
          <w:rFonts w:ascii="Arial" w:hAnsi="Arial" w:cs="Arial"/>
          <w:bCs/>
          <w:sz w:val="24"/>
          <w:szCs w:val="24"/>
          <w:lang w:val="en-US"/>
        </w:rPr>
        <w:t xml:space="preserve"> [15] and Smilde </w:t>
      </w:r>
      <w:r>
        <w:rPr>
          <w:rFonts w:ascii="Arial" w:hAnsi="Arial" w:cs="Arial"/>
          <w:bCs/>
          <w:i/>
          <w:sz w:val="24"/>
          <w:szCs w:val="24"/>
          <w:lang w:val="en-US"/>
        </w:rPr>
        <w:t>et al.</w:t>
      </w:r>
      <w:r>
        <w:rPr>
          <w:rFonts w:ascii="Arial" w:hAnsi="Arial" w:cs="Arial"/>
          <w:bCs/>
          <w:sz w:val="24"/>
          <w:szCs w:val="24"/>
          <w:lang w:val="en-US"/>
        </w:rPr>
        <w:t xml:space="preserve"> [16]. As mentioned in the PCA discussion, we can evalu</w:t>
      </w:r>
      <w:r>
        <w:rPr>
          <w:rFonts w:ascii="Arial" w:hAnsi="Arial" w:cs="Arial"/>
          <w:bCs/>
          <w:sz w:val="24"/>
          <w:szCs w:val="24"/>
          <w:lang w:val="en-US"/>
        </w:rPr>
        <w:t xml:space="preserve">ate the loadings (values for variables in the new subspace) to identify a list of bins with discriminatory ability on their own or in combination. The sum of the squared </w:t>
      </w:r>
      <w:r>
        <w:rPr>
          <w:rFonts w:ascii="Arial" w:hAnsi="Arial" w:cs="Arial"/>
          <w:bCs/>
          <w:sz w:val="24"/>
          <w:szCs w:val="24"/>
          <w:lang w:val="en-US"/>
        </w:rPr>
        <w:lastRenderedPageBreak/>
        <w:t xml:space="preserve">loadings (SSL) for the first two latent variables was used to identify perturbed bins </w:t>
      </w:r>
      <w:r>
        <w:rPr>
          <w:rFonts w:ascii="Arial" w:hAnsi="Arial" w:cs="Arial"/>
          <w:bCs/>
          <w:sz w:val="24"/>
          <w:szCs w:val="24"/>
          <w:lang w:val="en-US"/>
        </w:rPr>
        <w:t>because in combination they explained 88% of the variation. Bins were seen to have discriminatory ability if their SSL values were above 0.01, the threshold identified based on a Scree plot of all SSL scores (Figure G).</w:t>
      </w:r>
    </w:p>
    <w:tbl>
      <w:tblPr>
        <w:tblStyle w:val="TableGrid"/>
        <w:tblW w:w="0" w:type="auto"/>
        <w:tblLook w:val="04A0" w:firstRow="1" w:lastRow="0" w:firstColumn="1" w:lastColumn="0" w:noHBand="0" w:noVBand="1"/>
      </w:tblPr>
      <w:tblGrid>
        <w:gridCol w:w="9242"/>
      </w:tblGrid>
      <w:tr w:rsidR="00480789">
        <w:tc>
          <w:tcPr>
            <w:tcW w:w="9242" w:type="dxa"/>
          </w:tcPr>
          <w:p w:rsidR="00480789" w:rsidRDefault="00B41E7B">
            <w:pPr>
              <w:spacing w:after="120" w:line="360" w:lineRule="auto"/>
              <w:jc w:val="center"/>
              <w:rPr>
                <w:rFonts w:ascii="Arial" w:hAnsi="Arial" w:cs="Arial"/>
                <w:bCs/>
                <w:sz w:val="24"/>
                <w:szCs w:val="24"/>
                <w:lang w:val="en-US"/>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Cs/>
                <w:noProof/>
                <w:sz w:val="24"/>
                <w:szCs w:val="24"/>
                <w:lang w:val="en-US"/>
              </w:rPr>
              <w:drawing>
                <wp:inline distT="0" distB="0" distL="0" distR="0">
                  <wp:extent cx="3863975" cy="3502855"/>
                  <wp:effectExtent l="0" t="0" r="3175" b="2540"/>
                  <wp:docPr id="5" name="Picture 5" descr="E:\Ph.D. Projek\PLOS One for GB\New Figures\Figure 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 Projek\PLOS One for GB\New Figures\Figure S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0407" cy="3508686"/>
                          </a:xfrm>
                          <a:prstGeom prst="rect">
                            <a:avLst/>
                          </a:prstGeom>
                          <a:noFill/>
                          <a:ln>
                            <a:noFill/>
                          </a:ln>
                        </pic:spPr>
                      </pic:pic>
                    </a:graphicData>
                  </a:graphic>
                </wp:inline>
              </w:drawing>
            </w:r>
          </w:p>
        </w:tc>
      </w:tr>
      <w:tr w:rsidR="00480789">
        <w:tc>
          <w:tcPr>
            <w:tcW w:w="9242" w:type="dxa"/>
          </w:tcPr>
          <w:p w:rsidR="00480789" w:rsidRDefault="00B41E7B">
            <w:pPr>
              <w:spacing w:after="120"/>
              <w:jc w:val="both"/>
              <w:rPr>
                <w:rFonts w:ascii="Arial" w:hAnsi="Arial" w:cs="Arial"/>
                <w:b/>
                <w:bCs/>
                <w:sz w:val="24"/>
                <w:szCs w:val="24"/>
                <w:lang w:val="en-US"/>
              </w:rPr>
            </w:pPr>
            <w:r>
              <w:rPr>
                <w:rFonts w:ascii="Arial" w:hAnsi="Arial" w:cs="Arial"/>
                <w:b/>
                <w:bCs/>
                <w:sz w:val="24"/>
                <w:szCs w:val="24"/>
                <w:lang w:val="en-US"/>
              </w:rPr>
              <w:t xml:space="preserve">Figure G: Sum of Squared </w:t>
            </w:r>
            <w:r>
              <w:rPr>
                <w:rFonts w:ascii="Arial" w:hAnsi="Arial" w:cs="Arial"/>
                <w:b/>
                <w:bCs/>
                <w:sz w:val="24"/>
                <w:szCs w:val="24"/>
                <w:lang w:val="en-US"/>
              </w:rPr>
              <w:t>Loadings of ASCA model</w:t>
            </w:r>
          </w:p>
          <w:p w:rsidR="00480789" w:rsidRDefault="00B41E7B">
            <w:pPr>
              <w:spacing w:after="120" w:line="360" w:lineRule="auto"/>
              <w:jc w:val="both"/>
              <w:rPr>
                <w:rFonts w:ascii="Arial" w:hAnsi="Arial" w:cs="Arial"/>
                <w:bCs/>
                <w:sz w:val="24"/>
                <w:szCs w:val="24"/>
                <w:lang w:val="en-US"/>
              </w:rPr>
            </w:pPr>
            <w:r>
              <w:rPr>
                <w:rFonts w:ascii="Arial" w:hAnsi="Arial" w:cs="Arial"/>
                <w:bCs/>
                <w:sz w:val="24"/>
                <w:lang w:val="en-US"/>
              </w:rPr>
              <w:t>A scree plot of the sum of the squared loadings (SSL) of the ASCA model based on the first two components</w:t>
            </w:r>
            <w:r>
              <w:rPr>
                <w:rFonts w:ascii="Arial" w:hAnsi="Arial" w:cs="Arial"/>
                <w:bCs/>
                <w:sz w:val="24"/>
                <w:szCs w:val="24"/>
                <w:lang w:val="en-US"/>
              </w:rPr>
              <w:t xml:space="preserve"> </w:t>
            </w:r>
          </w:p>
        </w:tc>
      </w:tr>
    </w:tbl>
    <w:p w:rsidR="00480789" w:rsidRDefault="00480789">
      <w:pPr>
        <w:spacing w:after="120" w:line="360" w:lineRule="auto"/>
        <w:ind w:firstLine="720"/>
        <w:jc w:val="both"/>
        <w:rPr>
          <w:rFonts w:ascii="Arial" w:hAnsi="Arial" w:cs="Arial"/>
          <w:bCs/>
          <w:sz w:val="24"/>
          <w:szCs w:val="24"/>
          <w:lang w:val="en-US"/>
        </w:rPr>
      </w:pPr>
    </w:p>
    <w:p w:rsidR="00480789" w:rsidRDefault="00B41E7B">
      <w:pPr>
        <w:spacing w:after="120" w:line="360" w:lineRule="auto"/>
        <w:ind w:firstLine="720"/>
        <w:jc w:val="both"/>
        <w:rPr>
          <w:rFonts w:ascii="Arial" w:hAnsi="Arial" w:cs="Arial"/>
          <w:sz w:val="24"/>
          <w:szCs w:val="24"/>
          <w:lang w:val="en-US"/>
        </w:rPr>
      </w:pPr>
      <w:r>
        <w:rPr>
          <w:rFonts w:ascii="Arial" w:hAnsi="Arial" w:cs="Arial"/>
          <w:bCs/>
          <w:sz w:val="24"/>
          <w:szCs w:val="24"/>
          <w:lang w:val="en-US"/>
        </w:rPr>
        <w:t>Though this method may have sufficed to identify key bins, as is evident from the Venn results reported in the main paper, it was used in conjunction with the cross-sectional (specifically PLS-DA) and RM ANOVA results to ensure we did not exclude potential</w:t>
      </w:r>
      <w:r>
        <w:rPr>
          <w:rFonts w:ascii="Arial" w:hAnsi="Arial" w:cs="Arial"/>
          <w:bCs/>
          <w:sz w:val="24"/>
          <w:szCs w:val="24"/>
          <w:lang w:val="en-US"/>
        </w:rPr>
        <w:t xml:space="preserve">ly important bins. </w:t>
      </w:r>
      <w:r>
        <w:rPr>
          <w:rFonts w:ascii="Arial" w:hAnsi="Arial" w:cs="Arial"/>
          <w:sz w:val="24"/>
          <w:szCs w:val="24"/>
          <w:lang w:val="en-US"/>
        </w:rPr>
        <w:t>This analysis was performed in Matlab using the statistics toolbox [3] and code provided by Gooitzen Zwanenburg (available under APACHE Licence 2.0 http://www.apache.org/licenses/LICENSE-2.0.html).</w:t>
      </w:r>
    </w:p>
    <w:p w:rsidR="00480789" w:rsidRDefault="00B41E7B">
      <w:pPr>
        <w:rPr>
          <w:rFonts w:ascii="Arial" w:hAnsi="Arial" w:cs="Arial"/>
          <w:sz w:val="24"/>
          <w:szCs w:val="24"/>
          <w:lang w:val="en-US"/>
        </w:rPr>
      </w:pPr>
      <w:r>
        <w:rPr>
          <w:rFonts w:ascii="Arial" w:hAnsi="Arial" w:cs="Arial"/>
          <w:sz w:val="24"/>
          <w:szCs w:val="24"/>
          <w:lang w:val="en-US"/>
        </w:rPr>
        <w:br w:type="page"/>
      </w:r>
    </w:p>
    <w:p w:rsidR="00480789" w:rsidRDefault="00B41E7B">
      <w:pPr>
        <w:spacing w:line="360" w:lineRule="auto"/>
        <w:rPr>
          <w:rFonts w:ascii="Arial" w:hAnsi="Arial" w:cs="Arial"/>
          <w:b/>
          <w:sz w:val="32"/>
          <w:szCs w:val="32"/>
          <w:lang w:val="en-US"/>
        </w:rPr>
      </w:pPr>
      <w:r>
        <w:rPr>
          <w:rFonts w:ascii="Arial" w:hAnsi="Arial" w:cs="Arial"/>
          <w:b/>
          <w:sz w:val="32"/>
          <w:szCs w:val="32"/>
          <w:lang w:val="en-US"/>
        </w:rPr>
        <w:lastRenderedPageBreak/>
        <w:t>S</w:t>
      </w:r>
      <w:r w:rsidR="00750248">
        <w:rPr>
          <w:rFonts w:ascii="Arial" w:hAnsi="Arial" w:cs="Arial"/>
          <w:b/>
          <w:sz w:val="32"/>
          <w:szCs w:val="32"/>
          <w:lang w:val="en-US"/>
        </w:rPr>
        <w:t xml:space="preserve">ection </w:t>
      </w:r>
      <w:r>
        <w:rPr>
          <w:rFonts w:ascii="Arial" w:hAnsi="Arial" w:cs="Arial"/>
          <w:b/>
          <w:sz w:val="32"/>
          <w:szCs w:val="32"/>
          <w:lang w:val="en-US"/>
        </w:rPr>
        <w:t>3.7 Graphs on excretion kinetics</w:t>
      </w:r>
    </w:p>
    <w:p w:rsidR="00480789" w:rsidRDefault="00B41E7B">
      <w:pPr>
        <w:spacing w:line="360" w:lineRule="auto"/>
        <w:ind w:firstLine="720"/>
        <w:jc w:val="both"/>
        <w:rPr>
          <w:rFonts w:ascii="Arial" w:hAnsi="Arial" w:cs="Arial"/>
          <w:sz w:val="24"/>
          <w:szCs w:val="24"/>
          <w:lang w:val="en-US"/>
        </w:rPr>
      </w:pPr>
      <w:r>
        <w:rPr>
          <w:rFonts w:ascii="Arial" w:hAnsi="Arial" w:cs="Arial"/>
          <w:sz w:val="24"/>
          <w:szCs w:val="24"/>
          <w:lang w:val="en-US"/>
        </w:rPr>
        <w:t>The graphs shown in Figure H provide a visualization of summary statistics for the quantified data of the metabolically important metabolites summarized in Table 1 of the main manuscript. These plots were generated using notBoxPlot.m a Matlab function deve</w:t>
      </w:r>
      <w:r>
        <w:rPr>
          <w:rFonts w:ascii="Arial" w:hAnsi="Arial" w:cs="Arial"/>
          <w:sz w:val="24"/>
          <w:szCs w:val="24"/>
          <w:lang w:val="en-US"/>
        </w:rPr>
        <w:t xml:space="preserve">loped by Rob Campbell </w:t>
      </w:r>
      <w:r>
        <w:rPr>
          <w:rFonts w:ascii="Arial" w:hAnsi="Arial" w:cs="Arial"/>
          <w:sz w:val="18"/>
          <w:szCs w:val="18"/>
          <w:lang w:val="en-US"/>
        </w:rPr>
        <w:t>(</w:t>
      </w:r>
      <w:hyperlink r:id="rId23" w:history="1">
        <w:r>
          <w:rPr>
            <w:rStyle w:val="Hyperlink"/>
            <w:rFonts w:ascii="Arial" w:hAnsi="Arial" w:cs="Arial"/>
            <w:sz w:val="18"/>
            <w:szCs w:val="18"/>
            <w:lang w:val="en-US"/>
          </w:rPr>
          <w:t>http://www.mathworks.com/matlabcentral/fileexchange/26508-raacampbell13-notboxplot</w:t>
        </w:r>
      </w:hyperlink>
      <w:r>
        <w:rPr>
          <w:rFonts w:ascii="Arial" w:hAnsi="Arial" w:cs="Arial"/>
          <w:sz w:val="18"/>
          <w:szCs w:val="18"/>
          <w:lang w:val="en-US"/>
        </w:rPr>
        <w:t>)</w:t>
      </w:r>
      <w:r>
        <w:rPr>
          <w:rFonts w:ascii="Arial" w:hAnsi="Arial" w:cs="Arial"/>
          <w:sz w:val="24"/>
          <w:szCs w:val="24"/>
          <w:lang w:val="en-US"/>
        </w:rPr>
        <w:t>. The raw data is scattered over a 95% confidence i</w:t>
      </w:r>
      <w:r>
        <w:rPr>
          <w:rFonts w:ascii="Arial" w:hAnsi="Arial" w:cs="Arial"/>
          <w:sz w:val="24"/>
          <w:szCs w:val="24"/>
          <w:lang w:val="en-US"/>
        </w:rPr>
        <w:t>nterval (red) and 1 standard deviation of the mean (blue).In two cases, outliers of more than 1.5 times the interquartile range were excluded from the figures and the calculations (Hippuric acid 4250 and creatine of 2500 μmoles metabolite/mmole creatinine,</w:t>
      </w:r>
      <w:r>
        <w:rPr>
          <w:rFonts w:ascii="Arial" w:hAnsi="Arial" w:cs="Arial"/>
          <w:sz w:val="24"/>
          <w:szCs w:val="24"/>
          <w:lang w:val="en-US"/>
        </w:rPr>
        <w:t xml:space="preserve"> both observed at 1 hour following the intervention).</w:t>
      </w:r>
    </w:p>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t>Reaction kinetics are represented by concentration–time profiles of the six metabolites for the 22 participants that participated in the intervention, shown at times 1, 2, 3 and 4 hours following the in</w:t>
      </w:r>
      <w:r>
        <w:rPr>
          <w:rFonts w:ascii="Arial" w:hAnsi="Arial" w:cs="Arial"/>
          <w:sz w:val="24"/>
          <w:szCs w:val="24"/>
          <w:lang w:val="en-US"/>
        </w:rPr>
        <w:t>tervention (time 0 hour). All quantified values of metabolites in all samples were normalized relative to the creatinine concentration recorded for each sample.</w:t>
      </w:r>
    </w:p>
    <w:p w:rsidR="00480789" w:rsidRDefault="00480789">
      <w:pPr>
        <w:spacing w:line="360" w:lineRule="auto"/>
        <w:jc w:val="both"/>
        <w:rPr>
          <w:rFonts w:ascii="Arial" w:hAnsi="Arial" w:cs="Arial"/>
          <w:sz w:val="24"/>
          <w:szCs w:val="24"/>
          <w:lang w:val="en-US"/>
        </w:rPr>
      </w:pPr>
    </w:p>
    <w:p w:rsidR="00480789" w:rsidRDefault="00B41E7B">
      <w:pPr>
        <w:spacing w:line="360" w:lineRule="auto"/>
        <w:jc w:val="both"/>
        <w:rPr>
          <w:rFonts w:ascii="Arial" w:hAnsi="Arial" w:cs="Arial"/>
          <w:sz w:val="24"/>
          <w:szCs w:val="24"/>
          <w:lang w:val="en-US"/>
        </w:rPr>
      </w:pPr>
      <w:r>
        <w:rPr>
          <w:rFonts w:ascii="Arial" w:hAnsi="Arial" w:cs="Arial"/>
          <w:b/>
          <w:sz w:val="24"/>
          <w:szCs w:val="24"/>
          <w:lang w:val="en-US"/>
        </w:rPr>
        <w:t>A:</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b/>
          <w:sz w:val="24"/>
          <w:szCs w:val="24"/>
          <w:lang w:val="en-US"/>
        </w:rPr>
        <w:t>B:</w:t>
      </w:r>
    </w:p>
    <w:p w:rsidR="00480789" w:rsidRDefault="00B41E7B">
      <w:pPr>
        <w:spacing w:line="360" w:lineRule="auto"/>
        <w:rPr>
          <w:rFonts w:ascii="Arial" w:hAnsi="Arial" w:cs="Arial"/>
          <w:sz w:val="24"/>
          <w:szCs w:val="24"/>
          <w:lang w:val="en-US"/>
        </w:rPr>
      </w:pPr>
      <w:r>
        <w:rPr>
          <w:rFonts w:ascii="Arial" w:hAnsi="Arial" w:cs="Arial"/>
          <w:sz w:val="24"/>
          <w:szCs w:val="24"/>
          <w:lang w:val="en-US"/>
        </w:rPr>
        <w:t xml:space="preserve">   </w:t>
      </w:r>
      <w:r>
        <w:rPr>
          <w:rFonts w:ascii="Arial" w:hAnsi="Arial" w:cs="Arial"/>
          <w:noProof/>
          <w:sz w:val="24"/>
          <w:szCs w:val="24"/>
          <w:lang w:val="en-US"/>
        </w:rPr>
        <w:drawing>
          <wp:inline distT="0" distB="0" distL="0" distR="0">
            <wp:extent cx="2695575" cy="20241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2723" cy="2029480"/>
                    </a:xfrm>
                    <a:prstGeom prst="rect">
                      <a:avLst/>
                    </a:prstGeom>
                    <a:noFill/>
                  </pic:spPr>
                </pic:pic>
              </a:graphicData>
            </a:graphic>
          </wp:inline>
        </w:drawing>
      </w:r>
      <w:r>
        <w:rPr>
          <w:rFonts w:ascii="Arial" w:hAnsi="Arial" w:cs="Arial"/>
          <w:sz w:val="24"/>
          <w:szCs w:val="24"/>
          <w:lang w:val="en-US"/>
        </w:rPr>
        <w:t xml:space="preserve">  </w:t>
      </w:r>
      <w:r>
        <w:rPr>
          <w:rFonts w:ascii="Arial" w:hAnsi="Arial" w:cs="Arial"/>
          <w:noProof/>
          <w:sz w:val="24"/>
          <w:szCs w:val="24"/>
          <w:lang w:val="en-US"/>
        </w:rPr>
        <w:drawing>
          <wp:inline distT="0" distB="0" distL="0" distR="0">
            <wp:extent cx="2627630" cy="196913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480789" w:rsidRDefault="00B41E7B">
      <w:pPr>
        <w:spacing w:line="360" w:lineRule="auto"/>
        <w:rPr>
          <w:rFonts w:ascii="Arial" w:hAnsi="Arial" w:cs="Arial"/>
          <w:sz w:val="24"/>
          <w:szCs w:val="24"/>
          <w:lang w:val="en-US"/>
        </w:rPr>
      </w:pPr>
      <w:r>
        <w:rPr>
          <w:rFonts w:ascii="Arial" w:hAnsi="Arial" w:cs="Arial"/>
          <w:b/>
          <w:sz w:val="24"/>
          <w:szCs w:val="24"/>
          <w:lang w:val="en-US"/>
        </w:rPr>
        <w:t>C:</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b/>
          <w:sz w:val="24"/>
          <w:szCs w:val="24"/>
          <w:lang w:val="en-US"/>
        </w:rPr>
        <w:t>D:</w:t>
      </w:r>
    </w:p>
    <w:p w:rsidR="00480789" w:rsidRDefault="00B41E7B">
      <w:pPr>
        <w:spacing w:line="360" w:lineRule="auto"/>
        <w:rPr>
          <w:rFonts w:ascii="Arial" w:hAnsi="Arial" w:cs="Arial"/>
          <w:sz w:val="24"/>
          <w:szCs w:val="24"/>
          <w:lang w:val="en-US"/>
        </w:rPr>
      </w:pPr>
      <w:r>
        <w:rPr>
          <w:rFonts w:ascii="Arial" w:hAnsi="Arial" w:cs="Arial"/>
          <w:sz w:val="24"/>
          <w:szCs w:val="24"/>
          <w:lang w:val="en-US"/>
        </w:rPr>
        <w:lastRenderedPageBreak/>
        <w:t xml:space="preserve">  </w:t>
      </w:r>
      <w:r>
        <w:rPr>
          <w:rFonts w:ascii="Arial" w:hAnsi="Arial" w:cs="Arial"/>
          <w:noProof/>
          <w:sz w:val="24"/>
          <w:szCs w:val="24"/>
          <w:lang w:val="en-US"/>
        </w:rPr>
        <w:drawing>
          <wp:inline distT="0" distB="0" distL="0" distR="0">
            <wp:extent cx="2667000" cy="2000250"/>
            <wp:effectExtent l="0" t="0" r="0" b="0"/>
            <wp:docPr id="12" name="Picture 12" descr="C:\Users\User\Documents\Boxplots\Scatter Boxplot Guanidinoacetic ac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Boxplots\Scatter Boxplot Guanidinoacetic acid.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Pr>
          <w:rFonts w:ascii="Arial" w:hAnsi="Arial" w:cs="Arial"/>
          <w:sz w:val="24"/>
          <w:szCs w:val="24"/>
          <w:lang w:val="en-US"/>
        </w:rPr>
        <w:t xml:space="preserve">  </w:t>
      </w:r>
      <w:r>
        <w:rPr>
          <w:rFonts w:ascii="Arial" w:hAnsi="Arial" w:cs="Arial"/>
          <w:noProof/>
          <w:sz w:val="24"/>
          <w:szCs w:val="24"/>
          <w:lang w:val="en-US"/>
        </w:rPr>
        <w:drawing>
          <wp:inline distT="0" distB="0" distL="0" distR="0">
            <wp:extent cx="2638425" cy="197866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0283" cy="1980057"/>
                    </a:xfrm>
                    <a:prstGeom prst="rect">
                      <a:avLst/>
                    </a:prstGeom>
                    <a:noFill/>
                  </pic:spPr>
                </pic:pic>
              </a:graphicData>
            </a:graphic>
          </wp:inline>
        </w:drawing>
      </w:r>
    </w:p>
    <w:p w:rsidR="00480789" w:rsidRDefault="00B41E7B">
      <w:pPr>
        <w:spacing w:line="360" w:lineRule="auto"/>
        <w:rPr>
          <w:rFonts w:ascii="Arial" w:hAnsi="Arial" w:cs="Arial"/>
          <w:sz w:val="24"/>
          <w:szCs w:val="24"/>
          <w:lang w:val="en-US"/>
        </w:rPr>
      </w:pPr>
      <w:r>
        <w:rPr>
          <w:rFonts w:ascii="Arial" w:hAnsi="Arial" w:cs="Arial"/>
          <w:b/>
          <w:sz w:val="24"/>
          <w:szCs w:val="24"/>
          <w:lang w:val="en-US"/>
        </w:rPr>
        <w:t>E:</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b/>
          <w:sz w:val="24"/>
          <w:szCs w:val="24"/>
          <w:lang w:val="en-US"/>
        </w:rPr>
        <w:t>F:</w:t>
      </w:r>
    </w:p>
    <w:p w:rsidR="00480789" w:rsidRDefault="00B41E7B">
      <w:pPr>
        <w:spacing w:line="360" w:lineRule="auto"/>
        <w:rPr>
          <w:rFonts w:ascii="Arial" w:hAnsi="Arial" w:cs="Arial"/>
          <w:sz w:val="24"/>
          <w:szCs w:val="24"/>
          <w:lang w:val="en-US"/>
        </w:rPr>
      </w:pPr>
      <w:r>
        <w:rPr>
          <w:rFonts w:ascii="Arial" w:hAnsi="Arial" w:cs="Arial"/>
          <w:sz w:val="24"/>
          <w:szCs w:val="24"/>
          <w:lang w:val="en-US"/>
        </w:rPr>
        <w:t xml:space="preserve">  </w:t>
      </w:r>
      <w:r>
        <w:rPr>
          <w:rFonts w:ascii="Arial" w:hAnsi="Arial" w:cs="Arial"/>
          <w:noProof/>
          <w:sz w:val="24"/>
          <w:szCs w:val="24"/>
          <w:lang w:val="en-US"/>
        </w:rPr>
        <w:drawing>
          <wp:inline distT="0" distB="0" distL="0" distR="0">
            <wp:extent cx="2627630" cy="196913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r>
        <w:rPr>
          <w:rFonts w:ascii="Arial" w:hAnsi="Arial" w:cs="Arial"/>
          <w:sz w:val="24"/>
          <w:szCs w:val="24"/>
          <w:lang w:val="en-US"/>
        </w:rPr>
        <w:t xml:space="preserve"> </w:t>
      </w:r>
      <w:r>
        <w:rPr>
          <w:rFonts w:ascii="Arial" w:hAnsi="Arial" w:cs="Arial"/>
          <w:noProof/>
          <w:sz w:val="24"/>
          <w:szCs w:val="24"/>
          <w:lang w:val="en-US"/>
        </w:rPr>
        <w:drawing>
          <wp:inline distT="0" distB="0" distL="0" distR="0">
            <wp:extent cx="2621280" cy="196913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1280" cy="1969135"/>
                    </a:xfrm>
                    <a:prstGeom prst="rect">
                      <a:avLst/>
                    </a:prstGeom>
                    <a:noFill/>
                  </pic:spPr>
                </pic:pic>
              </a:graphicData>
            </a:graphic>
          </wp:inline>
        </w:drawing>
      </w:r>
    </w:p>
    <w:p w:rsidR="00480789" w:rsidRDefault="00B41E7B">
      <w:pPr>
        <w:spacing w:line="360" w:lineRule="auto"/>
        <w:rPr>
          <w:rFonts w:ascii="Arial" w:hAnsi="Arial" w:cs="Arial"/>
          <w:b/>
          <w:sz w:val="24"/>
          <w:szCs w:val="24"/>
          <w:lang w:val="en-US"/>
        </w:rPr>
      </w:pPr>
      <w:r>
        <w:rPr>
          <w:rFonts w:ascii="Arial" w:hAnsi="Arial" w:cs="Arial"/>
          <w:b/>
          <w:sz w:val="24"/>
          <w:szCs w:val="24"/>
          <w:lang w:val="en-US"/>
        </w:rPr>
        <w:t xml:space="preserve">Figure H: Urinary Excretion kinetics of </w:t>
      </w:r>
      <w:r>
        <w:rPr>
          <w:rFonts w:ascii="Arial" w:hAnsi="Arial" w:cs="Arial"/>
          <w:b/>
          <w:sz w:val="24"/>
          <w:szCs w:val="24"/>
          <w:lang w:val="en-US"/>
        </w:rPr>
        <w:t>important metabolites</w:t>
      </w:r>
    </w:p>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t>Concentration–time profiles of hippuric acid (A), creatine (B), guanidinoacetic acid (C), glycine (D), citric acid (E) and urea (F) for times 1, 2, 3 and 4 hours following consumption of 500 ml benzoic acid containing flavored water a</w:t>
      </w:r>
      <w:r>
        <w:rPr>
          <w:rFonts w:ascii="Arial" w:hAnsi="Arial" w:cs="Arial"/>
          <w:sz w:val="24"/>
          <w:szCs w:val="24"/>
          <w:lang w:val="en-US"/>
        </w:rPr>
        <w:t>t time 0 hour. All samples contained all metabolites, except for guanidinoacetic acid, as indicated in (C).</w:t>
      </w:r>
    </w:p>
    <w:p w:rsidR="00480789" w:rsidRDefault="00480789">
      <w:pPr>
        <w:spacing w:line="360" w:lineRule="auto"/>
        <w:rPr>
          <w:rFonts w:ascii="Arial" w:hAnsi="Arial" w:cs="Arial"/>
          <w:sz w:val="24"/>
          <w:szCs w:val="24"/>
          <w:lang w:val="en-US"/>
        </w:rPr>
      </w:pPr>
    </w:p>
    <w:p w:rsidR="00480789" w:rsidRDefault="00B41E7B">
      <w:pPr>
        <w:spacing w:line="360" w:lineRule="auto"/>
        <w:rPr>
          <w:rFonts w:ascii="Arial" w:hAnsi="Arial" w:cs="Arial"/>
          <w:b/>
          <w:sz w:val="32"/>
          <w:szCs w:val="32"/>
          <w:lang w:val="en-US"/>
        </w:rPr>
      </w:pPr>
      <w:r>
        <w:rPr>
          <w:rFonts w:ascii="Arial" w:hAnsi="Arial" w:cs="Arial"/>
          <w:b/>
          <w:sz w:val="32"/>
          <w:szCs w:val="32"/>
          <w:lang w:val="en-US"/>
        </w:rPr>
        <w:t>S</w:t>
      </w:r>
      <w:r w:rsidR="00750248">
        <w:rPr>
          <w:rFonts w:ascii="Arial" w:hAnsi="Arial" w:cs="Arial"/>
          <w:b/>
          <w:sz w:val="32"/>
          <w:szCs w:val="32"/>
          <w:lang w:val="en-US"/>
        </w:rPr>
        <w:t xml:space="preserve">ection </w:t>
      </w:r>
      <w:r>
        <w:rPr>
          <w:rFonts w:ascii="Arial" w:hAnsi="Arial" w:cs="Arial"/>
          <w:b/>
          <w:sz w:val="32"/>
          <w:szCs w:val="32"/>
          <w:lang w:val="en-US"/>
        </w:rPr>
        <w:t>3.8 NMR spectra on the excretion of six substances</w:t>
      </w:r>
    </w:p>
    <w:p w:rsidR="00480789" w:rsidRDefault="00B41E7B">
      <w:pPr>
        <w:spacing w:line="360" w:lineRule="auto"/>
        <w:jc w:val="both"/>
        <w:rPr>
          <w:rFonts w:ascii="Arial" w:hAnsi="Arial" w:cs="Arial"/>
          <w:sz w:val="24"/>
          <w:szCs w:val="24"/>
          <w:lang w:val="en-US"/>
        </w:rPr>
      </w:pPr>
      <w:r>
        <w:rPr>
          <w:rFonts w:ascii="Arial" w:hAnsi="Arial" w:cs="Arial"/>
          <w:sz w:val="24"/>
          <w:szCs w:val="24"/>
          <w:lang w:val="en-US"/>
        </w:rPr>
        <w:t>The authentic spectra and power values from time dependent PCA’s were used to re-analyze the outcomes of the intervention. It appeared that three unknown substances (Figure I: (A) 8.22 ppm, (B) 6.485 ppm and (D) 3.075 ppm), as well as methylguanidine (2.83</w:t>
      </w:r>
      <w:r>
        <w:rPr>
          <w:rFonts w:ascii="Arial" w:hAnsi="Arial" w:cs="Arial"/>
          <w:sz w:val="24"/>
          <w:szCs w:val="24"/>
          <w:lang w:val="en-US"/>
        </w:rPr>
        <w:t xml:space="preserve"> ppm - shown in Figure I(C)) — a known endogenous metabolite, changed due to the intervention. Methylguanidine is synthesized from creatinine concomitant with the synthesis of hydrogen peroxide from endogenous substrates in peroxisomes. It will be speculat</w:t>
      </w:r>
      <w:r>
        <w:rPr>
          <w:rFonts w:ascii="Arial" w:hAnsi="Arial" w:cs="Arial"/>
          <w:sz w:val="24"/>
          <w:szCs w:val="24"/>
          <w:lang w:val="en-US"/>
        </w:rPr>
        <w:t xml:space="preserve">ive to indicate its link to the </w:t>
      </w:r>
      <w:r>
        <w:rPr>
          <w:rFonts w:ascii="Arial" w:hAnsi="Arial" w:cs="Arial"/>
          <w:sz w:val="24"/>
          <w:szCs w:val="24"/>
          <w:lang w:val="en-US"/>
        </w:rPr>
        <w:lastRenderedPageBreak/>
        <w:t>biotransformation study, but it may be linked to oxidative stress. Although none of the four substances were identified as VIP’s in the PLS-DA, their concentrations changed in time following the intervention. As such, they c</w:t>
      </w:r>
      <w:r>
        <w:rPr>
          <w:rFonts w:ascii="Arial" w:hAnsi="Arial" w:cs="Arial"/>
          <w:sz w:val="24"/>
          <w:szCs w:val="24"/>
          <w:lang w:val="en-US"/>
        </w:rPr>
        <w:t>ould contribute to the centroid values returning towards the value observed before the intervention, without reaching the exact value of time 0. These observations indicate that the consequence of benzoic acid consumption is more complex than just its biot</w:t>
      </w:r>
      <w:r>
        <w:rPr>
          <w:rFonts w:ascii="Arial" w:hAnsi="Arial" w:cs="Arial"/>
          <w:sz w:val="24"/>
          <w:szCs w:val="24"/>
          <w:lang w:val="en-US"/>
        </w:rPr>
        <w:t>ransformation to hippuric acid.</w:t>
      </w:r>
    </w:p>
    <w:p w:rsidR="00480789" w:rsidRDefault="00B41E7B">
      <w:pPr>
        <w:spacing w:line="360" w:lineRule="auto"/>
        <w:rPr>
          <w:rFonts w:ascii="Arial" w:hAnsi="Arial" w:cs="Arial"/>
          <w:sz w:val="24"/>
          <w:szCs w:val="24"/>
          <w:lang w:val="en-US"/>
        </w:rPr>
      </w:pPr>
      <w:r>
        <w:rPr>
          <w:rFonts w:ascii="Arial" w:hAnsi="Arial" w:cs="Arial"/>
          <w:noProof/>
          <w:sz w:val="24"/>
          <w:szCs w:val="24"/>
          <w:lang w:val="en-US"/>
        </w:rPr>
        <w:drawing>
          <wp:inline distT="0" distB="0" distL="0" distR="0">
            <wp:extent cx="5731510" cy="4298633"/>
            <wp:effectExtent l="0" t="0" r="2540" b="6985"/>
            <wp:docPr id="23" name="Picture 23" descr="C:\Users\User\AppData\Local\Microsoft\Windows\Temporary Internet Files\Content.IE5\KODRX5CD\CI RE-REreview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IE5\KODRX5CD\CI RE-REreview (1).ti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480789" w:rsidRDefault="00B41E7B">
      <w:pPr>
        <w:spacing w:line="360" w:lineRule="auto"/>
        <w:rPr>
          <w:rFonts w:ascii="Arial" w:hAnsi="Arial" w:cs="Arial"/>
          <w:sz w:val="24"/>
          <w:szCs w:val="24"/>
          <w:lang w:val="en-US"/>
        </w:rPr>
      </w:pPr>
      <w:r>
        <w:rPr>
          <w:rFonts w:ascii="Arial" w:hAnsi="Arial" w:cs="Arial"/>
          <w:b/>
          <w:sz w:val="24"/>
          <w:szCs w:val="24"/>
          <w:lang w:val="en-US"/>
        </w:rPr>
        <w:t>Figure I: 500 MHz 1H-NMR spectra of minor components from urine.</w:t>
      </w:r>
      <w:r>
        <w:rPr>
          <w:rFonts w:ascii="Arial" w:hAnsi="Arial" w:cs="Arial"/>
          <w:sz w:val="24"/>
          <w:szCs w:val="24"/>
          <w:lang w:val="en-US"/>
        </w:rPr>
        <w:t xml:space="preserve"> Top spectrum taken from a urine sample of one selected case; spectra from left to right are: (A) unknown (8.11 ppm), (B) unknown (6.485 ppm), (C) methylguani</w:t>
      </w:r>
      <w:r>
        <w:rPr>
          <w:rFonts w:ascii="Arial" w:hAnsi="Arial" w:cs="Arial"/>
          <w:sz w:val="24"/>
          <w:szCs w:val="24"/>
          <w:lang w:val="en-US"/>
        </w:rPr>
        <w:t>dine (2.83 ppm) and (D) unknown (1.075 ppm). The substances for times 0 (black), 1 (blue), 2 (green), 3 (red) and 4 (orange).</w:t>
      </w:r>
    </w:p>
    <w:p w:rsidR="00480789" w:rsidRDefault="00480789">
      <w:pPr>
        <w:spacing w:line="360" w:lineRule="auto"/>
        <w:rPr>
          <w:rFonts w:ascii="Arial" w:hAnsi="Arial" w:cs="Arial"/>
          <w:sz w:val="24"/>
          <w:szCs w:val="24"/>
          <w:lang w:val="en-US"/>
        </w:rPr>
      </w:pPr>
    </w:p>
    <w:p w:rsidR="00480789" w:rsidRDefault="00B41E7B">
      <w:pPr>
        <w:spacing w:line="360" w:lineRule="auto"/>
        <w:rPr>
          <w:rFonts w:ascii="Arial" w:hAnsi="Arial" w:cs="Arial"/>
          <w:b/>
          <w:sz w:val="36"/>
          <w:szCs w:val="36"/>
          <w:lang w:val="en-US"/>
        </w:rPr>
      </w:pPr>
      <w:r>
        <w:rPr>
          <w:rFonts w:ascii="Arial" w:hAnsi="Arial" w:cs="Arial"/>
          <w:b/>
          <w:sz w:val="36"/>
          <w:szCs w:val="36"/>
          <w:lang w:val="en-US"/>
        </w:rPr>
        <w:t>S</w:t>
      </w:r>
      <w:r w:rsidR="00750248">
        <w:rPr>
          <w:rFonts w:ascii="Arial" w:hAnsi="Arial" w:cs="Arial"/>
          <w:b/>
          <w:sz w:val="36"/>
          <w:szCs w:val="36"/>
          <w:lang w:val="en-US"/>
        </w:rPr>
        <w:t xml:space="preserve">ection </w:t>
      </w:r>
      <w:bookmarkStart w:id="0" w:name="_GoBack"/>
      <w:bookmarkEnd w:id="0"/>
      <w:r>
        <w:rPr>
          <w:rFonts w:ascii="Arial" w:hAnsi="Arial" w:cs="Arial"/>
          <w:b/>
          <w:sz w:val="36"/>
          <w:szCs w:val="36"/>
          <w:lang w:val="en-US"/>
        </w:rPr>
        <w:t>4 NMR analysis on guanidinoacetic acid</w:t>
      </w:r>
    </w:p>
    <w:p w:rsidR="00480789" w:rsidRDefault="00B41E7B">
      <w:pPr>
        <w:spacing w:line="360" w:lineRule="auto"/>
        <w:ind w:firstLine="720"/>
        <w:jc w:val="both"/>
        <w:rPr>
          <w:rFonts w:ascii="Arial" w:hAnsi="Arial" w:cs="Arial"/>
          <w:sz w:val="24"/>
          <w:szCs w:val="24"/>
          <w:lang w:val="en-US"/>
        </w:rPr>
      </w:pPr>
      <w:r>
        <w:rPr>
          <w:rFonts w:ascii="Arial" w:hAnsi="Arial" w:cs="Arial"/>
          <w:sz w:val="24"/>
          <w:szCs w:val="24"/>
          <w:lang w:val="en-US"/>
        </w:rPr>
        <w:t>Theoretically, the chemical structure of guanidinoacetic acid contains three carbon atoms</w:t>
      </w:r>
      <w:r>
        <w:rPr>
          <w:rFonts w:ascii="Arial" w:hAnsi="Arial" w:cs="Arial"/>
          <w:sz w:val="24"/>
          <w:szCs w:val="24"/>
          <w:lang w:val="en-US"/>
        </w:rPr>
        <w:t xml:space="preserve"> of which only one has free hydrogen atoms (-CH2-) that would </w:t>
      </w:r>
      <w:r>
        <w:rPr>
          <w:rFonts w:ascii="Arial" w:hAnsi="Arial" w:cs="Arial"/>
          <w:sz w:val="24"/>
          <w:szCs w:val="24"/>
          <w:lang w:val="en-US"/>
        </w:rPr>
        <w:lastRenderedPageBreak/>
        <w:t>produce a singlet in the NMR spectrum. This is observed in an example for one of our cases, as shown in the one dimensional (1D) spectrum below. Since guanidinoacetic acid does not have any corr</w:t>
      </w:r>
      <w:r>
        <w:rPr>
          <w:rFonts w:ascii="Arial" w:hAnsi="Arial" w:cs="Arial"/>
          <w:sz w:val="24"/>
          <w:szCs w:val="24"/>
          <w:lang w:val="en-US"/>
        </w:rPr>
        <w:t>elating protons, COrrelation SpectroscopY (COSY) two dimensional analyses is not applicable. In the spectra shown in Figure J we compared the experimental spectrum from one of our samples (in green) to that of the pure guanidinoacetic acid standard (in red</w:t>
      </w:r>
      <w:r>
        <w:rPr>
          <w:rFonts w:ascii="Arial" w:hAnsi="Arial" w:cs="Arial"/>
          <w:sz w:val="24"/>
          <w:szCs w:val="24"/>
          <w:lang w:val="en-US"/>
        </w:rPr>
        <w:t xml:space="preserve">) – both in 1D and 2D </w:t>
      </w:r>
      <w:r>
        <w:rPr>
          <w:rFonts w:ascii="Arial" w:hAnsi="Arial" w:cs="Arial"/>
          <w:sz w:val="24"/>
          <w:szCs w:val="24"/>
          <w:vertAlign w:val="superscript"/>
          <w:lang w:val="en-US"/>
        </w:rPr>
        <w:t>1</w:t>
      </w:r>
      <w:r>
        <w:rPr>
          <w:rFonts w:ascii="Arial" w:hAnsi="Arial" w:cs="Arial"/>
          <w:sz w:val="24"/>
          <w:szCs w:val="24"/>
          <w:lang w:val="en-US"/>
        </w:rPr>
        <w:t>H J-Resolved (JRES) NMR Spectroscopic analysis. The results indicate that the experimental spectrum lines up exactly to the guanidinoacetic acid singlet (3.77 ppm), confirming the identity of guanidinoacetic acid in the urinary sampl</w:t>
      </w:r>
      <w:r>
        <w:rPr>
          <w:rFonts w:ascii="Arial" w:hAnsi="Arial" w:cs="Arial"/>
          <w:sz w:val="24"/>
          <w:szCs w:val="24"/>
          <w:lang w:val="en-US"/>
        </w:rPr>
        <w:t>e.</w:t>
      </w:r>
    </w:p>
    <w:p w:rsidR="00480789" w:rsidRDefault="00480789">
      <w:pPr>
        <w:spacing w:line="360" w:lineRule="auto"/>
        <w:rPr>
          <w:rFonts w:ascii="Arial" w:hAnsi="Arial" w:cs="Arial"/>
          <w:sz w:val="24"/>
          <w:szCs w:val="24"/>
          <w:lang w:val="en-US"/>
        </w:rPr>
      </w:pPr>
    </w:p>
    <w:p w:rsidR="00480789" w:rsidRDefault="00B41E7B">
      <w:pPr>
        <w:spacing w:line="360" w:lineRule="auto"/>
        <w:rPr>
          <w:rFonts w:ascii="Arial" w:hAnsi="Arial" w:cs="Arial"/>
          <w:sz w:val="24"/>
          <w:szCs w:val="24"/>
          <w:lang w:val="en-US"/>
        </w:rPr>
      </w:pPr>
      <w:r>
        <w:rPr>
          <w:rFonts w:ascii="Arial" w:hAnsi="Arial" w:cs="Arial"/>
          <w:noProof/>
          <w:sz w:val="24"/>
          <w:szCs w:val="24"/>
          <w:lang w:val="en-US"/>
        </w:rPr>
        <w:drawing>
          <wp:inline distT="0" distB="0" distL="0" distR="0">
            <wp:extent cx="5988996" cy="3743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6688" cy="3748133"/>
                    </a:xfrm>
                    <a:prstGeom prst="rect">
                      <a:avLst/>
                    </a:prstGeom>
                    <a:noFill/>
                  </pic:spPr>
                </pic:pic>
              </a:graphicData>
            </a:graphic>
          </wp:inline>
        </w:drawing>
      </w:r>
    </w:p>
    <w:p w:rsidR="00480789" w:rsidRDefault="00B41E7B">
      <w:pPr>
        <w:spacing w:line="360" w:lineRule="auto"/>
        <w:rPr>
          <w:rFonts w:ascii="Arial" w:hAnsi="Arial" w:cs="Arial"/>
          <w:b/>
          <w:sz w:val="24"/>
          <w:szCs w:val="24"/>
          <w:lang w:val="en-US"/>
        </w:rPr>
      </w:pPr>
      <w:r>
        <w:rPr>
          <w:rFonts w:ascii="Arial" w:hAnsi="Arial" w:cs="Arial"/>
          <w:b/>
          <w:sz w:val="24"/>
          <w:szCs w:val="24"/>
          <w:lang w:val="en-US"/>
        </w:rPr>
        <w:t>Figure J: 1D and 2D JRES NMR spectra</w:t>
      </w:r>
    </w:p>
    <w:p w:rsidR="00480789" w:rsidRDefault="00B41E7B">
      <w:pPr>
        <w:spacing w:line="360" w:lineRule="auto"/>
        <w:rPr>
          <w:rFonts w:ascii="Arial" w:hAnsi="Arial" w:cs="Arial"/>
          <w:sz w:val="24"/>
          <w:szCs w:val="24"/>
          <w:lang w:val="en-US"/>
        </w:rPr>
      </w:pPr>
      <w:r>
        <w:rPr>
          <w:rFonts w:ascii="Arial" w:hAnsi="Arial" w:cs="Arial"/>
          <w:sz w:val="24"/>
          <w:szCs w:val="24"/>
          <w:lang w:val="en-US"/>
        </w:rPr>
        <w:t>Analysis of the spectra from a urine sample shown in green and from a guanidinoacetic acid standard shown in red.</w:t>
      </w:r>
    </w:p>
    <w:p w:rsidR="00480789" w:rsidRDefault="00B41E7B">
      <w:pPr>
        <w:spacing w:line="360" w:lineRule="auto"/>
        <w:ind w:firstLine="720"/>
        <w:rPr>
          <w:rFonts w:ascii="Arial" w:hAnsi="Arial" w:cs="Arial"/>
          <w:sz w:val="24"/>
          <w:szCs w:val="24"/>
          <w:lang w:val="en-US"/>
        </w:rPr>
      </w:pPr>
      <w:r>
        <w:rPr>
          <w:rFonts w:ascii="Arial" w:hAnsi="Arial" w:cs="Arial"/>
          <w:sz w:val="24"/>
          <w:szCs w:val="24"/>
          <w:lang w:val="en-US"/>
        </w:rPr>
        <w:br w:type="page"/>
      </w:r>
    </w:p>
    <w:p w:rsidR="00480789" w:rsidRDefault="00B41E7B">
      <w:pPr>
        <w:spacing w:line="360" w:lineRule="auto"/>
        <w:jc w:val="both"/>
        <w:rPr>
          <w:rFonts w:ascii="Arial" w:hAnsi="Arial" w:cs="Arial"/>
          <w:b/>
          <w:sz w:val="36"/>
          <w:szCs w:val="36"/>
          <w:lang w:val="en-US"/>
        </w:rPr>
      </w:pPr>
      <w:r>
        <w:rPr>
          <w:rFonts w:ascii="Arial" w:hAnsi="Arial" w:cs="Arial"/>
          <w:b/>
          <w:sz w:val="36"/>
          <w:szCs w:val="36"/>
          <w:lang w:val="en-US"/>
        </w:rPr>
        <w:lastRenderedPageBreak/>
        <w:t>References</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en-US"/>
        </w:rPr>
        <w:t xml:space="preserve">Krojanski HG, Lambert J, Gerikalan Y, Suter D, Hergenröder R. Microslot NMR probe for </w:t>
      </w:r>
      <w:r>
        <w:rPr>
          <w:rFonts w:ascii="Arial" w:hAnsi="Arial" w:cs="Arial"/>
          <w:sz w:val="24"/>
          <w:lang w:val="en-US"/>
        </w:rPr>
        <w:t>metabolomics studies. Anal Chem. 2008; 80:8668-8672.</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nl-NL"/>
        </w:rPr>
        <w:t xml:space="preserve">Smilde AKM, Van der Werf M, Bijlsma S, Van der Werff-van der Vat BJC, Jellema RH. </w:t>
      </w:r>
      <w:r>
        <w:rPr>
          <w:rFonts w:ascii="Arial" w:hAnsi="Arial" w:cs="Arial"/>
          <w:sz w:val="24"/>
          <w:lang w:val="en-US"/>
        </w:rPr>
        <w:t>Fusion of mass spectrometry-based metabolomics data. Anal Chem. 2005; 77:6729-6736.</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en-US"/>
        </w:rPr>
        <w:t xml:space="preserve">MATLAB with Statistics Toolbox Release 2012b, The MathWorks Inc., Natick, MA, USA and </w:t>
      </w:r>
      <w:r>
        <w:rPr>
          <w:rFonts w:ascii="Arial" w:hAnsi="Arial" w:cs="Arial"/>
          <w:sz w:val="24"/>
          <w:szCs w:val="18"/>
          <w:shd w:val="clear" w:color="auto" w:fill="EEEEEE"/>
        </w:rPr>
        <w:t>PLS Toolbox 7.0 (2012), Eigenvector Research.</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nl-NL"/>
        </w:rPr>
        <w:t xml:space="preserve">Zwanenburg G, Hoefsloot HCJ, Westerhuis JA, Jansen JJ, Smilde AK. </w:t>
      </w:r>
      <w:r>
        <w:rPr>
          <w:rFonts w:ascii="Arial" w:hAnsi="Arial" w:cs="Arial"/>
          <w:sz w:val="24"/>
          <w:lang w:val="en-US"/>
        </w:rPr>
        <w:t xml:space="preserve">ANOVA–principal component analysis and ANOVA–simultaneous </w:t>
      </w:r>
      <w:r>
        <w:rPr>
          <w:rFonts w:ascii="Arial" w:hAnsi="Arial" w:cs="Arial"/>
          <w:sz w:val="24"/>
          <w:lang w:val="en-US"/>
        </w:rPr>
        <w:t>component analysis: a comparison. J Chemometrics. 2011; 25:561-567.</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nl-NL"/>
        </w:rPr>
        <w:t xml:space="preserve">Viant M, Bearden DW, Bundy JG, Burton IW, Colette TW, Ekman DR, et al. </w:t>
      </w:r>
      <w:r>
        <w:rPr>
          <w:rFonts w:ascii="Arial" w:hAnsi="Arial" w:cs="Arial"/>
          <w:sz w:val="24"/>
          <w:lang w:val="en-US"/>
        </w:rPr>
        <w:t>International NMR-based environmental metabolomics intercomparison exercise. Environ Sci Technol. 2009; 43:219-225.</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nl-NL"/>
        </w:rPr>
        <w:t>V</w:t>
      </w:r>
      <w:r>
        <w:rPr>
          <w:rFonts w:ascii="Arial" w:hAnsi="Arial" w:cs="Arial"/>
          <w:sz w:val="24"/>
          <w:lang w:val="nl-NL"/>
        </w:rPr>
        <w:t xml:space="preserve">an den Berg RA, Hoefsloot HCJ, Westerhuis JA, Smilde KA, Van der Werf MJ. </w:t>
      </w:r>
      <w:r>
        <w:rPr>
          <w:rFonts w:ascii="Arial" w:hAnsi="Arial" w:cs="Arial"/>
          <w:sz w:val="24"/>
          <w:lang w:val="en-US"/>
        </w:rPr>
        <w:t>Centering, scaling, and transformations: improving the biological information content of metabolomics data. BMC Genomics. 2006; 7:1-15.</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en-US"/>
        </w:rPr>
        <w:t>Field AP. Discovering statistics using IBM SPS</w:t>
      </w:r>
      <w:r>
        <w:rPr>
          <w:rFonts w:ascii="Arial" w:hAnsi="Arial" w:cs="Arial"/>
          <w:sz w:val="24"/>
          <w:lang w:val="en-US"/>
        </w:rPr>
        <w:t>S Statistics: and sex and drugs and rock 'n' roll. 3rd ed. London: Sage Publications; 2009.</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en-US"/>
        </w:rPr>
        <w:t>Johnson RA, Wichern DW. Applied Multivariate Statistical Analysis. 5th ed. Englewood Cliffs, New Jersey: Prentice Hall; 2002.</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nl-NL"/>
        </w:rPr>
        <w:t>Westerhuis JA, Hoefsloot HCJ., Smit S,</w:t>
      </w:r>
      <w:r>
        <w:rPr>
          <w:rFonts w:ascii="Arial" w:hAnsi="Arial" w:cs="Arial"/>
          <w:sz w:val="24"/>
          <w:lang w:val="nl-NL"/>
        </w:rPr>
        <w:t xml:space="preserve"> Vis DJ, Smilde AK, Van Velzen EJJ, et al. </w:t>
      </w:r>
      <w:r>
        <w:rPr>
          <w:rFonts w:ascii="Arial" w:hAnsi="Arial" w:cs="Arial"/>
          <w:sz w:val="24"/>
          <w:lang w:val="en-US"/>
        </w:rPr>
        <w:t>Assessment of PLSDA cross validation. Metabolomics. 2008; 4(1):81-89.</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en-US"/>
        </w:rPr>
        <w:t>Pérez-Enciso M, Tenenhaus M. Prediction of clinical outcome with microarray data: a partial least squares discriminant analysis (PLS-DA) approa</w:t>
      </w:r>
      <w:r>
        <w:rPr>
          <w:rFonts w:ascii="Arial" w:hAnsi="Arial" w:cs="Arial"/>
          <w:sz w:val="24"/>
          <w:lang w:val="en-US"/>
        </w:rPr>
        <w:t>ch. Hum Genet. 2003; 112:581-592.</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en-US"/>
        </w:rPr>
        <w:t>Tabachnick BG, Fidell LS. Using Multivariate Statistics. 5th ed. Boston: Allyn &amp; Bacon; 2006.</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en-US"/>
        </w:rPr>
        <w:t>Tabachnick BG, Fidell LS. Experimental Designs using ANOVA. Belmont: Thomson Brooks/Cole; 2007.</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en-US"/>
        </w:rPr>
        <w:t xml:space="preserve">Trujillo-Ortiz A, Hernandez-Walls R, Trujillo-Perez RA. RMAOV1:One-way repeated measures ANOVA. A MATLAB file. 2004. </w:t>
      </w:r>
      <w:r>
        <w:rPr>
          <w:rFonts w:ascii="Arial" w:hAnsi="Arial" w:cs="Arial"/>
          <w:sz w:val="24"/>
          <w:lang w:val="en-US"/>
        </w:rPr>
        <w:lastRenderedPageBreak/>
        <w:t>http://www.mathworks.com/matlabcentral/fileexchange/loadFile.do?objectId=5576.</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nl-NL"/>
        </w:rPr>
        <w:t xml:space="preserve">Villez K, Steppe K, De Pauw DJW. </w:t>
      </w:r>
      <w:r>
        <w:rPr>
          <w:rFonts w:ascii="Arial" w:hAnsi="Arial" w:cs="Arial"/>
          <w:sz w:val="24"/>
          <w:lang w:val="en-US"/>
        </w:rPr>
        <w:t>Use of unfold PCA for on-li</w:t>
      </w:r>
      <w:r>
        <w:rPr>
          <w:rFonts w:ascii="Arial" w:hAnsi="Arial" w:cs="Arial"/>
          <w:sz w:val="24"/>
          <w:lang w:val="en-US"/>
        </w:rPr>
        <w:t>ne plant stress monitoring and sensor failure detection. Biosystems Engineering. 2009; 103:23-24.</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nl-NL"/>
        </w:rPr>
        <w:t xml:space="preserve">Jansen JJ, Hoefsloot HCJ, Van der Greef J, Timmerman ME, Westerhuis JA, Smilde AK. </w:t>
      </w:r>
      <w:r>
        <w:rPr>
          <w:rFonts w:ascii="Arial" w:hAnsi="Arial" w:cs="Arial"/>
          <w:sz w:val="24"/>
          <w:lang w:val="en-US"/>
        </w:rPr>
        <w:t>ASCA: analysis of multivariate data obtained from an experimental design. J</w:t>
      </w:r>
      <w:r>
        <w:rPr>
          <w:rFonts w:ascii="Arial" w:hAnsi="Arial" w:cs="Arial"/>
          <w:sz w:val="24"/>
          <w:lang w:val="en-US"/>
        </w:rPr>
        <w:t xml:space="preserve"> Chemometrics. 2005; 19:469-481.</w:t>
      </w:r>
    </w:p>
    <w:p w:rsidR="00480789" w:rsidRDefault="00B41E7B">
      <w:pPr>
        <w:pStyle w:val="ListParagraph"/>
        <w:numPr>
          <w:ilvl w:val="0"/>
          <w:numId w:val="4"/>
        </w:numPr>
        <w:spacing w:line="360" w:lineRule="auto"/>
        <w:ind w:left="426" w:hanging="426"/>
        <w:rPr>
          <w:rFonts w:ascii="Arial" w:hAnsi="Arial" w:cs="Arial"/>
          <w:sz w:val="24"/>
          <w:lang w:val="en-US"/>
        </w:rPr>
      </w:pPr>
      <w:r>
        <w:rPr>
          <w:rFonts w:ascii="Arial" w:hAnsi="Arial" w:cs="Arial"/>
          <w:sz w:val="24"/>
          <w:lang w:val="nl-NL"/>
        </w:rPr>
        <w:t xml:space="preserve">Smilde AK, Jansen JJ, Hoefsloot HCJ, Lamers R-JAN, Van der Greef J, Timmerman ME. </w:t>
      </w:r>
      <w:r>
        <w:rPr>
          <w:rFonts w:ascii="Arial" w:hAnsi="Arial" w:cs="Arial"/>
          <w:sz w:val="24"/>
          <w:lang w:val="en-US"/>
        </w:rPr>
        <w:t>ANOVA-simultaneous component analysis (ASCA): a new tool for analyzing designed metabolomics data. Bioinformatics. 2005; 21(13):3043- 3048.</w:t>
      </w:r>
    </w:p>
    <w:sectPr w:rsidR="00480789">
      <w:footerReference w:type="default" r:id="rId3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E7B" w:rsidRDefault="00B41E7B">
      <w:r>
        <w:separator/>
      </w:r>
    </w:p>
  </w:endnote>
  <w:endnote w:type="continuationSeparator" w:id="0">
    <w:p w:rsidR="00B41E7B" w:rsidRDefault="00B41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altName w:val="Century Gothic"/>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857753"/>
      <w:docPartObj>
        <w:docPartGallery w:val="Page Numbers (Bottom of Page)"/>
        <w:docPartUnique/>
      </w:docPartObj>
    </w:sdtPr>
    <w:sdtEndPr/>
    <w:sdtContent>
      <w:p w:rsidR="00480789" w:rsidRDefault="00B41E7B">
        <w:pPr>
          <w:pStyle w:val="Footer"/>
          <w:jc w:val="center"/>
        </w:pPr>
        <w:r>
          <w:fldChar w:fldCharType="begin"/>
        </w:r>
        <w:r>
          <w:instrText xml:space="preserve"> </w:instrText>
        </w:r>
        <w:r>
          <w:instrText xml:space="preserve">PAGE   \* MERGEFORMAT </w:instrText>
        </w:r>
        <w:r>
          <w:fldChar w:fldCharType="separate"/>
        </w:r>
        <w:r w:rsidR="00750248">
          <w:rPr>
            <w:noProof/>
          </w:rPr>
          <w:t>2</w:t>
        </w:r>
        <w:r>
          <w:rPr>
            <w:noProof/>
          </w:rPr>
          <w:fldChar w:fldCharType="end"/>
        </w:r>
      </w:p>
    </w:sdtContent>
  </w:sdt>
  <w:p w:rsidR="00480789" w:rsidRDefault="004807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E7B" w:rsidRDefault="00B41E7B">
      <w:r>
        <w:separator/>
      </w:r>
    </w:p>
  </w:footnote>
  <w:footnote w:type="continuationSeparator" w:id="0">
    <w:p w:rsidR="00B41E7B" w:rsidRDefault="00B41E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A3FEC"/>
    <w:multiLevelType w:val="hybridMultilevel"/>
    <w:tmpl w:val="2A347EE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24174A09"/>
    <w:multiLevelType w:val="hybridMultilevel"/>
    <w:tmpl w:val="3B4E7D46"/>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6DD6070B"/>
    <w:multiLevelType w:val="hybridMultilevel"/>
    <w:tmpl w:val="2C0E952A"/>
    <w:lvl w:ilvl="0" w:tplc="F488BCC4">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15:restartNumberingAfterBreak="0">
    <w:nsid w:val="7206275B"/>
    <w:multiLevelType w:val="hybridMultilevel"/>
    <w:tmpl w:val="1EB2F762"/>
    <w:lvl w:ilvl="0" w:tplc="AA5AAE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7F2EB5"/>
    <w:multiLevelType w:val="hybridMultilevel"/>
    <w:tmpl w:val="37A4127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789"/>
    <w:rsid w:val="00480789"/>
    <w:rsid w:val="00750248"/>
    <w:rsid w:val="00B41E7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LineNumber">
    <w:name w:val="line number"/>
    <w:basedOn w:val="DefaultParagraphFont"/>
    <w:uiPriority w:val="99"/>
    <w:semiHidden/>
    <w:unhideWhenUsed/>
  </w:style>
  <w:style w:type="character" w:styleId="Strong">
    <w:name w:val="Strong"/>
    <w:basedOn w:val="DefaultParagraphFont"/>
    <w:uiPriority w:val="22"/>
    <w:qFormat/>
    <w:rPr>
      <w:b/>
      <w:bCs/>
    </w:rPr>
  </w:style>
  <w:style w:type="table" w:styleId="TableGridLight">
    <w:name w:val="Grid Table Light"/>
    <w:basedOn w:val="TableNormal"/>
    <w:uiPriority w:val="40"/>
    <w:rsid w:val="007502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712145">
      <w:bodyDiv w:val="1"/>
      <w:marLeft w:val="0"/>
      <w:marRight w:val="0"/>
      <w:marTop w:val="0"/>
      <w:marBottom w:val="0"/>
      <w:divBdr>
        <w:top w:val="none" w:sz="0" w:space="0" w:color="auto"/>
        <w:left w:val="none" w:sz="0" w:space="0" w:color="auto"/>
        <w:bottom w:val="none" w:sz="0" w:space="0" w:color="auto"/>
        <w:right w:val="none" w:sz="0" w:space="0" w:color="auto"/>
      </w:divBdr>
    </w:div>
    <w:div w:id="345834147">
      <w:bodyDiv w:val="1"/>
      <w:marLeft w:val="0"/>
      <w:marRight w:val="0"/>
      <w:marTop w:val="0"/>
      <w:marBottom w:val="0"/>
      <w:divBdr>
        <w:top w:val="none" w:sz="0" w:space="0" w:color="auto"/>
        <w:left w:val="none" w:sz="0" w:space="0" w:color="auto"/>
        <w:bottom w:val="none" w:sz="0" w:space="0" w:color="auto"/>
        <w:right w:val="none" w:sz="0" w:space="0" w:color="auto"/>
      </w:divBdr>
    </w:div>
    <w:div w:id="673650853">
      <w:bodyDiv w:val="1"/>
      <w:marLeft w:val="0"/>
      <w:marRight w:val="0"/>
      <w:marTop w:val="0"/>
      <w:marBottom w:val="0"/>
      <w:divBdr>
        <w:top w:val="none" w:sz="0" w:space="0" w:color="auto"/>
        <w:left w:val="none" w:sz="0" w:space="0" w:color="auto"/>
        <w:bottom w:val="none" w:sz="0" w:space="0" w:color="auto"/>
        <w:right w:val="none" w:sz="0" w:space="0" w:color="auto"/>
      </w:divBdr>
    </w:div>
    <w:div w:id="725879229">
      <w:bodyDiv w:val="1"/>
      <w:marLeft w:val="0"/>
      <w:marRight w:val="0"/>
      <w:marTop w:val="0"/>
      <w:marBottom w:val="0"/>
      <w:divBdr>
        <w:top w:val="none" w:sz="0" w:space="0" w:color="auto"/>
        <w:left w:val="none" w:sz="0" w:space="0" w:color="auto"/>
        <w:bottom w:val="none" w:sz="0" w:space="0" w:color="auto"/>
        <w:right w:val="none" w:sz="0" w:space="0" w:color="auto"/>
      </w:divBdr>
    </w:div>
    <w:div w:id="739446493">
      <w:bodyDiv w:val="1"/>
      <w:marLeft w:val="0"/>
      <w:marRight w:val="0"/>
      <w:marTop w:val="0"/>
      <w:marBottom w:val="0"/>
      <w:divBdr>
        <w:top w:val="none" w:sz="0" w:space="0" w:color="auto"/>
        <w:left w:val="none" w:sz="0" w:space="0" w:color="auto"/>
        <w:bottom w:val="none" w:sz="0" w:space="0" w:color="auto"/>
        <w:right w:val="none" w:sz="0" w:space="0" w:color="auto"/>
      </w:divBdr>
    </w:div>
    <w:div w:id="1037968957">
      <w:bodyDiv w:val="1"/>
      <w:marLeft w:val="0"/>
      <w:marRight w:val="0"/>
      <w:marTop w:val="0"/>
      <w:marBottom w:val="0"/>
      <w:divBdr>
        <w:top w:val="none" w:sz="0" w:space="0" w:color="auto"/>
        <w:left w:val="none" w:sz="0" w:space="0" w:color="auto"/>
        <w:bottom w:val="none" w:sz="0" w:space="0" w:color="auto"/>
        <w:right w:val="none" w:sz="0" w:space="0" w:color="auto"/>
      </w:divBdr>
    </w:div>
    <w:div w:id="1328900716">
      <w:bodyDiv w:val="1"/>
      <w:marLeft w:val="0"/>
      <w:marRight w:val="0"/>
      <w:marTop w:val="0"/>
      <w:marBottom w:val="0"/>
      <w:divBdr>
        <w:top w:val="none" w:sz="0" w:space="0" w:color="auto"/>
        <w:left w:val="none" w:sz="0" w:space="0" w:color="auto"/>
        <w:bottom w:val="none" w:sz="0" w:space="0" w:color="auto"/>
        <w:right w:val="none" w:sz="0" w:space="0" w:color="auto"/>
      </w:divBdr>
    </w:div>
    <w:div w:id="1491753600">
      <w:bodyDiv w:val="1"/>
      <w:marLeft w:val="0"/>
      <w:marRight w:val="0"/>
      <w:marTop w:val="0"/>
      <w:marBottom w:val="0"/>
      <w:divBdr>
        <w:top w:val="none" w:sz="0" w:space="0" w:color="auto"/>
        <w:left w:val="none" w:sz="0" w:space="0" w:color="auto"/>
        <w:bottom w:val="none" w:sz="0" w:space="0" w:color="auto"/>
        <w:right w:val="none" w:sz="0" w:space="0" w:color="auto"/>
      </w:divBdr>
    </w:div>
    <w:div w:id="1496914454">
      <w:bodyDiv w:val="1"/>
      <w:marLeft w:val="0"/>
      <w:marRight w:val="0"/>
      <w:marTop w:val="0"/>
      <w:marBottom w:val="0"/>
      <w:divBdr>
        <w:top w:val="none" w:sz="0" w:space="0" w:color="auto"/>
        <w:left w:val="none" w:sz="0" w:space="0" w:color="auto"/>
        <w:bottom w:val="none" w:sz="0" w:space="0" w:color="auto"/>
        <w:right w:val="none" w:sz="0" w:space="0" w:color="auto"/>
      </w:divBdr>
    </w:div>
    <w:div w:id="1579167819">
      <w:bodyDiv w:val="1"/>
      <w:marLeft w:val="0"/>
      <w:marRight w:val="0"/>
      <w:marTop w:val="0"/>
      <w:marBottom w:val="0"/>
      <w:divBdr>
        <w:top w:val="none" w:sz="0" w:space="0" w:color="auto"/>
        <w:left w:val="none" w:sz="0" w:space="0" w:color="auto"/>
        <w:bottom w:val="none" w:sz="0" w:space="0" w:color="auto"/>
        <w:right w:val="none" w:sz="0" w:space="0" w:color="auto"/>
      </w:divBdr>
    </w:div>
    <w:div w:id="1603759120">
      <w:bodyDiv w:val="1"/>
      <w:marLeft w:val="0"/>
      <w:marRight w:val="0"/>
      <w:marTop w:val="0"/>
      <w:marBottom w:val="0"/>
      <w:divBdr>
        <w:top w:val="none" w:sz="0" w:space="0" w:color="auto"/>
        <w:left w:val="none" w:sz="0" w:space="0" w:color="auto"/>
        <w:bottom w:val="none" w:sz="0" w:space="0" w:color="auto"/>
        <w:right w:val="none" w:sz="0" w:space="0" w:color="auto"/>
      </w:divBdr>
    </w:div>
    <w:div w:id="1693073844">
      <w:bodyDiv w:val="1"/>
      <w:marLeft w:val="0"/>
      <w:marRight w:val="0"/>
      <w:marTop w:val="0"/>
      <w:marBottom w:val="0"/>
      <w:divBdr>
        <w:top w:val="none" w:sz="0" w:space="0" w:color="auto"/>
        <w:left w:val="none" w:sz="0" w:space="0" w:color="auto"/>
        <w:bottom w:val="none" w:sz="0" w:space="0" w:color="auto"/>
        <w:right w:val="none" w:sz="0" w:space="0" w:color="auto"/>
      </w:divBdr>
    </w:div>
    <w:div w:id="1795757701">
      <w:bodyDiv w:val="1"/>
      <w:marLeft w:val="0"/>
      <w:marRight w:val="0"/>
      <w:marTop w:val="0"/>
      <w:marBottom w:val="0"/>
      <w:divBdr>
        <w:top w:val="none" w:sz="0" w:space="0" w:color="auto"/>
        <w:left w:val="none" w:sz="0" w:space="0" w:color="auto"/>
        <w:bottom w:val="none" w:sz="0" w:space="0" w:color="auto"/>
        <w:right w:val="none" w:sz="0" w:space="0" w:color="auto"/>
      </w:divBdr>
    </w:div>
    <w:div w:id="1924948889">
      <w:bodyDiv w:val="1"/>
      <w:marLeft w:val="0"/>
      <w:marRight w:val="0"/>
      <w:marTop w:val="0"/>
      <w:marBottom w:val="0"/>
      <w:divBdr>
        <w:top w:val="none" w:sz="0" w:space="0" w:color="auto"/>
        <w:left w:val="none" w:sz="0" w:space="0" w:color="auto"/>
        <w:bottom w:val="none" w:sz="0" w:space="0" w:color="auto"/>
        <w:right w:val="none" w:sz="0" w:space="0" w:color="auto"/>
      </w:divBdr>
    </w:div>
    <w:div w:id="2005892827">
      <w:bodyDiv w:val="1"/>
      <w:marLeft w:val="0"/>
      <w:marRight w:val="0"/>
      <w:marTop w:val="0"/>
      <w:marBottom w:val="0"/>
      <w:divBdr>
        <w:top w:val="none" w:sz="0" w:space="0" w:color="auto"/>
        <w:left w:val="none" w:sz="0" w:space="0" w:color="auto"/>
        <w:bottom w:val="none" w:sz="0" w:space="0" w:color="auto"/>
        <w:right w:val="none" w:sz="0" w:space="0" w:color="auto"/>
      </w:divBdr>
    </w:div>
    <w:div w:id="209034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ols.reinecke@nwu.ac.za" TargetMode="External"/><Relationship Id="rId13" Type="http://schemas.openxmlformats.org/officeDocument/2006/relationships/hyperlink" Target="mailto:J.A.Westerhuis@uva.nl"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pie.mienie@gmail.co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mr.nwu@gmail.com"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mathworks.com/matlabcentral/fileexchange/26508-raacampbell13-notboxplot" TargetMode="External"/><Relationship Id="rId28" Type="http://schemas.openxmlformats.org/officeDocument/2006/relationships/image" Target="media/image13.png"/><Relationship Id="rId10" Type="http://schemas.openxmlformats.org/officeDocument/2006/relationships/hyperlink" Target="mailto:12791733@nwu.ac.za"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cindyirwin74@gmail.com" TargetMode="External"/><Relationship Id="rId14" Type="http://schemas.openxmlformats.org/officeDocument/2006/relationships/hyperlink" Target="mailto:carools.reinecke@nwu.ac.za"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BAB6B-15FC-4FD0-B0C1-21896455C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4887</Words>
  <Characters>27860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2016-11-21T23:26:00Z</dcterms:created>
  <dcterms:modified xsi:type="dcterms:W3CDTF">2016-11-21T23:26:00Z</dcterms:modified>
</cp:coreProperties>
</file>