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77" w:rsidRPr="00917055" w:rsidRDefault="00C72277" w:rsidP="00C72277">
      <w:pPr>
        <w:rPr>
          <w:b/>
          <w:sz w:val="36"/>
          <w:szCs w:val="36"/>
        </w:rPr>
      </w:pPr>
      <w:r>
        <w:rPr>
          <w:b/>
          <w:sz w:val="36"/>
          <w:szCs w:val="36"/>
        </w:rPr>
        <w:t>Analysis of variance tables</w:t>
      </w:r>
    </w:p>
    <w:p w:rsidR="00C72277" w:rsidRDefault="00C72277" w:rsidP="00C72277"/>
    <w:p w:rsidR="00C72277" w:rsidRDefault="00C72277" w:rsidP="00C72277">
      <w:r>
        <w:rPr>
          <w:b/>
        </w:rPr>
        <w:t>Table</w:t>
      </w:r>
      <w:r w:rsidRPr="00056216">
        <w:rPr>
          <w:b/>
        </w:rPr>
        <w:t xml:space="preserve"> 1</w:t>
      </w:r>
      <w:r>
        <w:t xml:space="preserve">.  Analysis of variance of the burial experiment: Proportions were transformed to </w:t>
      </w:r>
      <w:proofErr w:type="spellStart"/>
      <w:r>
        <w:t>arcsin</w:t>
      </w:r>
      <w:proofErr w:type="spellEnd"/>
      <w:r>
        <w:t xml:space="preserve"> square root for analysis.  Significant effect are in bold.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990"/>
        <w:gridCol w:w="990"/>
        <w:gridCol w:w="990"/>
        <w:gridCol w:w="1080"/>
        <w:gridCol w:w="1080"/>
        <w:gridCol w:w="1365"/>
      </w:tblGrid>
      <w:tr w:rsidR="00C72277" w:rsidRPr="0060529A" w:rsidTr="00132F6C">
        <w:tc>
          <w:tcPr>
            <w:tcW w:w="1542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C72277" w:rsidRPr="0060529A" w:rsidRDefault="00C72277" w:rsidP="00132F6C">
            <w:r w:rsidRPr="0060529A">
              <w:rPr>
                <w:color w:val="000000"/>
                <w:sz w:val="22"/>
                <w:szCs w:val="22"/>
              </w:rPr>
              <w:t>Effect</w:t>
            </w:r>
          </w:p>
        </w:tc>
        <w:tc>
          <w:tcPr>
            <w:tcW w:w="3458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C72277" w:rsidRPr="0060529A" w:rsidRDefault="00C72277" w:rsidP="00132F6C">
            <w:proofErr w:type="spellStart"/>
            <w:r w:rsidRPr="0060529A">
              <w:rPr>
                <w:color w:val="000000"/>
                <w:sz w:val="22"/>
                <w:szCs w:val="22"/>
              </w:rPr>
              <w:t>Univariate</w:t>
            </w:r>
            <w:proofErr w:type="spellEnd"/>
            <w:r w:rsidRPr="0060529A">
              <w:rPr>
                <w:color w:val="000000"/>
                <w:sz w:val="22"/>
                <w:szCs w:val="22"/>
              </w:rPr>
              <w:t xml:space="preserve"> Tests of Significance for </w:t>
            </w:r>
            <w:proofErr w:type="spellStart"/>
            <w:r w:rsidRPr="0060529A">
              <w:rPr>
                <w:bCs/>
                <w:color w:val="000000"/>
                <w:sz w:val="22"/>
                <w:szCs w:val="22"/>
              </w:rPr>
              <w:t>arcsin</w:t>
            </w:r>
            <w:proofErr w:type="spellEnd"/>
            <w:r w:rsidRPr="0060529A">
              <w:rPr>
                <w:bCs/>
                <w:color w:val="000000"/>
                <w:sz w:val="22"/>
                <w:szCs w:val="22"/>
              </w:rPr>
              <w:t xml:space="preserve"> % germinated</w:t>
            </w:r>
            <w:r w:rsidRPr="0060529A">
              <w:rPr>
                <w:color w:val="000000"/>
                <w:sz w:val="22"/>
                <w:szCs w:val="22"/>
              </w:rPr>
              <w:t xml:space="preserve">  Sigma-restricted parameterization Effective hypothesis decomposition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0529A">
              <w:rPr>
                <w:color w:val="000000"/>
                <w:sz w:val="22"/>
                <w:szCs w:val="22"/>
              </w:rPr>
              <w:t xml:space="preserve"> 2014</w:t>
            </w:r>
            <w:r>
              <w:rPr>
                <w:color w:val="000000"/>
                <w:sz w:val="22"/>
                <w:szCs w:val="22"/>
              </w:rPr>
              <w:t xml:space="preserve"> seeds, run Jan.-Dec. 2015</w:t>
            </w:r>
          </w:p>
        </w:tc>
      </w:tr>
      <w:tr w:rsidR="00C72277" w:rsidRPr="0060529A" w:rsidTr="00132F6C">
        <w:tc>
          <w:tcPr>
            <w:tcW w:w="1542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C72277" w:rsidRPr="0060529A" w:rsidTr="00132F6C"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SS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C72277" w:rsidRPr="0060529A" w:rsidTr="00132F6C"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% of factor SS*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C72277" w:rsidRPr="0060529A" w:rsidTr="00132F6C"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22527A">
                  <w:pPr>
                    <w:jc w:val="center"/>
                  </w:pPr>
                  <w:proofErr w:type="spellStart"/>
                  <w:r w:rsidRPr="0060529A">
                    <w:rPr>
                      <w:color w:val="000000"/>
                      <w:sz w:val="22"/>
                      <w:szCs w:val="22"/>
                    </w:rPr>
                    <w:t>Degr</w:t>
                  </w:r>
                  <w:proofErr w:type="spellEnd"/>
                  <w:r w:rsidRPr="0060529A">
                    <w:rPr>
                      <w:color w:val="000000"/>
                      <w:sz w:val="22"/>
                      <w:szCs w:val="22"/>
                    </w:rPr>
                    <w:t>. of</w:t>
                  </w:r>
                  <w:r w:rsidR="0022527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529A">
                    <w:rPr>
                      <w:color w:val="000000"/>
                      <w:sz w:val="22"/>
                      <w:szCs w:val="22"/>
                    </w:rPr>
                    <w:t>Freedom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C72277" w:rsidRPr="0060529A" w:rsidTr="00132F6C"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MS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C72277" w:rsidRPr="0060529A" w:rsidTr="00132F6C"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5"/>
            </w:tblGrid>
            <w:tr w:rsidR="00C72277" w:rsidRPr="0060529A" w:rsidTr="00132F6C"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</w:tbl>
          <w:p w:rsidR="00C72277" w:rsidRPr="0060529A" w:rsidRDefault="00C72277" w:rsidP="00132F6C"/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Intercept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110.55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110.55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8812.2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Date of check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(season)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7.46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26%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1.49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118.9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Depth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0.08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0%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0.03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2.1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0.103363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Sieve size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10.08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35%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3.36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267.9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Date of check*Depth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0.57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2%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15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0.04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0.000141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Date of check*Sieve size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9.00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32%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15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0.60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47.8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Depth*Sieve size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0.25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1%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9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0.03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0.018443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Date of check*Depth*Sieve size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0.98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3%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45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0.02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0.003265</w:t>
            </w:r>
          </w:p>
        </w:tc>
      </w:tr>
      <w:tr w:rsidR="00C72277" w:rsidRPr="0060529A" w:rsidTr="00132F6C">
        <w:tc>
          <w:tcPr>
            <w:tcW w:w="1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5"/>
            </w:tblGrid>
            <w:tr w:rsidR="00C72277" w:rsidRPr="0060529A" w:rsidTr="00132F6C"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Error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4.60</w:t>
            </w: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  <w:tc>
          <w:tcPr>
            <w:tcW w:w="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  <w:tc>
          <w:tcPr>
            <w:tcW w:w="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</w:tr>
    </w:tbl>
    <w:p w:rsidR="00C72277" w:rsidRDefault="00C72277" w:rsidP="00C72277">
      <w:r>
        <w:t xml:space="preserve">*Date, sieve size and date x sieve account for 93% of the factor-associated variance. </w:t>
      </w:r>
    </w:p>
    <w:p w:rsidR="00C72277" w:rsidRDefault="00C72277" w:rsidP="00C72277"/>
    <w:p w:rsidR="00C72277" w:rsidRDefault="00C72277" w:rsidP="00C72277">
      <w:r>
        <w:rPr>
          <w:b/>
        </w:rPr>
        <w:t>Table</w:t>
      </w:r>
      <w:r w:rsidRPr="00056216">
        <w:rPr>
          <w:b/>
        </w:rPr>
        <w:t xml:space="preserve"> 2</w:t>
      </w:r>
      <w:r>
        <w:t xml:space="preserve">. Analysis of variance of the proportion of seeds germinating in the laboratory experiment.  Proportions were </w:t>
      </w:r>
      <w:proofErr w:type="spellStart"/>
      <w:r>
        <w:t>arcsin</w:t>
      </w:r>
      <w:proofErr w:type="spellEnd"/>
      <w:r>
        <w:t xml:space="preserve"> square root transformed for analysis. Significant effects are in bold.  "</w:t>
      </w:r>
      <w:proofErr w:type="spellStart"/>
      <w:r>
        <w:t>Sanple</w:t>
      </w:r>
      <w:proofErr w:type="spellEnd"/>
      <w:r>
        <w:t xml:space="preserve">" in this experiment is the parallel of "date of burial" in the burial experiment.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170"/>
        <w:gridCol w:w="1440"/>
        <w:gridCol w:w="1170"/>
        <w:gridCol w:w="900"/>
        <w:gridCol w:w="900"/>
        <w:gridCol w:w="1185"/>
      </w:tblGrid>
      <w:tr w:rsidR="00C72277" w:rsidRPr="0060529A" w:rsidTr="00132F6C">
        <w:tc>
          <w:tcPr>
            <w:tcW w:w="1398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C72277" w:rsidRPr="0060529A" w:rsidRDefault="00C72277" w:rsidP="00132F6C">
            <w:r w:rsidRPr="0060529A">
              <w:rPr>
                <w:color w:val="000000"/>
                <w:sz w:val="22"/>
                <w:szCs w:val="22"/>
              </w:rPr>
              <w:t>Effect</w:t>
            </w:r>
          </w:p>
        </w:tc>
        <w:tc>
          <w:tcPr>
            <w:tcW w:w="3602" w:type="pct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C72277" w:rsidRPr="0060529A" w:rsidRDefault="00C72277" w:rsidP="00132F6C">
            <w:proofErr w:type="spellStart"/>
            <w:r w:rsidRPr="0060529A">
              <w:rPr>
                <w:color w:val="000000"/>
                <w:sz w:val="22"/>
                <w:szCs w:val="22"/>
              </w:rPr>
              <w:t>Univariate</w:t>
            </w:r>
            <w:proofErr w:type="spellEnd"/>
            <w:r w:rsidRPr="0060529A">
              <w:rPr>
                <w:color w:val="000000"/>
                <w:sz w:val="22"/>
                <w:szCs w:val="22"/>
              </w:rPr>
              <w:t xml:space="preserve"> Tests of Significance for </w:t>
            </w:r>
            <w:r w:rsidRPr="0060529A">
              <w:rPr>
                <w:bCs/>
                <w:color w:val="000000"/>
                <w:sz w:val="22"/>
                <w:szCs w:val="22"/>
              </w:rPr>
              <w:t>arcsine % germinated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0529A">
              <w:rPr>
                <w:color w:val="000000"/>
                <w:sz w:val="22"/>
                <w:szCs w:val="22"/>
              </w:rPr>
              <w:t xml:space="preserve">Sigma-restricted parameterization Effective hypothesis decomposition 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0529A">
              <w:rPr>
                <w:color w:val="000000"/>
                <w:sz w:val="22"/>
                <w:szCs w:val="22"/>
              </w:rPr>
              <w:t>2014</w:t>
            </w:r>
            <w:r>
              <w:rPr>
                <w:color w:val="000000"/>
                <w:sz w:val="22"/>
                <w:szCs w:val="22"/>
              </w:rPr>
              <w:t xml:space="preserve"> seeds, run Jan.-Dec. 2015</w:t>
            </w:r>
            <w:r w:rsidRPr="0060529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2277" w:rsidRPr="0060529A" w:rsidTr="00132F6C">
        <w:tc>
          <w:tcPr>
            <w:tcW w:w="1398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</w:tblGrid>
            <w:tr w:rsidR="00C72277" w:rsidRPr="0060529A" w:rsidTr="00132F6C"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SS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</w:tblGrid>
            <w:tr w:rsidR="00C72277" w:rsidRPr="0060529A" w:rsidTr="00132F6C"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% of factor SS*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0"/>
            </w:tblGrid>
            <w:tr w:rsidR="00C72277" w:rsidRPr="0060529A" w:rsidTr="00132F6C"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22527A">
                  <w:pPr>
                    <w:jc w:val="center"/>
                  </w:pPr>
                  <w:proofErr w:type="spellStart"/>
                  <w:r w:rsidRPr="0060529A">
                    <w:rPr>
                      <w:color w:val="000000"/>
                      <w:sz w:val="22"/>
                      <w:szCs w:val="22"/>
                    </w:rPr>
                    <w:t>Degr</w:t>
                  </w:r>
                  <w:proofErr w:type="spellEnd"/>
                  <w:r w:rsidRPr="0060529A">
                    <w:rPr>
                      <w:color w:val="000000"/>
                      <w:sz w:val="22"/>
                      <w:szCs w:val="22"/>
                    </w:rPr>
                    <w:t>. of</w:t>
                  </w:r>
                  <w:r w:rsidR="0022527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529A">
                    <w:rPr>
                      <w:color w:val="000000"/>
                      <w:sz w:val="22"/>
                      <w:szCs w:val="22"/>
                    </w:rPr>
                    <w:t>Freedom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0"/>
            </w:tblGrid>
            <w:tr w:rsidR="00C72277" w:rsidRPr="0060529A" w:rsidTr="00132F6C"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MS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0"/>
            </w:tblGrid>
            <w:tr w:rsidR="00C72277" w:rsidRPr="0060529A" w:rsidTr="00132F6C"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5"/>
            </w:tblGrid>
            <w:tr w:rsidR="00C72277" w:rsidRPr="0060529A" w:rsidTr="00132F6C"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72277" w:rsidRPr="0060529A" w:rsidRDefault="00C72277" w:rsidP="00132F6C">
                  <w:pPr>
                    <w:jc w:val="center"/>
                  </w:pPr>
                  <w:r w:rsidRPr="0060529A">
                    <w:rPr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</w:tbl>
          <w:p w:rsidR="00C72277" w:rsidRPr="0060529A" w:rsidRDefault="00C72277" w:rsidP="00132F6C"/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26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</w:tblGrid>
            <w:tr w:rsidR="00C72277" w:rsidRPr="0060529A" w:rsidTr="00132F6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Intercept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106.94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106.94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13123.1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sample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0.38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0.08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9.3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temperature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6.36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28%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2.12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260.3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sieve size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1.12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3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0.37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45.9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sample*temperature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1.96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15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0.13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16.1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sample*sieve size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1.86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15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0.12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15.2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temperature*sieve size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8.67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9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0.96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118.2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 xml:space="preserve">sample*temperature*sieve 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2.25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45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sz w:val="22"/>
                <w:szCs w:val="22"/>
              </w:rPr>
              <w:t>0.05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  <w:rPr>
                <w:b/>
              </w:rPr>
            </w:pPr>
            <w:r w:rsidRPr="0060529A">
              <w:rPr>
                <w:b/>
                <w:sz w:val="22"/>
                <w:szCs w:val="22"/>
              </w:rPr>
              <w:t>0.000000</w:t>
            </w:r>
          </w:p>
        </w:tc>
      </w:tr>
      <w:tr w:rsidR="00C72277" w:rsidRPr="0060529A" w:rsidTr="00132F6C">
        <w:tc>
          <w:tcPr>
            <w:tcW w:w="13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C72277" w:rsidRPr="0060529A" w:rsidTr="00132F6C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72277" w:rsidRPr="0060529A" w:rsidRDefault="00C72277" w:rsidP="00132F6C">
                  <w:r w:rsidRPr="0060529A">
                    <w:rPr>
                      <w:color w:val="000000"/>
                      <w:sz w:val="22"/>
                      <w:szCs w:val="22"/>
                    </w:rPr>
                    <w:t>Error</w:t>
                  </w:r>
                </w:p>
              </w:tc>
            </w:tr>
          </w:tbl>
          <w:p w:rsidR="00C72277" w:rsidRPr="0060529A" w:rsidRDefault="00C72277" w:rsidP="00132F6C"/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  <w:r w:rsidRPr="0060529A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  <w:tc>
          <w:tcPr>
            <w:tcW w:w="6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72277" w:rsidRPr="0060529A" w:rsidRDefault="00C72277" w:rsidP="00132F6C">
            <w:pPr>
              <w:jc w:val="right"/>
            </w:pPr>
          </w:p>
        </w:tc>
      </w:tr>
    </w:tbl>
    <w:p w:rsidR="00C72277" w:rsidRDefault="00C72277" w:rsidP="00C72277">
      <w:r>
        <w:t xml:space="preserve">*Temperature, and temperature x sieve size explain 66% of the variance associated with the factors. </w:t>
      </w:r>
    </w:p>
    <w:p w:rsidR="006720DD" w:rsidRPr="00EA1538" w:rsidRDefault="006720DD" w:rsidP="00EA1538"/>
    <w:sectPr w:rsidR="006720DD" w:rsidRPr="00EA1538" w:rsidSect="0067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characterSpacingControl w:val="doNotCompress"/>
  <w:compat/>
  <w:rsids>
    <w:rsidRoot w:val="00C72277"/>
    <w:rsid w:val="0022527A"/>
    <w:rsid w:val="00340EAF"/>
    <w:rsid w:val="004E3725"/>
    <w:rsid w:val="006720DD"/>
    <w:rsid w:val="008947B3"/>
    <w:rsid w:val="00C72277"/>
    <w:rsid w:val="00EA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New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doc template.dotx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Tschinkel</dc:creator>
  <cp:keywords/>
  <dc:description/>
  <cp:lastModifiedBy>Walter Tschinkel</cp:lastModifiedBy>
  <cp:revision>2</cp:revision>
  <dcterms:created xsi:type="dcterms:W3CDTF">2016-11-12T18:03:00Z</dcterms:created>
  <dcterms:modified xsi:type="dcterms:W3CDTF">2016-11-12T18:07:00Z</dcterms:modified>
</cp:coreProperties>
</file>