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605D6F">
        <w:rPr>
          <w:rFonts w:ascii="Times New Roman" w:hAnsi="Times New Roman" w:cs="Times New Roman"/>
          <w:b/>
          <w:sz w:val="36"/>
          <w:szCs w:val="36"/>
          <w:lang w:val="en-GB"/>
        </w:rPr>
        <w:t xml:space="preserve">Queen Nefertari, the Royal Spouse of Pharaoh Ramses II: A Multidisciplinary Investigation of the Mummified Remains Found in Her Tomb (QV66) </w:t>
      </w: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Michael E. Habicht </w:t>
      </w:r>
      <w:r w:rsidRPr="00605D6F">
        <w:rPr>
          <w:rFonts w:ascii="Times New Roman" w:hAnsi="Times New Roman" w:cs="Times New Roman"/>
          <w:vertAlign w:val="superscript"/>
          <w:lang w:val="en-GB"/>
        </w:rPr>
        <w:t>1</w:t>
      </w:r>
      <w:r w:rsidRPr="00605D6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05D6F">
        <w:rPr>
          <w:rFonts w:ascii="Times New Roman" w:hAnsi="Times New Roman" w:cs="Times New Roman"/>
          <w:lang w:val="en-GB"/>
        </w:rPr>
        <w:t>Raffaella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05D6F">
        <w:rPr>
          <w:rFonts w:ascii="Times New Roman" w:hAnsi="Times New Roman" w:cs="Times New Roman"/>
          <w:lang w:val="en-GB"/>
        </w:rPr>
        <w:t>Bianucci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 xml:space="preserve">2, 3, </w:t>
      </w:r>
      <w:r w:rsidRPr="00605D6F">
        <w:rPr>
          <w:rFonts w:ascii="Times New Roman" w:hAnsi="Times New Roman" w:cs="Times New Roman"/>
          <w:lang w:val="en-GB"/>
        </w:rPr>
        <w:t xml:space="preserve">, Stephen A. Buckley </w:t>
      </w:r>
      <w:r w:rsidRPr="00605D6F">
        <w:rPr>
          <w:rFonts w:ascii="Times New Roman" w:hAnsi="Times New Roman" w:cs="Times New Roman"/>
          <w:vertAlign w:val="superscript"/>
          <w:lang w:val="en-GB"/>
        </w:rPr>
        <w:t>4,5</w:t>
      </w:r>
      <w:r w:rsidRPr="00605D6F">
        <w:rPr>
          <w:rFonts w:ascii="Times New Roman" w:hAnsi="Times New Roman" w:cs="Times New Roman"/>
          <w:lang w:val="en-GB"/>
        </w:rPr>
        <w:t xml:space="preserve"> , Joann Fletcher </w:t>
      </w:r>
      <w:r w:rsidRPr="00605D6F">
        <w:rPr>
          <w:rFonts w:ascii="Times New Roman" w:hAnsi="Times New Roman" w:cs="Times New Roman"/>
          <w:vertAlign w:val="superscript"/>
          <w:lang w:val="en-GB"/>
        </w:rPr>
        <w:t>4,5</w:t>
      </w:r>
      <w:r w:rsidRPr="00605D6F">
        <w:rPr>
          <w:rFonts w:ascii="Times New Roman" w:hAnsi="Times New Roman" w:cs="Times New Roman"/>
          <w:lang w:val="en-GB"/>
        </w:rPr>
        <w:t xml:space="preserve">, Abigail S. </w:t>
      </w:r>
      <w:proofErr w:type="spellStart"/>
      <w:r w:rsidRPr="00605D6F">
        <w:rPr>
          <w:rFonts w:ascii="Times New Roman" w:hAnsi="Times New Roman" w:cs="Times New Roman"/>
          <w:lang w:val="en-GB"/>
        </w:rPr>
        <w:t>Bouwman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>1</w:t>
      </w:r>
      <w:r w:rsidRPr="00605D6F">
        <w:rPr>
          <w:rFonts w:ascii="Times New Roman" w:hAnsi="Times New Roman" w:cs="Times New Roman"/>
          <w:lang w:val="en-GB"/>
        </w:rPr>
        <w:t xml:space="preserve">, Lena M. </w:t>
      </w:r>
      <w:proofErr w:type="spellStart"/>
      <w:r w:rsidRPr="00605D6F">
        <w:rPr>
          <w:rFonts w:ascii="Times New Roman" w:hAnsi="Times New Roman" w:cs="Times New Roman"/>
          <w:lang w:val="en-GB"/>
        </w:rPr>
        <w:t>Öhrström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>1, 6</w:t>
      </w:r>
      <w:r w:rsidRPr="00605D6F">
        <w:rPr>
          <w:rFonts w:ascii="Times New Roman" w:hAnsi="Times New Roman" w:cs="Times New Roman"/>
          <w:lang w:val="en-GB"/>
        </w:rPr>
        <w:t xml:space="preserve">, Roger Seiler </w:t>
      </w:r>
      <w:r w:rsidRPr="00605D6F">
        <w:rPr>
          <w:rFonts w:ascii="Times New Roman" w:hAnsi="Times New Roman" w:cs="Times New Roman"/>
          <w:vertAlign w:val="superscript"/>
          <w:lang w:val="en-GB"/>
        </w:rPr>
        <w:t>1</w:t>
      </w:r>
      <w:r w:rsidRPr="00605D6F">
        <w:rPr>
          <w:rFonts w:ascii="Times New Roman" w:hAnsi="Times New Roman" w:cs="Times New Roman"/>
          <w:lang w:val="en-GB"/>
        </w:rPr>
        <w:t xml:space="preserve">, Francesco M. </w:t>
      </w:r>
      <w:proofErr w:type="spellStart"/>
      <w:r w:rsidRPr="00605D6F">
        <w:rPr>
          <w:rFonts w:ascii="Times New Roman" w:hAnsi="Times New Roman" w:cs="Times New Roman"/>
          <w:lang w:val="en-GB"/>
        </w:rPr>
        <w:t>Galassi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>1</w:t>
      </w:r>
      <w:r w:rsidRPr="00605D6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05D6F">
        <w:rPr>
          <w:rFonts w:ascii="Times New Roman" w:hAnsi="Times New Roman" w:cs="Times New Roman"/>
          <w:shd w:val="clear" w:color="auto" w:fill="FFFFFF"/>
          <w:lang w:val="en-GB"/>
        </w:rPr>
        <w:t>Irka</w:t>
      </w:r>
      <w:proofErr w:type="spellEnd"/>
      <w:r w:rsidRPr="00605D6F">
        <w:rPr>
          <w:rFonts w:ascii="Times New Roman" w:hAnsi="Times New Roman" w:cs="Times New Roman"/>
          <w:shd w:val="clear" w:color="auto" w:fill="FFFFFF"/>
          <w:lang w:val="en-GB"/>
        </w:rPr>
        <w:t> </w:t>
      </w:r>
      <w:proofErr w:type="spellStart"/>
      <w:r w:rsidRPr="00605D6F">
        <w:rPr>
          <w:rFonts w:ascii="Times New Roman" w:hAnsi="Times New Roman" w:cs="Times New Roman"/>
          <w:shd w:val="clear" w:color="auto" w:fill="FFFFFF"/>
          <w:lang w:val="en-GB"/>
        </w:rPr>
        <w:t>Hajdas</w:t>
      </w:r>
      <w:proofErr w:type="spellEnd"/>
      <w:r w:rsidRPr="00605D6F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605D6F"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>7</w:t>
      </w:r>
      <w:r w:rsidRPr="00605D6F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Pr="00605D6F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605D6F">
        <w:rPr>
          <w:rFonts w:ascii="Times New Roman" w:hAnsi="Times New Roman" w:cs="Times New Roman"/>
          <w:lang w:val="en-GB"/>
        </w:rPr>
        <w:t>Eleni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05D6F">
        <w:rPr>
          <w:rFonts w:ascii="Times New Roman" w:hAnsi="Times New Roman" w:cs="Times New Roman"/>
          <w:lang w:val="en-GB"/>
        </w:rPr>
        <w:t>Vassilika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>8</w:t>
      </w:r>
      <w:r w:rsidRPr="00605D6F">
        <w:rPr>
          <w:rFonts w:ascii="Times New Roman" w:hAnsi="Times New Roman" w:cs="Times New Roman"/>
          <w:lang w:val="en-GB"/>
        </w:rPr>
        <w:t xml:space="preserve">, Thomas </w:t>
      </w:r>
      <w:proofErr w:type="spellStart"/>
      <w:r w:rsidRPr="00605D6F">
        <w:rPr>
          <w:rFonts w:ascii="Times New Roman" w:hAnsi="Times New Roman" w:cs="Times New Roman"/>
          <w:lang w:val="en-GB"/>
        </w:rPr>
        <w:t>Böni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>1</w:t>
      </w:r>
      <w:r w:rsidRPr="00605D6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05D6F">
        <w:rPr>
          <w:rFonts w:ascii="Times New Roman" w:hAnsi="Times New Roman" w:cs="Times New Roman"/>
          <w:lang w:val="en-GB"/>
        </w:rPr>
        <w:t>Maciej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05D6F">
        <w:rPr>
          <w:rFonts w:ascii="Times New Roman" w:hAnsi="Times New Roman" w:cs="Times New Roman"/>
          <w:lang w:val="en-GB"/>
        </w:rPr>
        <w:t>Henneberg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</w:t>
      </w:r>
      <w:r w:rsidRPr="00605D6F">
        <w:rPr>
          <w:rFonts w:ascii="Times New Roman" w:hAnsi="Times New Roman" w:cs="Times New Roman"/>
          <w:vertAlign w:val="superscript"/>
          <w:lang w:val="en-GB"/>
        </w:rPr>
        <w:t>9</w:t>
      </w:r>
      <w:r w:rsidRPr="00605D6F">
        <w:rPr>
          <w:rFonts w:ascii="Times New Roman" w:hAnsi="Times New Roman" w:cs="Times New Roman"/>
          <w:lang w:val="en-GB"/>
        </w:rPr>
        <w:t xml:space="preserve">, Frank. J. Rühli </w:t>
      </w:r>
      <w:r w:rsidRPr="00605D6F">
        <w:rPr>
          <w:rFonts w:ascii="Times New Roman" w:hAnsi="Times New Roman" w:cs="Times New Roman"/>
          <w:vertAlign w:val="superscript"/>
          <w:lang w:val="en-GB"/>
        </w:rPr>
        <w:t>1 *</w:t>
      </w: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605D6F">
        <w:rPr>
          <w:rFonts w:ascii="Times New Roman" w:hAnsi="Times New Roman" w:cs="Times New Roman"/>
          <w:vertAlign w:val="superscript"/>
          <w:lang w:val="en-GB"/>
        </w:rPr>
        <w:t>1</w:t>
      </w:r>
      <w:r w:rsidRPr="00605D6F">
        <w:rPr>
          <w:rFonts w:ascii="Times New Roman" w:hAnsi="Times New Roman" w:cs="Times New Roman"/>
          <w:lang w:val="en-GB"/>
        </w:rPr>
        <w:t xml:space="preserve"> Institute of Evolutionary Medicine, University of Zurich, Zurich, Switzerland.</w:t>
      </w:r>
      <w:proofErr w:type="gramEnd"/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vertAlign w:val="superscript"/>
          <w:lang w:val="en-GB"/>
        </w:rPr>
        <w:t xml:space="preserve">2 </w:t>
      </w:r>
      <w:r w:rsidRPr="00605D6F">
        <w:rPr>
          <w:rFonts w:ascii="Times New Roman" w:hAnsi="Times New Roman" w:cs="Times New Roman"/>
          <w:lang w:val="en-GB"/>
        </w:rPr>
        <w:t>University of Turin</w:t>
      </w:r>
      <w:proofErr w:type="gramStart"/>
      <w:r w:rsidRPr="00605D6F">
        <w:rPr>
          <w:rFonts w:ascii="Times New Roman" w:hAnsi="Times New Roman" w:cs="Times New Roman"/>
          <w:lang w:val="en-GB"/>
        </w:rPr>
        <w:t>,  Department</w:t>
      </w:r>
      <w:proofErr w:type="gramEnd"/>
      <w:r w:rsidRPr="00605D6F">
        <w:rPr>
          <w:rFonts w:ascii="Times New Roman" w:hAnsi="Times New Roman" w:cs="Times New Roman"/>
          <w:lang w:val="en-GB"/>
        </w:rPr>
        <w:t xml:space="preserve"> of Public Health and Paediatric Sciences, Legal Medicine Section, Turin, Italy.</w:t>
      </w:r>
    </w:p>
    <w:p w:rsidR="00DE4F26" w:rsidRPr="00605D6F" w:rsidRDefault="00DE4F26" w:rsidP="00DE4F26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lang w:val="fr-CH"/>
        </w:rPr>
      </w:pPr>
      <w:r w:rsidRPr="00605D6F">
        <w:rPr>
          <w:rFonts w:ascii="Times New Roman" w:hAnsi="Times New Roman" w:cs="Times New Roman"/>
          <w:vertAlign w:val="superscript"/>
          <w:lang w:val="fr-CH"/>
        </w:rPr>
        <w:t>3</w:t>
      </w:r>
      <w:r w:rsidRPr="00605D6F">
        <w:rPr>
          <w:rFonts w:ascii="Times New Roman" w:eastAsia="Calibri" w:hAnsi="Times New Roman" w:cs="Times New Roman"/>
          <w:vertAlign w:val="superscript"/>
          <w:lang w:val="fr-CH"/>
        </w:rPr>
        <w:t xml:space="preserve"> </w:t>
      </w:r>
      <w:r w:rsidRPr="00605D6F">
        <w:rPr>
          <w:rFonts w:ascii="Times New Roman" w:hAnsi="Times New Roman" w:cs="Times New Roman"/>
          <w:lang w:val="fr-CH"/>
        </w:rPr>
        <w:t>UMR 7258, Laboratoire d’Anthropologie bio-culturelle, Droit, Etique &amp; Santé (</w:t>
      </w:r>
      <w:proofErr w:type="spellStart"/>
      <w:r w:rsidRPr="00605D6F">
        <w:rPr>
          <w:rFonts w:ascii="Times New Roman" w:hAnsi="Times New Roman" w:cs="Times New Roman"/>
          <w:lang w:val="fr-CH"/>
        </w:rPr>
        <w:t>Adés</w:t>
      </w:r>
      <w:proofErr w:type="spellEnd"/>
      <w:r w:rsidRPr="00605D6F">
        <w:rPr>
          <w:rFonts w:ascii="Times New Roman" w:hAnsi="Times New Roman" w:cs="Times New Roman"/>
          <w:lang w:val="fr-CH"/>
        </w:rPr>
        <w:t>), Faculté de Médecine de Marseille, Marseille, France.</w:t>
      </w: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vertAlign w:val="superscript"/>
          <w:lang w:val="en-GB"/>
        </w:rPr>
        <w:t>4</w:t>
      </w:r>
      <w:r w:rsidRPr="00605D6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605D6F">
        <w:rPr>
          <w:rFonts w:ascii="Times New Roman" w:hAnsi="Times New Roman" w:cs="Times New Roman"/>
          <w:lang w:val="en-GB"/>
        </w:rPr>
        <w:t>University</w:t>
      </w:r>
      <w:proofErr w:type="gramEnd"/>
      <w:r w:rsidRPr="00605D6F">
        <w:rPr>
          <w:rFonts w:ascii="Times New Roman" w:hAnsi="Times New Roman" w:cs="Times New Roman"/>
          <w:lang w:val="en-GB"/>
        </w:rPr>
        <w:t xml:space="preserve"> of York, Department of Archaeology, York, UK</w:t>
      </w: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605D6F">
        <w:rPr>
          <w:rFonts w:ascii="Times New Roman" w:hAnsi="Times New Roman" w:cs="Times New Roman"/>
          <w:vertAlign w:val="superscript"/>
          <w:lang w:val="en-GB"/>
        </w:rPr>
        <w:t>5</w:t>
      </w:r>
      <w:r w:rsidRPr="00605D6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05D6F">
        <w:rPr>
          <w:rFonts w:ascii="Times New Roman" w:hAnsi="Times New Roman" w:cs="Times New Roman"/>
          <w:lang w:val="en-GB"/>
        </w:rPr>
        <w:t>BioArCh</w:t>
      </w:r>
      <w:proofErr w:type="spellEnd"/>
      <w:r w:rsidRPr="00605D6F">
        <w:rPr>
          <w:rFonts w:ascii="Times New Roman" w:hAnsi="Times New Roman" w:cs="Times New Roman"/>
          <w:lang w:val="en-GB"/>
        </w:rPr>
        <w:t>, Departments of Archaeology, Biology &amp; Chemistry, University of York, UK.</w:t>
      </w:r>
      <w:proofErr w:type="gramEnd"/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605D6F">
        <w:rPr>
          <w:rFonts w:ascii="Times New Roman" w:hAnsi="Times New Roman" w:cs="Times New Roman"/>
          <w:vertAlign w:val="superscript"/>
          <w:lang w:val="en-GB"/>
        </w:rPr>
        <w:t>6</w:t>
      </w:r>
      <w:r w:rsidRPr="00605D6F">
        <w:rPr>
          <w:rFonts w:ascii="Times New Roman" w:hAnsi="Times New Roman" w:cs="Times New Roman"/>
          <w:lang w:val="en-GB"/>
        </w:rPr>
        <w:t xml:space="preserve"> University Hospital Zurich, Department of Radiology, Zurich, Switzerland.</w:t>
      </w:r>
      <w:proofErr w:type="gramEnd"/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de-CH"/>
        </w:rPr>
      </w:pPr>
      <w:r w:rsidRPr="00605D6F">
        <w:rPr>
          <w:rFonts w:ascii="Times New Roman" w:hAnsi="Times New Roman" w:cs="Times New Roman"/>
          <w:shd w:val="clear" w:color="auto" w:fill="FFFFFF"/>
          <w:vertAlign w:val="superscript"/>
          <w:lang w:val="de-CH"/>
        </w:rPr>
        <w:t>7</w:t>
      </w:r>
      <w:r w:rsidRPr="00605D6F">
        <w:rPr>
          <w:rFonts w:ascii="Times New Roman" w:hAnsi="Times New Roman" w:cs="Times New Roman"/>
          <w:shd w:val="clear" w:color="auto" w:fill="FFFFFF"/>
          <w:lang w:val="de-CH"/>
        </w:rPr>
        <w:t xml:space="preserve"> Ion Beam </w:t>
      </w:r>
      <w:proofErr w:type="spellStart"/>
      <w:r w:rsidRPr="00605D6F">
        <w:rPr>
          <w:rFonts w:ascii="Times New Roman" w:hAnsi="Times New Roman" w:cs="Times New Roman"/>
          <w:shd w:val="clear" w:color="auto" w:fill="FFFFFF"/>
          <w:lang w:val="de-CH"/>
        </w:rPr>
        <w:t>Physics</w:t>
      </w:r>
      <w:proofErr w:type="spellEnd"/>
      <w:r w:rsidRPr="00605D6F">
        <w:rPr>
          <w:rFonts w:ascii="Times New Roman" w:hAnsi="Times New Roman" w:cs="Times New Roman"/>
          <w:shd w:val="clear" w:color="auto" w:fill="FFFFFF"/>
          <w:lang w:val="de-CH"/>
        </w:rPr>
        <w:t xml:space="preserve">. Labor f. Ionenstrahlphysik (LIP), </w:t>
      </w:r>
      <w:proofErr w:type="spellStart"/>
      <w:r w:rsidRPr="00605D6F">
        <w:rPr>
          <w:rFonts w:ascii="Times New Roman" w:hAnsi="Times New Roman" w:cs="Times New Roman"/>
          <w:shd w:val="clear" w:color="auto" w:fill="FFFFFF"/>
          <w:lang w:val="de-CH"/>
        </w:rPr>
        <w:t>ETH</w:t>
      </w:r>
      <w:proofErr w:type="spellEnd"/>
      <w:r w:rsidRPr="00605D6F">
        <w:rPr>
          <w:rFonts w:ascii="Times New Roman" w:hAnsi="Times New Roman" w:cs="Times New Roman"/>
          <w:shd w:val="clear" w:color="auto" w:fill="FFFFFF"/>
          <w:lang w:val="de-CH"/>
        </w:rPr>
        <w:t xml:space="preserve"> Zürich, </w:t>
      </w:r>
      <w:proofErr w:type="spellStart"/>
      <w:r w:rsidRPr="00605D6F">
        <w:rPr>
          <w:rFonts w:ascii="Times New Roman" w:hAnsi="Times New Roman" w:cs="Times New Roman"/>
          <w:shd w:val="clear" w:color="auto" w:fill="FFFFFF"/>
          <w:lang w:val="de-CH"/>
        </w:rPr>
        <w:t>Zurich</w:t>
      </w:r>
      <w:proofErr w:type="spellEnd"/>
      <w:r w:rsidRPr="00605D6F">
        <w:rPr>
          <w:rFonts w:ascii="Times New Roman" w:hAnsi="Times New Roman" w:cs="Times New Roman"/>
          <w:shd w:val="clear" w:color="auto" w:fill="FFFFFF"/>
          <w:lang w:val="de-CH"/>
        </w:rPr>
        <w:t xml:space="preserve">, </w:t>
      </w:r>
      <w:proofErr w:type="spellStart"/>
      <w:r w:rsidRPr="00605D6F">
        <w:rPr>
          <w:rFonts w:ascii="Times New Roman" w:hAnsi="Times New Roman" w:cs="Times New Roman"/>
          <w:shd w:val="clear" w:color="auto" w:fill="FFFFFF"/>
          <w:lang w:val="de-CH"/>
        </w:rPr>
        <w:t>Switzerland</w:t>
      </w:r>
      <w:proofErr w:type="spellEnd"/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605D6F">
        <w:rPr>
          <w:rFonts w:ascii="Times New Roman" w:hAnsi="Times New Roman" w:cs="Times New Roman"/>
          <w:vertAlign w:val="superscript"/>
          <w:lang w:val="it-IT"/>
        </w:rPr>
        <w:t>8</w:t>
      </w:r>
      <w:r w:rsidRPr="00605D6F">
        <w:rPr>
          <w:rFonts w:ascii="Times New Roman" w:hAnsi="Times New Roman" w:cs="Times New Roman"/>
          <w:lang w:val="it-IT"/>
        </w:rPr>
        <w:t xml:space="preserve"> Fondazione Museo Egizio </w:t>
      </w:r>
      <w:proofErr w:type="spellStart"/>
      <w:r w:rsidRPr="00605D6F">
        <w:rPr>
          <w:rFonts w:ascii="Times New Roman" w:hAnsi="Times New Roman" w:cs="Times New Roman"/>
          <w:lang w:val="it-IT"/>
        </w:rPr>
        <w:t>of</w:t>
      </w:r>
      <w:proofErr w:type="spellEnd"/>
      <w:r w:rsidRPr="00605D6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05D6F">
        <w:rPr>
          <w:rFonts w:ascii="Times New Roman" w:hAnsi="Times New Roman" w:cs="Times New Roman"/>
          <w:lang w:val="it-IT"/>
        </w:rPr>
        <w:t>Turin</w:t>
      </w:r>
      <w:proofErr w:type="spellEnd"/>
      <w:r w:rsidRPr="00605D6F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05D6F">
        <w:rPr>
          <w:rFonts w:ascii="Times New Roman" w:hAnsi="Times New Roman" w:cs="Times New Roman"/>
          <w:lang w:val="it-IT"/>
        </w:rPr>
        <w:t>Turin</w:t>
      </w:r>
      <w:proofErr w:type="spellEnd"/>
      <w:r w:rsidRPr="00605D6F">
        <w:rPr>
          <w:rFonts w:ascii="Times New Roman" w:hAnsi="Times New Roman" w:cs="Times New Roman"/>
          <w:lang w:val="it-IT"/>
        </w:rPr>
        <w:t>, Italy.</w:t>
      </w:r>
    </w:p>
    <w:p w:rsidR="00DE4F26" w:rsidRPr="00605D6F" w:rsidRDefault="00DE4F26" w:rsidP="00DE4F26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 w:rsidRPr="00605D6F">
        <w:rPr>
          <w:rFonts w:ascii="Times New Roman" w:hAnsi="Times New Roman" w:cs="Times New Roman"/>
          <w:vertAlign w:val="superscript"/>
        </w:rPr>
        <w:t xml:space="preserve">9 </w:t>
      </w:r>
      <w:r w:rsidRPr="00605D6F">
        <w:rPr>
          <w:rFonts w:ascii="Times New Roman" w:hAnsi="Times New Roman" w:cs="Times New Roman"/>
        </w:rPr>
        <w:t xml:space="preserve">Medical </w:t>
      </w:r>
      <w:proofErr w:type="gramStart"/>
      <w:r w:rsidRPr="00605D6F">
        <w:rPr>
          <w:rFonts w:ascii="Times New Roman" w:hAnsi="Times New Roman" w:cs="Times New Roman"/>
        </w:rPr>
        <w:t>School</w:t>
      </w:r>
      <w:proofErr w:type="gramEnd"/>
      <w:r w:rsidRPr="00605D6F">
        <w:rPr>
          <w:rFonts w:ascii="Times New Roman" w:hAnsi="Times New Roman" w:cs="Times New Roman"/>
        </w:rPr>
        <w:t xml:space="preserve">, University of Adelaide, Adelaide, Australia. </w:t>
      </w:r>
    </w:p>
    <w:p w:rsidR="00DE4F26" w:rsidRPr="00605D6F" w:rsidRDefault="00DE4F26" w:rsidP="00DE4F26">
      <w:pPr>
        <w:pStyle w:val="KeinLeerraum"/>
        <w:tabs>
          <w:tab w:val="left" w:pos="2338"/>
        </w:tabs>
        <w:spacing w:line="480" w:lineRule="auto"/>
        <w:jc w:val="both"/>
        <w:rPr>
          <w:rFonts w:ascii="Times New Roman" w:hAnsi="Times New Roman" w:cs="Times New Roman"/>
          <w:i/>
        </w:rPr>
      </w:pPr>
      <w:r w:rsidRPr="00605D6F">
        <w:rPr>
          <w:rFonts w:ascii="Times New Roman" w:hAnsi="Times New Roman" w:cs="Times New Roman"/>
          <w:i/>
        </w:rPr>
        <w:tab/>
      </w:r>
    </w:p>
    <w:p w:rsidR="00DE4F26" w:rsidRPr="00605D6F" w:rsidRDefault="00DE4F26" w:rsidP="00DE4F26">
      <w:pPr>
        <w:pStyle w:val="KeinLeerraum"/>
        <w:spacing w:line="480" w:lineRule="auto"/>
        <w:jc w:val="both"/>
        <w:rPr>
          <w:rFonts w:ascii="Times New Roman" w:hAnsi="Times New Roman" w:cs="Times New Roman"/>
        </w:rPr>
      </w:pPr>
      <w:r w:rsidRPr="00605D6F">
        <w:rPr>
          <w:rFonts w:ascii="Times New Roman" w:hAnsi="Times New Roman" w:cs="Times New Roman"/>
        </w:rPr>
        <w:t xml:space="preserve">* </w:t>
      </w:r>
      <w:hyperlink r:id="rId6" w:history="1">
        <w:r w:rsidRPr="00605D6F">
          <w:rPr>
            <w:rStyle w:val="Hyperlink"/>
            <w:rFonts w:ascii="Times New Roman" w:hAnsi="Times New Roman" w:cs="Times New Roman"/>
          </w:rPr>
          <w:t>frank.ruehli@iem.uzh.ch</w:t>
        </w:r>
      </w:hyperlink>
    </w:p>
    <w:p w:rsidR="00B46A4D" w:rsidRPr="00605D6F" w:rsidRDefault="00B46A4D">
      <w:pPr>
        <w:rPr>
          <w:rFonts w:ascii="Times New Roman" w:hAnsi="Times New Roman" w:cs="Times New Roman"/>
          <w:lang w:val="en-US"/>
        </w:rPr>
      </w:pPr>
    </w:p>
    <w:p w:rsidR="00EE3EC1" w:rsidRPr="00605D6F" w:rsidRDefault="00EE3EC1">
      <w:pPr>
        <w:rPr>
          <w:rFonts w:ascii="Times New Roman" w:hAnsi="Times New Roman" w:cs="Times New Roman"/>
          <w:lang w:val="en-GB"/>
        </w:rPr>
      </w:pPr>
    </w:p>
    <w:p w:rsidR="008545D6" w:rsidRPr="00605D6F" w:rsidRDefault="008545D6">
      <w:pPr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r w:rsidRPr="00605D6F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9F7C9B" w:rsidRPr="00605D6F" w:rsidRDefault="009F7C9B" w:rsidP="00F3417A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605D6F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Supplementary Material</w:t>
      </w:r>
    </w:p>
    <w:p w:rsidR="00F3417A" w:rsidRPr="00605D6F" w:rsidRDefault="00877381" w:rsidP="00F3417A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05D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A: </w:t>
      </w:r>
      <w:r w:rsidR="00F3417A" w:rsidRPr="00605D6F">
        <w:rPr>
          <w:rFonts w:ascii="Times New Roman" w:hAnsi="Times New Roman" w:cs="Times New Roman"/>
          <w:sz w:val="20"/>
          <w:szCs w:val="20"/>
          <w:lang w:val="en-GB"/>
        </w:rPr>
        <w:t xml:space="preserve">Ancient Greek anthropometric data (Metapontum, </w:t>
      </w:r>
      <w:proofErr w:type="spellStart"/>
      <w:r w:rsidR="00F3417A" w:rsidRPr="00605D6F">
        <w:rPr>
          <w:rFonts w:ascii="Times New Roman" w:hAnsi="Times New Roman" w:cs="Times New Roman"/>
          <w:sz w:val="20"/>
          <w:szCs w:val="20"/>
          <w:lang w:val="en-GB"/>
        </w:rPr>
        <w:t>Henneberg</w:t>
      </w:r>
      <w:proofErr w:type="spellEnd"/>
      <w:r w:rsidR="00F3417A" w:rsidRPr="00605D6F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F3417A" w:rsidRPr="00605D6F">
        <w:rPr>
          <w:rFonts w:ascii="Times New Roman" w:hAnsi="Times New Roman" w:cs="Times New Roman"/>
          <w:sz w:val="20"/>
          <w:szCs w:val="20"/>
          <w:lang w:val="en-GB"/>
        </w:rPr>
        <w:t>Henneberg</w:t>
      </w:r>
      <w:proofErr w:type="spellEnd"/>
      <w:r w:rsidR="00F3417A" w:rsidRPr="00605D6F">
        <w:rPr>
          <w:rFonts w:ascii="Times New Roman" w:hAnsi="Times New Roman" w:cs="Times New Roman"/>
          <w:sz w:val="20"/>
          <w:szCs w:val="20"/>
          <w:lang w:val="en-GB"/>
        </w:rPr>
        <w:t xml:space="preserve">, 1998) with subsequent proportional calculations of body height as for QV 66. </w:t>
      </w:r>
    </w:p>
    <w:tbl>
      <w:tblPr>
        <w:tblStyle w:val="Tabellengitternetz"/>
        <w:tblW w:w="9820" w:type="dxa"/>
        <w:tblInd w:w="108" w:type="dxa"/>
        <w:tblLook w:val="04A0"/>
      </w:tblPr>
      <w:tblGrid>
        <w:gridCol w:w="1057"/>
        <w:gridCol w:w="1013"/>
        <w:gridCol w:w="856"/>
        <w:gridCol w:w="967"/>
        <w:gridCol w:w="1030"/>
        <w:gridCol w:w="996"/>
        <w:gridCol w:w="962"/>
        <w:gridCol w:w="996"/>
        <w:gridCol w:w="947"/>
        <w:gridCol w:w="996"/>
      </w:tblGrid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Sample 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Condyle width (one, both sides) 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Femur length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Tibia length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height (Trotter </w:t>
            </w:r>
            <w:proofErr w:type="spellStart"/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Gleser</w:t>
            </w:r>
            <w:proofErr w:type="spellEnd"/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female white)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Corrected for QV 66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Height (Trotter </w:t>
            </w:r>
            <w:proofErr w:type="spellStart"/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Gleser</w:t>
            </w:r>
            <w:proofErr w:type="spellEnd"/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female black African)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Corrected for QV 66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Height (Pearson 1899 female)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Corrected for QV 66</w:t>
            </w:r>
          </w:p>
        </w:tc>
      </w:tr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 mm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410 mm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326 mm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155.5 cm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156.5 cm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155.74 cm (femur)</w:t>
            </w:r>
            <w:r w:rsidR="00750C21"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156.1 cm (tibia)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161.8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152.0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157.9 cm</w:t>
            </w:r>
          </w:p>
        </w:tc>
      </w:tr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 tomb 99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 and 69 mm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409 mm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 mm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155.4 cm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181.5 cm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155.5 cm (femur) 163.0 cm (tibia)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181.6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155.1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181.0 cm</w:t>
            </w:r>
          </w:p>
        </w:tc>
      </w:tr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 tomb 100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 mm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452 mm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data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165.7 cm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165.7 cm (no correction 1:1)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165.3 (femur)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165.3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160.8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160.8 cm</w:t>
            </w:r>
          </w:p>
        </w:tc>
      </w:tr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 mm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data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343 mm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161 cm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162.1 cm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160.3 cm (tibia)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171.8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155.4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166.6 cm</w:t>
            </w:r>
          </w:p>
        </w:tc>
      </w:tr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 and 74 at femur head</w:t>
            </w:r>
            <w:r w:rsidR="00750C21"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 and 70 at tibia head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393 and 394 mm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330 mm both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153.8 cm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168.5 cm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151.9 cm (femur) 157.1 (tibia)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166.4 cm 168.3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150.6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165.1 cm</w:t>
            </w:r>
          </w:p>
        </w:tc>
      </w:tr>
      <w:tr w:rsidR="00F3417A" w:rsidRPr="00605D6F" w:rsidTr="00743586">
        <w:tc>
          <w:tcPr>
            <w:tcW w:w="108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028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 mm femur heads</w:t>
            </w:r>
            <w:r w:rsidR="00750C21"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71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tibia heads</w:t>
            </w:r>
          </w:p>
        </w:tc>
        <w:tc>
          <w:tcPr>
            <w:tcW w:w="86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427 mm</w:t>
            </w:r>
          </w:p>
        </w:tc>
        <w:tc>
          <w:tcPr>
            <w:tcW w:w="992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 and 352 mm</w:t>
            </w:r>
          </w:p>
        </w:tc>
        <w:tc>
          <w:tcPr>
            <w:tcW w:w="104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161.6 cm</w:t>
            </w:r>
          </w:p>
        </w:tc>
        <w:tc>
          <w:tcPr>
            <w:tcW w:w="977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Femur 172.4 cm</w:t>
            </w:r>
            <w:r w:rsidR="00750C21"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Tibia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170.7 cm</w:t>
            </w:r>
          </w:p>
        </w:tc>
        <w:tc>
          <w:tcPr>
            <w:tcW w:w="971" w:type="dxa"/>
          </w:tcPr>
          <w:p w:rsidR="00F3417A" w:rsidRPr="00605D6F" w:rsidRDefault="00F3417A" w:rsidP="00DE4F26">
            <w:pPr>
              <w:pStyle w:val="KeinLeerraum"/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159.6 cm (femur) 162.8 cm </w:t>
            </w: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(tibia)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170.3 cm171.9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157.0 cm</w:t>
            </w:r>
          </w:p>
        </w:tc>
        <w:tc>
          <w:tcPr>
            <w:tcW w:w="952" w:type="dxa"/>
          </w:tcPr>
          <w:p w:rsidR="00F3417A" w:rsidRPr="00605D6F" w:rsidRDefault="00F3417A" w:rsidP="00743586">
            <w:pPr>
              <w:pStyle w:val="KeinLeerraum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5D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167.4 cm</w:t>
            </w:r>
          </w:p>
        </w:tc>
      </w:tr>
    </w:tbl>
    <w:p w:rsidR="00F3417A" w:rsidRPr="00605D6F" w:rsidRDefault="00F3417A" w:rsidP="00EE3EC1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E3EC1" w:rsidRPr="00605D6F" w:rsidRDefault="00877381" w:rsidP="00EE3EC1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05D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B: </w:t>
      </w:r>
      <w:r w:rsidR="00EE3EC1" w:rsidRPr="00605D6F">
        <w:rPr>
          <w:rFonts w:ascii="Times New Roman" w:hAnsi="Times New Roman" w:cs="Times New Roman"/>
          <w:lang w:val="en-GB"/>
        </w:rPr>
        <w:t xml:space="preserve">Objects from tomb </w:t>
      </w:r>
      <w:proofErr w:type="spellStart"/>
      <w:r w:rsidR="00EE3EC1" w:rsidRPr="00605D6F">
        <w:rPr>
          <w:rFonts w:ascii="Times New Roman" w:hAnsi="Times New Roman" w:cs="Times New Roman"/>
          <w:lang w:val="en-GB"/>
        </w:rPr>
        <w:t>QV</w:t>
      </w:r>
      <w:proofErr w:type="spellEnd"/>
      <w:r w:rsidR="00EE3EC1" w:rsidRPr="00605D6F">
        <w:rPr>
          <w:rFonts w:ascii="Times New Roman" w:hAnsi="Times New Roman" w:cs="Times New Roman"/>
          <w:lang w:val="en-GB"/>
        </w:rPr>
        <w:t xml:space="preserve"> 66 now in Turin</w:t>
      </w:r>
      <w:r w:rsidR="00605D6F">
        <w:rPr>
          <w:rFonts w:ascii="Times New Roman" w:hAnsi="Times New Roman" w:cs="Times New Roman"/>
          <w:lang w:val="en-GB"/>
        </w:rPr>
        <w:t>, Mus. Egizio and Boston, Mus. of Fine Arts</w:t>
      </w:r>
      <w:r w:rsidR="00EE3EC1" w:rsidRPr="00605D6F">
        <w:rPr>
          <w:rFonts w:ascii="Times New Roman" w:hAnsi="Times New Roman" w:cs="Times New Roman"/>
          <w:lang w:val="en-GB"/>
        </w:rPr>
        <w:t>: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605D6F">
        <w:rPr>
          <w:rFonts w:ascii="Times New Roman" w:hAnsi="Times New Roman" w:cs="Times New Roman"/>
          <w:lang w:val="fr-CH"/>
        </w:rPr>
        <w:t>Sandals</w:t>
      </w:r>
      <w:proofErr w:type="spellEnd"/>
      <w:r w:rsidRPr="00605D6F">
        <w:rPr>
          <w:rFonts w:ascii="Times New Roman" w:hAnsi="Times New Roman" w:cs="Times New Roman"/>
          <w:lang w:val="fr-CH"/>
        </w:rPr>
        <w:t xml:space="preserve">, fibre, 29 x 10 cm, </w:t>
      </w:r>
      <w:r w:rsidR="00AA4300" w:rsidRPr="00605D6F">
        <w:rPr>
          <w:rStyle w:val="tspvalue"/>
          <w:rFonts w:ascii="Times New Roman" w:hAnsi="Times New Roman" w:cs="Times New Roman"/>
          <w:lang w:val="fr-CH"/>
        </w:rPr>
        <w:t xml:space="preserve">Mus.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Egizio </w:t>
      </w:r>
      <w:r w:rsidRPr="00605D6F">
        <w:rPr>
          <w:rFonts w:ascii="Times New Roman" w:hAnsi="Times New Roman" w:cs="Times New Roman"/>
          <w:lang w:val="en-GB"/>
        </w:rPr>
        <w:t xml:space="preserve">S. 5160 RCGE 14471. Sewn sandals, </w:t>
      </w:r>
      <w:proofErr w:type="spellStart"/>
      <w:r w:rsidRPr="00605D6F">
        <w:rPr>
          <w:rFonts w:ascii="Times New Roman" w:hAnsi="Times New Roman" w:cs="Times New Roman"/>
          <w:lang w:val="en-GB"/>
        </w:rPr>
        <w:t>Veldmeijer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Type C, var. 1</w:t>
      </w:r>
      <w:r w:rsidR="00210491" w:rsidRPr="00605D6F">
        <w:rPr>
          <w:rFonts w:ascii="Times New Roman" w:hAnsi="Times New Roman" w:cs="Times New Roman"/>
          <w:lang w:val="en-GB"/>
        </w:rPr>
        <w:t xml:space="preserve"> </w:t>
      </w:r>
      <w:r w:rsidR="00E86795" w:rsidRPr="00605D6F">
        <w:rPr>
          <w:rFonts w:ascii="Times New Roman" w:hAnsi="Times New Roman" w:cs="Times New Roman"/>
          <w:lang w:val="en-GB"/>
        </w:rPr>
        <w:fldChar w:fldCharType="begin" w:fldLock="1"/>
      </w:r>
      <w:r w:rsidR="00210491" w:rsidRPr="00605D6F">
        <w:rPr>
          <w:rFonts w:ascii="Times New Roman" w:hAnsi="Times New Roman" w:cs="Times New Roman"/>
          <w:lang w:val="en-GB"/>
        </w:rPr>
        <w:instrText>ADDIN CSL_CITATION { "citationItems" : [ { "id" : "ITEM-1", "itemData" : { "author" : [ { "dropping-particle" : "", "family" : "Veldmeijer", "given" : "Andr\u00e9 J.", "non-dropping-particle" : "", "parse-names" : false, "suffix" : "" } ], "container-title" : "Beyond the Horizon. Studies in Egyptian Art, Archaeology and History in Honour of Barry J. Kemp", "editor" : [ { "dropping-particle" : "", "family" : "Ikram", "given" : "Salima", "non-dropping-particle" : "", "parse-names" : false, "suffix" : "" }, { "dropping-particle" : "", "family" : "Dodson", "given" : "Aidan", "non-dropping-particle" : "", "parse-names" : false, "suffix" : "" } ], "id" : "ITEM-1", "issued" : { "date-parts" : [ [ "2009" ] ] }, "page" : "554-580", "publisher" : "The Supreme Council of Antiquities", "publisher-place" : "Cairo", "title" : "Studies of Ancient Egyptian Footwear. Technological Aspects. Part VI. Sewn Sandals", "type" : "chapter" }, "uris" : [ "http://www.mendeley.com/documents/?uuid=b6c98139-4e26-446e-a1b5-47a624c26651"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="00E86795" w:rsidRPr="00605D6F">
        <w:rPr>
          <w:rFonts w:ascii="Times New Roman" w:hAnsi="Times New Roman" w:cs="Times New Roman"/>
          <w:lang w:val="en-GB"/>
        </w:rPr>
        <w:fldChar w:fldCharType="separate"/>
      </w:r>
      <w:r w:rsidR="00210491" w:rsidRPr="00605D6F">
        <w:rPr>
          <w:rFonts w:ascii="Times New Roman" w:hAnsi="Times New Roman" w:cs="Times New Roman"/>
          <w:noProof/>
          <w:lang w:val="en-GB"/>
        </w:rPr>
        <w:t>[1]</w:t>
      </w:r>
      <w:r w:rsidR="00E86795" w:rsidRPr="00605D6F">
        <w:rPr>
          <w:rFonts w:ascii="Times New Roman" w:hAnsi="Times New Roman" w:cs="Times New Roman"/>
          <w:lang w:val="en-GB"/>
        </w:rPr>
        <w:fldChar w:fldCharType="end"/>
      </w:r>
      <w:r w:rsidR="00210491" w:rsidRPr="00605D6F">
        <w:rPr>
          <w:rFonts w:ascii="Times New Roman" w:hAnsi="Times New Roman" w:cs="Times New Roman"/>
          <w:lang w:val="en-GB"/>
        </w:rPr>
        <w:t>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Djed-Amulet, 13 cm,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 xml:space="preserve">S. 5163 RCGE 14473. It is a magical brick, placed in a niche as magic protection of the burial. This burial object is a strong argument for a burial of Queen Nefertari in QV 66. 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 of Djed-Amulet, 15 cm,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5204 RCGE 14479.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Fragments of a stone sarcophagus with inscription, 40 x 110 x 265 cm, pink granite,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5153 RCGE 17494.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Lid of a black coffer, 26 x 19 cm, with inscription and name of Nefertari, sycamore wood,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5198, RCGE 14474.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Lid of a coloured coffer, 13.5 x 9.5 cm, with inscription and name of Nefertari, sycamore wood,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5199 RCGE 14475.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Fragments of a rope, fibre,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5157 RCGE 14469.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Fragments of fabric, fibre,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5256 RCGE 14468.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 of a vase, calcite,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5211 RCGE 14481.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Mummified remains, three parts of knees,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5154 RCGE 14467.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Pommel of a sceptre or a coffer knob, faience. Cartouche </w:t>
      </w:r>
      <w:proofErr w:type="spellStart"/>
      <w:r w:rsidRPr="00605D6F">
        <w:rPr>
          <w:rFonts w:ascii="Times New Roman" w:hAnsi="Times New Roman" w:cs="Times New Roman"/>
          <w:lang w:val="en-GB"/>
        </w:rPr>
        <w:t>Kheper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-Kheperu-Ra (King Ay),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5162 RCGE 14472. Late 18</w:t>
      </w:r>
      <w:r w:rsidRPr="00605D6F">
        <w:rPr>
          <w:rFonts w:ascii="Times New Roman" w:hAnsi="Times New Roman" w:cs="Times New Roman"/>
          <w:vertAlign w:val="superscript"/>
          <w:lang w:val="en-GB"/>
        </w:rPr>
        <w:t>th</w:t>
      </w:r>
      <w:r w:rsidRPr="00605D6F">
        <w:rPr>
          <w:rFonts w:ascii="Times New Roman" w:hAnsi="Times New Roman" w:cs="Times New Roman"/>
          <w:lang w:val="en-GB"/>
        </w:rPr>
        <w:t xml:space="preserve"> Dynasty.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34 shabtis, sycamore wood and bitumen, with inscription and name of Nefertari,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5164- 5197 all: RCGE 13509.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 of a wooden statue, 32 cm,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 xml:space="preserve">S. 5202 RCGE 14477. Probably the tail of an Anubis- or </w:t>
      </w:r>
      <w:proofErr w:type="spellStart"/>
      <w:r w:rsidRPr="00605D6F">
        <w:rPr>
          <w:rFonts w:ascii="Times New Roman" w:hAnsi="Times New Roman" w:cs="Times New Roman"/>
          <w:lang w:val="en-GB"/>
        </w:rPr>
        <w:t>Wepwawet</w:t>
      </w:r>
      <w:proofErr w:type="spellEnd"/>
      <w:r w:rsidRPr="00605D6F">
        <w:rPr>
          <w:rFonts w:ascii="Times New Roman" w:hAnsi="Times New Roman" w:cs="Times New Roman"/>
          <w:lang w:val="en-GB"/>
        </w:rPr>
        <w:t>-statue, similar to the statue found in Tutankhamun´s tomb (Cairo JE 61444, Carter No. 261)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Fragment of a wooden statue of an Ibis, 25 cm,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5201 RCGE 14477. Similar statues of Thoth as an ibis are known from Horemheb and other Kings.</w:t>
      </w:r>
    </w:p>
    <w:p w:rsidR="00EE3EC1" w:rsidRPr="00605D6F" w:rsidRDefault="00EE3EC1" w:rsidP="00EE3EC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lastRenderedPageBreak/>
        <w:t xml:space="preserve">4 fragments of blue glazed vases,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5210, RCGE 14481. The style of ceramic points to the 19</w:t>
      </w:r>
      <w:r w:rsidRPr="00605D6F">
        <w:rPr>
          <w:rFonts w:ascii="Times New Roman" w:hAnsi="Times New Roman" w:cs="Times New Roman"/>
          <w:vertAlign w:val="superscript"/>
          <w:lang w:val="en-GB"/>
        </w:rPr>
        <w:t>th</w:t>
      </w:r>
      <w:r w:rsidRPr="00605D6F">
        <w:rPr>
          <w:rFonts w:ascii="Times New Roman" w:hAnsi="Times New Roman" w:cs="Times New Roman"/>
          <w:lang w:val="en-GB"/>
        </w:rPr>
        <w:t xml:space="preserve"> Dynasty. </w:t>
      </w:r>
    </w:p>
    <w:p w:rsidR="00EE3EC1" w:rsidRPr="00605D6F" w:rsidRDefault="00EE3EC1" w:rsidP="00210491">
      <w:pPr>
        <w:pStyle w:val="KeinLeerraum"/>
        <w:numPr>
          <w:ilvl w:val="0"/>
          <w:numId w:val="1"/>
        </w:num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Jar, clay, </w:t>
      </w:r>
      <w:r w:rsidR="00AA4300" w:rsidRPr="00605D6F">
        <w:rPr>
          <w:rStyle w:val="tspvalue"/>
          <w:rFonts w:ascii="Times New Roman" w:hAnsi="Times New Roman" w:cs="Times New Roman"/>
          <w:lang w:val="en-GB"/>
        </w:rPr>
        <w:t xml:space="preserve">Mus. Egizio </w:t>
      </w:r>
      <w:r w:rsidRPr="00605D6F">
        <w:rPr>
          <w:rFonts w:ascii="Times New Roman" w:hAnsi="Times New Roman" w:cs="Times New Roman"/>
          <w:lang w:val="en-GB"/>
        </w:rPr>
        <w:t>S. 5206 RCGE 13507. The style points to the New Kingdom.</w:t>
      </w:r>
    </w:p>
    <w:p w:rsidR="00EE3EC1" w:rsidRPr="00605D6F" w:rsidRDefault="00EE3EC1" w:rsidP="00210491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Other shabtis from </w:t>
      </w:r>
      <w:proofErr w:type="spellStart"/>
      <w:r w:rsidRPr="00605D6F">
        <w:rPr>
          <w:rFonts w:ascii="Times New Roman" w:hAnsi="Times New Roman" w:cs="Times New Roman"/>
          <w:lang w:val="en-GB"/>
        </w:rPr>
        <w:t>QV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66 are kept in Toronto and Cairo and Boston. Albert M. </w:t>
      </w:r>
      <w:proofErr w:type="spellStart"/>
      <w:r w:rsidRPr="00605D6F">
        <w:rPr>
          <w:rFonts w:ascii="Times New Roman" w:hAnsi="Times New Roman" w:cs="Times New Roman"/>
          <w:lang w:val="en-GB"/>
        </w:rPr>
        <w:t>Lithgoe</w:t>
      </w:r>
      <w:proofErr w:type="spellEnd"/>
      <w:r w:rsidRPr="00605D6F">
        <w:rPr>
          <w:rFonts w:ascii="Times New Roman" w:hAnsi="Times New Roman" w:cs="Times New Roman"/>
          <w:lang w:val="en-GB"/>
        </w:rPr>
        <w:t xml:space="preserve"> acquired for the Museum of Fine Arts three fragments of jewellery and shabtis, allegedly from her tomb</w:t>
      </w:r>
      <w:r w:rsidR="00210491" w:rsidRPr="00605D6F">
        <w:rPr>
          <w:rFonts w:ascii="Times New Roman" w:hAnsi="Times New Roman" w:cs="Times New Roman"/>
          <w:lang w:val="en-GB"/>
        </w:rPr>
        <w:t xml:space="preserve"> in 1904</w:t>
      </w:r>
      <w:r w:rsidRPr="00605D6F">
        <w:rPr>
          <w:rFonts w:ascii="Times New Roman" w:hAnsi="Times New Roman" w:cs="Times New Roman"/>
          <w:lang w:val="en-GB"/>
        </w:rPr>
        <w:t xml:space="preserve"> </w:t>
      </w:r>
      <w:r w:rsidR="00E86795" w:rsidRPr="00605D6F">
        <w:rPr>
          <w:rFonts w:ascii="Times New Roman" w:hAnsi="Times New Roman" w:cs="Times New Roman"/>
          <w:lang w:val="en-GB"/>
        </w:rPr>
        <w:fldChar w:fldCharType="begin" w:fldLock="1"/>
      </w:r>
      <w:r w:rsidR="00210491" w:rsidRPr="00605D6F">
        <w:rPr>
          <w:rFonts w:ascii="Times New Roman" w:hAnsi="Times New Roman" w:cs="Times New Roman"/>
          <w:lang w:val="en-GB"/>
        </w:rPr>
        <w:instrText>ADDIN CSL_CITATION { "citationItems" : [ { "id" : "ITEM-1", "itemData" : { "author" : [ { "dropping-particle" : "", "family" : "Willeitner", "given" : "Joachim", "non-dropping-particle" : "", "parse-names" : false, "suffix" : "" }, { "dropping-particle" : "", "family" : "Schmidt", "given" : "Heike C.", "non-dropping-particle" : "", "parse-names" : false, "suffix" : "" } ], "id" : "ITEM-1", "issued" : { "date-parts" : [ [ "1997" ] ] }, "publisher" : "Philipp Von Zabern", "publisher-place" : "Mainz", "title" : "Nefertari. Gemahlin Ramses II.", "type" : "book" }, "locator" : "86-87, fig. 117-118", "uris" : [ "http://www.mendeley.com/documents/?uuid=0f14171d-6be2-4b9f-a548-8e00b283f6aa"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 w:rsidR="00E86795" w:rsidRPr="00605D6F">
        <w:rPr>
          <w:rFonts w:ascii="Times New Roman" w:hAnsi="Times New Roman" w:cs="Times New Roman"/>
          <w:lang w:val="en-GB"/>
        </w:rPr>
        <w:fldChar w:fldCharType="separate"/>
      </w:r>
      <w:r w:rsidR="00210491" w:rsidRPr="00605D6F">
        <w:rPr>
          <w:rFonts w:ascii="Times New Roman" w:hAnsi="Times New Roman" w:cs="Times New Roman"/>
          <w:noProof/>
          <w:lang w:val="en-GB"/>
        </w:rPr>
        <w:t>[2]</w:t>
      </w:r>
      <w:r w:rsidR="00E86795" w:rsidRPr="00605D6F">
        <w:rPr>
          <w:rFonts w:ascii="Times New Roman" w:hAnsi="Times New Roman" w:cs="Times New Roman"/>
          <w:lang w:val="en-GB"/>
        </w:rPr>
        <w:fldChar w:fldCharType="end"/>
      </w:r>
      <w:r w:rsidRPr="00605D6F">
        <w:rPr>
          <w:rFonts w:ascii="Times New Roman" w:hAnsi="Times New Roman" w:cs="Times New Roman"/>
          <w:lang w:val="en-GB"/>
        </w:rPr>
        <w:t>.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>Shabti, Boston, Museum of Fine Arts Inv.</w:t>
      </w:r>
      <w:r w:rsidRPr="00605D6F">
        <w:rPr>
          <w:sz w:val="22"/>
          <w:szCs w:val="22"/>
          <w:bdr w:val="none" w:sz="0" w:space="0" w:color="auto" w:frame="1"/>
          <w:lang w:val="en-GB"/>
        </w:rPr>
        <w:t xml:space="preserve"> 04.1766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>Shabti, Boston, Museum of Fine Arts Inv.</w:t>
      </w:r>
      <w:r w:rsidRPr="00605D6F">
        <w:rPr>
          <w:sz w:val="22"/>
          <w:szCs w:val="22"/>
          <w:bdr w:val="none" w:sz="0" w:space="0" w:color="auto" w:frame="1"/>
          <w:lang w:val="en-GB"/>
        </w:rPr>
        <w:t xml:space="preserve"> 04.1767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>Shabti, Boston, Museum of Fine Arts Inv.</w:t>
      </w:r>
      <w:r w:rsidRPr="00605D6F">
        <w:rPr>
          <w:sz w:val="22"/>
          <w:szCs w:val="22"/>
          <w:bdr w:val="none" w:sz="0" w:space="0" w:color="auto" w:frame="1"/>
          <w:lang w:val="en-GB"/>
        </w:rPr>
        <w:t xml:space="preserve"> 04.1768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>Shabti, Boston, Museum of Fine Arts Inv.</w:t>
      </w:r>
      <w:r w:rsidRPr="00605D6F">
        <w:rPr>
          <w:sz w:val="22"/>
          <w:szCs w:val="22"/>
          <w:bdr w:val="none" w:sz="0" w:space="0" w:color="auto" w:frame="1"/>
          <w:lang w:val="en-GB"/>
        </w:rPr>
        <w:t xml:space="preserve"> 04.1769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 xml:space="preserve">Part of a gold bracelet of Nefertari, Boston, Museum of Fine Arts Inv. </w:t>
      </w:r>
      <w:r w:rsidRPr="00605D6F">
        <w:rPr>
          <w:sz w:val="22"/>
          <w:szCs w:val="22"/>
          <w:bdr w:val="none" w:sz="0" w:space="0" w:color="auto" w:frame="1"/>
          <w:lang w:val="en-GB"/>
        </w:rPr>
        <w:t>04.1954. The inscription “Great royal wife, Nefertari-beloved-of-</w:t>
      </w:r>
      <w:proofErr w:type="spellStart"/>
      <w:r w:rsidRPr="00605D6F">
        <w:rPr>
          <w:sz w:val="22"/>
          <w:szCs w:val="22"/>
          <w:bdr w:val="none" w:sz="0" w:space="0" w:color="auto" w:frame="1"/>
          <w:lang w:val="en-GB"/>
        </w:rPr>
        <w:t>Mut</w:t>
      </w:r>
      <w:proofErr w:type="spellEnd"/>
      <w:r w:rsidRPr="00605D6F">
        <w:rPr>
          <w:sz w:val="22"/>
          <w:szCs w:val="22"/>
          <w:bdr w:val="none" w:sz="0" w:space="0" w:color="auto" w:frame="1"/>
          <w:lang w:val="en-GB"/>
        </w:rPr>
        <w:t xml:space="preserve">, justified” points to a jewel specially made for the funeral. 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 xml:space="preserve">Part of a gold bracelet of Nefertari, Boston, Museum of Fine Arts Inv. </w:t>
      </w:r>
      <w:r w:rsidRPr="00605D6F">
        <w:rPr>
          <w:sz w:val="22"/>
          <w:szCs w:val="22"/>
          <w:bdr w:val="none" w:sz="0" w:space="0" w:color="auto" w:frame="1"/>
          <w:lang w:val="en-GB"/>
        </w:rPr>
        <w:t xml:space="preserve">04.1955. The inscription describes Nefertari as “Osiris”, thus it was also specially made for the funeral. </w:t>
      </w:r>
    </w:p>
    <w:p w:rsidR="00EE3EC1" w:rsidRPr="00605D6F" w:rsidRDefault="00EE3EC1" w:rsidP="00EE3EC1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605D6F">
        <w:rPr>
          <w:sz w:val="22"/>
          <w:szCs w:val="22"/>
          <w:lang w:val="en-GB"/>
        </w:rPr>
        <w:t xml:space="preserve">Gilded Lotus ear-ring, Boston, Museum of Fine Arts Inv. </w:t>
      </w:r>
      <w:r w:rsidRPr="00605D6F">
        <w:rPr>
          <w:sz w:val="22"/>
          <w:szCs w:val="22"/>
          <w:bdr w:val="none" w:sz="0" w:space="0" w:color="auto" w:frame="1"/>
          <w:lang w:val="en-GB"/>
        </w:rPr>
        <w:t xml:space="preserve">04.1956. Similar earrings are seen on the wall paintings in tomb QV 66 depicting Queen Nefertari. </w:t>
      </w:r>
    </w:p>
    <w:p w:rsidR="00EE3EC1" w:rsidRPr="00605D6F" w:rsidRDefault="00EE3EC1" w:rsidP="00EE3EC1">
      <w:pPr>
        <w:pStyle w:val="KeinLeerraum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>Another object might also came from QV 66:</w:t>
      </w:r>
    </w:p>
    <w:p w:rsidR="00EE3EC1" w:rsidRPr="00605D6F" w:rsidRDefault="00EE3EC1" w:rsidP="00EE3EC1">
      <w:pPr>
        <w:pStyle w:val="KeinLeerraum"/>
        <w:numPr>
          <w:ilvl w:val="0"/>
          <w:numId w:val="3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lang w:val="en-GB"/>
        </w:rPr>
      </w:pPr>
      <w:r w:rsidRPr="00605D6F">
        <w:rPr>
          <w:rFonts w:ascii="Times New Roman" w:hAnsi="Times New Roman" w:cs="Times New Roman"/>
          <w:lang w:val="en-GB"/>
        </w:rPr>
        <w:t xml:space="preserve">Ivory Unguent Box with cartouches of Ramses II and Nefertari, 3 cm high, 5 cm diameter.  New York, Metropolitan Museum, Inv. </w:t>
      </w:r>
      <w:r w:rsidRPr="00605D6F">
        <w:rPr>
          <w:rFonts w:ascii="Times New Roman" w:hAnsi="Times New Roman" w:cs="Times New Roman"/>
          <w:color w:val="000000"/>
          <w:lang w:val="en-GB"/>
        </w:rPr>
        <w:t>26.7.1291. Acquired in 1926</w:t>
      </w:r>
      <w:r w:rsidRPr="00605D6F">
        <w:rPr>
          <w:rFonts w:ascii="Times New Roman" w:hAnsi="Times New Roman" w:cs="Times New Roman"/>
          <w:lang w:val="en-GB"/>
        </w:rPr>
        <w:t xml:space="preserve"> </w:t>
      </w:r>
      <w:r w:rsidR="00E86795" w:rsidRPr="00605D6F">
        <w:rPr>
          <w:rFonts w:ascii="Times New Roman" w:hAnsi="Times New Roman" w:cs="Times New Roman"/>
          <w:lang w:val="en-GB"/>
        </w:rPr>
        <w:fldChar w:fldCharType="begin" w:fldLock="1"/>
      </w:r>
      <w:r w:rsidR="00210491" w:rsidRPr="00605D6F">
        <w:rPr>
          <w:rFonts w:ascii="Times New Roman" w:hAnsi="Times New Roman" w:cs="Times New Roman"/>
          <w:lang w:val="en-GB"/>
        </w:rPr>
        <w:instrText>ADDIN CSL_CITATION { "citationItems" : [ { "id" : "ITEM-1", "itemData" : { "author" : [ { "dropping-particle" : "", "family" : "Willeitner", "given" : "Joachim", "non-dropping-particle" : "", "parse-names" : false, "suffix" : "" }, { "dropping-particle" : "", "family" : "Schmidt", "given" : "Heike C.", "non-dropping-particle" : "", "parse-names" : false, "suffix" : "" } ], "id" : "ITEM-1", "issued" : { "date-parts" : [ [ "1997" ] ] }, "publisher" : "Philipp Von Zabern", "publisher-place" : "Mainz", "title" : "Nefertari. Gemahlin Ramses II.", "type" : "book" }, "locator" : "85-87, fig. 115", "uris" : [ "http://www.mendeley.com/documents/?uuid=0f14171d-6be2-4b9f-a548-8e00b283f6aa"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 w:rsidR="00E86795" w:rsidRPr="00605D6F">
        <w:rPr>
          <w:rFonts w:ascii="Times New Roman" w:hAnsi="Times New Roman" w:cs="Times New Roman"/>
          <w:lang w:val="en-GB"/>
        </w:rPr>
        <w:fldChar w:fldCharType="separate"/>
      </w:r>
      <w:r w:rsidR="00210491" w:rsidRPr="00605D6F">
        <w:rPr>
          <w:rFonts w:ascii="Times New Roman" w:hAnsi="Times New Roman" w:cs="Times New Roman"/>
          <w:noProof/>
          <w:lang w:val="en-GB"/>
        </w:rPr>
        <w:t>[2]</w:t>
      </w:r>
      <w:r w:rsidR="00E86795" w:rsidRPr="00605D6F">
        <w:rPr>
          <w:rFonts w:ascii="Times New Roman" w:hAnsi="Times New Roman" w:cs="Times New Roman"/>
          <w:lang w:val="en-GB"/>
        </w:rPr>
        <w:fldChar w:fldCharType="end"/>
      </w:r>
    </w:p>
    <w:p w:rsidR="00EE3EC1" w:rsidRPr="00605D6F" w:rsidRDefault="00EE3EC1">
      <w:pPr>
        <w:rPr>
          <w:rFonts w:ascii="Times New Roman" w:hAnsi="Times New Roman" w:cs="Times New Roman"/>
          <w:lang w:val="en-GB"/>
        </w:rPr>
      </w:pPr>
    </w:p>
    <w:p w:rsidR="00BB4677" w:rsidRPr="00605D6F" w:rsidRDefault="00BB4677">
      <w:pPr>
        <w:rPr>
          <w:rFonts w:ascii="Times New Roman" w:hAnsi="Times New Roman" w:cs="Times New Roman"/>
          <w:lang w:val="en-GB"/>
        </w:rPr>
      </w:pPr>
    </w:p>
    <w:p w:rsidR="009F7C9B" w:rsidRPr="00605D6F" w:rsidRDefault="009F7C9B">
      <w:pPr>
        <w:rPr>
          <w:rFonts w:ascii="Times New Roman" w:hAnsi="Times New Roman" w:cs="Times New Roman"/>
          <w:b/>
          <w:lang w:val="en-GB"/>
        </w:rPr>
      </w:pPr>
    </w:p>
    <w:p w:rsidR="00750C21" w:rsidRPr="00605D6F" w:rsidRDefault="00750C21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605D6F">
        <w:rPr>
          <w:rFonts w:ascii="Times New Roman" w:hAnsi="Times New Roman" w:cs="Times New Roman"/>
          <w:b/>
          <w:sz w:val="36"/>
          <w:szCs w:val="36"/>
          <w:lang w:val="en-GB"/>
        </w:rPr>
        <w:br w:type="page"/>
      </w:r>
    </w:p>
    <w:p w:rsidR="006446CE" w:rsidRPr="00605D6F" w:rsidRDefault="00DE4F26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605D6F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Supplement references</w:t>
      </w:r>
    </w:p>
    <w:p w:rsidR="00210491" w:rsidRPr="00605D6F" w:rsidRDefault="00E86795" w:rsidP="00210491">
      <w:pPr>
        <w:widowControl w:val="0"/>
        <w:autoSpaceDE w:val="0"/>
        <w:autoSpaceDN w:val="0"/>
        <w:adjustRightInd w:val="0"/>
        <w:spacing w:before="100" w:after="100" w:line="240" w:lineRule="auto"/>
        <w:ind w:left="640" w:hanging="640"/>
        <w:rPr>
          <w:rFonts w:ascii="Times New Roman" w:hAnsi="Times New Roman" w:cs="Times New Roman"/>
          <w:noProof/>
          <w:szCs w:val="24"/>
          <w:lang w:val="en-GB"/>
        </w:rPr>
      </w:pPr>
      <w:r w:rsidRPr="00605D6F">
        <w:rPr>
          <w:rFonts w:ascii="Times New Roman" w:hAnsi="Times New Roman" w:cs="Times New Roman"/>
          <w:b/>
          <w:lang w:val="en-GB"/>
        </w:rPr>
        <w:fldChar w:fldCharType="begin" w:fldLock="1"/>
      </w:r>
      <w:r w:rsidR="006446CE" w:rsidRPr="00605D6F">
        <w:rPr>
          <w:rFonts w:ascii="Times New Roman" w:hAnsi="Times New Roman" w:cs="Times New Roman"/>
          <w:b/>
          <w:lang w:val="en-GB"/>
        </w:rPr>
        <w:instrText xml:space="preserve">ADDIN Mendeley Bibliography CSL_BIBLIOGRAPHY </w:instrText>
      </w:r>
      <w:r w:rsidRPr="00605D6F">
        <w:rPr>
          <w:rFonts w:ascii="Times New Roman" w:hAnsi="Times New Roman" w:cs="Times New Roman"/>
          <w:b/>
          <w:lang w:val="en-GB"/>
        </w:rPr>
        <w:fldChar w:fldCharType="separate"/>
      </w:r>
      <w:r w:rsidR="00210491" w:rsidRPr="00605D6F">
        <w:rPr>
          <w:rFonts w:ascii="Times New Roman" w:hAnsi="Times New Roman" w:cs="Times New Roman"/>
          <w:noProof/>
          <w:szCs w:val="24"/>
          <w:lang w:val="en-GB"/>
        </w:rPr>
        <w:t xml:space="preserve">1. </w:t>
      </w:r>
      <w:r w:rsidR="00210491" w:rsidRPr="00605D6F">
        <w:rPr>
          <w:rFonts w:ascii="Times New Roman" w:hAnsi="Times New Roman" w:cs="Times New Roman"/>
          <w:noProof/>
          <w:szCs w:val="24"/>
          <w:lang w:val="en-GB"/>
        </w:rPr>
        <w:tab/>
        <w:t xml:space="preserve">Veldmeijer AJ. Studies of Ancient Egyptian Footwear. Technological Aspects. Part VI. Sewn Sandals. In: Ikram S, Dodson A, editors. Beyond the Horizon Studies in Egyptian Art, Archaeology and History in Honour of Barry J Kemp. Cairo: The Supreme Council of Antiquities; 2009. pp. 554–580. </w:t>
      </w:r>
    </w:p>
    <w:p w:rsidR="00210491" w:rsidRPr="00605D6F" w:rsidRDefault="00210491" w:rsidP="00210491">
      <w:pPr>
        <w:widowControl w:val="0"/>
        <w:autoSpaceDE w:val="0"/>
        <w:autoSpaceDN w:val="0"/>
        <w:adjustRightInd w:val="0"/>
        <w:spacing w:before="100" w:after="100" w:line="240" w:lineRule="auto"/>
        <w:ind w:left="640" w:hanging="640"/>
        <w:rPr>
          <w:rFonts w:ascii="Times New Roman" w:hAnsi="Times New Roman" w:cs="Times New Roman"/>
          <w:noProof/>
        </w:rPr>
      </w:pPr>
      <w:r w:rsidRPr="00605D6F">
        <w:rPr>
          <w:rFonts w:ascii="Times New Roman" w:hAnsi="Times New Roman" w:cs="Times New Roman"/>
          <w:noProof/>
          <w:szCs w:val="24"/>
          <w:lang w:val="en-GB"/>
        </w:rPr>
        <w:t xml:space="preserve">2. </w:t>
      </w:r>
      <w:r w:rsidRPr="00605D6F">
        <w:rPr>
          <w:rFonts w:ascii="Times New Roman" w:hAnsi="Times New Roman" w:cs="Times New Roman"/>
          <w:noProof/>
          <w:szCs w:val="24"/>
          <w:lang w:val="en-GB"/>
        </w:rPr>
        <w:tab/>
        <w:t xml:space="preserve">Willeitner J, Schmidt HC. </w:t>
      </w:r>
      <w:r w:rsidRPr="00605D6F">
        <w:rPr>
          <w:rFonts w:ascii="Times New Roman" w:hAnsi="Times New Roman" w:cs="Times New Roman"/>
          <w:noProof/>
          <w:szCs w:val="24"/>
        </w:rPr>
        <w:t xml:space="preserve">Nefertari. Gemahlin Ramses II. Mainz: Philipp Von Zabern; 1997. </w:t>
      </w:r>
    </w:p>
    <w:p w:rsidR="006446CE" w:rsidRPr="00605D6F" w:rsidRDefault="00E86795" w:rsidP="006446CE">
      <w:pPr>
        <w:pStyle w:val="StandardWeb"/>
        <w:ind w:left="640" w:hanging="640"/>
        <w:rPr>
          <w:b/>
          <w:lang w:val="en-GB"/>
        </w:rPr>
      </w:pPr>
      <w:r w:rsidRPr="00605D6F">
        <w:rPr>
          <w:b/>
          <w:sz w:val="22"/>
          <w:szCs w:val="22"/>
          <w:lang w:val="en-GB"/>
        </w:rPr>
        <w:fldChar w:fldCharType="end"/>
      </w:r>
      <w:bookmarkStart w:id="0" w:name="_GoBack"/>
      <w:bookmarkEnd w:id="0"/>
    </w:p>
    <w:sectPr w:rsidR="006446CE" w:rsidRPr="00605D6F" w:rsidSect="00B46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7F7"/>
    <w:multiLevelType w:val="hybridMultilevel"/>
    <w:tmpl w:val="A1BAE5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974"/>
    <w:multiLevelType w:val="hybridMultilevel"/>
    <w:tmpl w:val="6F301B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94834"/>
    <w:multiLevelType w:val="hybridMultilevel"/>
    <w:tmpl w:val="71ECD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3960"/>
    <w:rsid w:val="000D3960"/>
    <w:rsid w:val="002073E9"/>
    <w:rsid w:val="00210491"/>
    <w:rsid w:val="00277C07"/>
    <w:rsid w:val="002A0EEC"/>
    <w:rsid w:val="00605D6F"/>
    <w:rsid w:val="006446CE"/>
    <w:rsid w:val="00670AC9"/>
    <w:rsid w:val="006A7E3C"/>
    <w:rsid w:val="00716811"/>
    <w:rsid w:val="00750C21"/>
    <w:rsid w:val="007C2FF5"/>
    <w:rsid w:val="008545D6"/>
    <w:rsid w:val="00877381"/>
    <w:rsid w:val="0089248C"/>
    <w:rsid w:val="008E6163"/>
    <w:rsid w:val="009F7C9B"/>
    <w:rsid w:val="00AA4300"/>
    <w:rsid w:val="00AD3B31"/>
    <w:rsid w:val="00B00BEC"/>
    <w:rsid w:val="00B167AB"/>
    <w:rsid w:val="00B46A4D"/>
    <w:rsid w:val="00BB4677"/>
    <w:rsid w:val="00C82BFD"/>
    <w:rsid w:val="00D1064A"/>
    <w:rsid w:val="00D44AE4"/>
    <w:rsid w:val="00DE4F26"/>
    <w:rsid w:val="00E86795"/>
    <w:rsid w:val="00EA71D4"/>
    <w:rsid w:val="00EE3EC1"/>
    <w:rsid w:val="00EF7203"/>
    <w:rsid w:val="00F02A92"/>
    <w:rsid w:val="00F3417A"/>
    <w:rsid w:val="00F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3EC1"/>
    <w:pPr>
      <w:spacing w:after="0" w:line="240" w:lineRule="auto"/>
    </w:pPr>
    <w:rPr>
      <w:lang w:val="en-US" w:bidi="en-US"/>
    </w:rPr>
  </w:style>
  <w:style w:type="character" w:customStyle="1" w:styleId="tspvalue">
    <w:name w:val="tspvalue"/>
    <w:basedOn w:val="Absatz-Standardschriftart"/>
    <w:rsid w:val="00EE3EC1"/>
  </w:style>
  <w:style w:type="paragraph" w:styleId="StandardWeb">
    <w:name w:val="Normal (Web)"/>
    <w:basedOn w:val="Standard"/>
    <w:uiPriority w:val="99"/>
    <w:unhideWhenUsed/>
    <w:rsid w:val="00EE3E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table" w:styleId="Tabellengitternetz">
    <w:name w:val="Table Grid"/>
    <w:basedOn w:val="NormaleTabelle"/>
    <w:uiPriority w:val="59"/>
    <w:rsid w:val="00F3417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E4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k.ruehli@iem.uzh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BB5C-3E3E-4AF7-90C2-6EEC5ADE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m.habicht</dc:creator>
  <cp:lastModifiedBy>Habicht Michael</cp:lastModifiedBy>
  <cp:revision>13</cp:revision>
  <cp:lastPrinted>2016-11-02T19:33:00Z</cp:lastPrinted>
  <dcterms:created xsi:type="dcterms:W3CDTF">2016-07-11T11:13:00Z</dcterms:created>
  <dcterms:modified xsi:type="dcterms:W3CDTF">2016-11-05T15:26:00Z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peret.em.heru@gmail.com@www.mendeley.com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http://www.zotero.org/styles/antiquity</vt:lpwstr>
  </property>
  <property fmtid="{D5CDD505-2E9C-101B-9397-08002B2CF9AE}" pid="12" name="Mendeley Recent Style Name 3_1">
    <vt:lpwstr>Antiquity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http://www.zotero.org/styles/journal-of-archaeological-science</vt:lpwstr>
  </property>
  <property fmtid="{D5CDD505-2E9C-101B-9397-08002B2CF9AE}" pid="16" name="Mendeley Recent Style Name 5_1">
    <vt:lpwstr>Journal of Archaeological Science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http://www.zotero.org/styles/world-archaeology</vt:lpwstr>
  </property>
  <property fmtid="{D5CDD505-2E9C-101B-9397-08002B2CF9AE}" pid="24" name="Mendeley Recent Style Name 9_1">
    <vt:lpwstr>World Archaeology</vt:lpwstr>
  </property>
</Properties>
</file>