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04ED" w14:textId="77777777" w:rsidR="008C23C8" w:rsidRPr="00F167C5" w:rsidRDefault="008C23C8" w:rsidP="008C23C8">
      <w:pPr>
        <w:spacing w:line="480" w:lineRule="auto"/>
        <w:jc w:val="both"/>
        <w:outlineLvl w:val="0"/>
        <w:rPr>
          <w:rFonts w:ascii="Times New Roman" w:hAnsi="Times New Roman"/>
          <w:b/>
          <w:color w:val="000000"/>
          <w:sz w:val="20"/>
          <w:szCs w:val="20"/>
          <w:lang w:val="en-US"/>
        </w:rPr>
      </w:pPr>
      <w:bookmarkStart w:id="0" w:name="_GoBack"/>
      <w:bookmarkEnd w:id="0"/>
      <w:r w:rsidRPr="00F167C5">
        <w:rPr>
          <w:rFonts w:ascii="Times New Roman" w:hAnsi="Times New Roman"/>
          <w:b/>
          <w:color w:val="000000"/>
          <w:sz w:val="20"/>
          <w:szCs w:val="20"/>
          <w:lang w:val="en-US"/>
        </w:rPr>
        <w:t>Definitions:</w:t>
      </w:r>
    </w:p>
    <w:p w14:paraId="7397ED0F" w14:textId="77777777" w:rsidR="008C23C8" w:rsidRPr="00F167C5" w:rsidRDefault="008C23C8" w:rsidP="008C23C8">
      <w:pPr>
        <w:spacing w:line="480" w:lineRule="auto"/>
        <w:jc w:val="both"/>
        <w:rPr>
          <w:rFonts w:ascii="Times New Roman" w:hAnsi="Times New Roman"/>
          <w:color w:val="000000"/>
          <w:sz w:val="20"/>
          <w:szCs w:val="20"/>
          <w:lang w:val="en-US"/>
        </w:rPr>
      </w:pPr>
      <w:r w:rsidRPr="00F167C5">
        <w:rPr>
          <w:rFonts w:ascii="Times New Roman" w:hAnsi="Times New Roman"/>
          <w:color w:val="000000"/>
          <w:sz w:val="20"/>
          <w:szCs w:val="20"/>
          <w:lang w:val="en-US"/>
        </w:rPr>
        <w:t xml:space="preserve">- Postpartum hemorrhage was diagnosed when </w:t>
      </w:r>
      <w:r w:rsidRPr="00F167C5">
        <w:rPr>
          <w:rStyle w:val="st1"/>
          <w:rFonts w:ascii="Times New Roman" w:hAnsi="Times New Roman"/>
          <w:bCs/>
          <w:color w:val="000000"/>
          <w:sz w:val="20"/>
          <w:szCs w:val="20"/>
          <w:lang w:val="en-US"/>
        </w:rPr>
        <w:t>blood</w:t>
      </w:r>
      <w:r w:rsidRPr="00F167C5">
        <w:rPr>
          <w:rStyle w:val="st1"/>
          <w:rFonts w:ascii="Times New Roman" w:hAnsi="Times New Roman"/>
          <w:color w:val="000000"/>
          <w:sz w:val="20"/>
          <w:szCs w:val="20"/>
          <w:lang w:val="en-US"/>
        </w:rPr>
        <w:t xml:space="preserve"> loss in the first 24 hours after delivery was greater than 500 ml following </w:t>
      </w:r>
      <w:r w:rsidRPr="00F167C5">
        <w:rPr>
          <w:rStyle w:val="st1"/>
          <w:rFonts w:ascii="Times New Roman" w:hAnsi="Times New Roman"/>
          <w:bCs/>
          <w:color w:val="000000"/>
          <w:sz w:val="20"/>
          <w:szCs w:val="20"/>
          <w:lang w:val="en-US"/>
        </w:rPr>
        <w:t>vaginal delivery</w:t>
      </w:r>
      <w:r w:rsidRPr="00F167C5">
        <w:rPr>
          <w:rStyle w:val="st1"/>
          <w:rFonts w:ascii="Times New Roman" w:hAnsi="Times New Roman"/>
          <w:color w:val="000000"/>
          <w:sz w:val="20"/>
          <w:szCs w:val="20"/>
          <w:lang w:val="en-US"/>
        </w:rPr>
        <w:t xml:space="preserve"> or 1000 ml following cesarean section</w:t>
      </w:r>
      <w:r w:rsidRPr="00F167C5">
        <w:rPr>
          <w:rStyle w:val="st1"/>
          <w:rFonts w:ascii="Times New Roman" w:hAnsi="Times New Roman"/>
          <w:color w:val="000000"/>
          <w:sz w:val="20"/>
          <w:szCs w:val="20"/>
          <w:lang w:val="en-US"/>
        </w:rPr>
        <w:fldChar w:fldCharType="begin"/>
      </w:r>
      <w:r w:rsidRPr="00F167C5">
        <w:rPr>
          <w:rStyle w:val="st1"/>
          <w:rFonts w:ascii="Times New Roman" w:hAnsi="Times New Roman"/>
          <w:color w:val="000000"/>
          <w:sz w:val="20"/>
          <w:szCs w:val="20"/>
          <w:lang w:val="en-US"/>
        </w:rPr>
        <w:instrText xml:space="preserve"> ADDIN ZOTERO_ITEM CSL_CITATION {"citationID":"K0Cp7oWg","properties":{"formattedCitation":"(1)","plainCitation":"(1)"},"citationItems":[{"id":62,"uris":["http://zotero.org/users/local/laTwZsVP/items/HIEUASTR"],"uri":["http://zotero.org/users/local/laTwZsVP/items/HIEUASTR"],"itemData":{"id":62,"type":"article-journal","title":"[Postpartum hemorrhage: frequency, consequences in terms of health status, and risk factors before delivery]","container-title":"Journal De Gynécologie, Obstétrique Et Biologie De La Reproduction","page":"4S9-4S16","volume":"33","issue":"8 Suppl","source":"PubMed","abstract":"In the developing countries, postpartum hemorrhage is the leading cause of maternal death and affects approximately 1% of pregnant women. In developed countries like ours, maternal mortality is one hundred fold lower but remains the cause of maternal death for about 10 women per 100,000 births. In the last decade, French confidential inquiries show that the number of maternal deaths by postpartum hemorrhage are probably the double of the number in nearby countries, whereas hemorrhage should no longer be the leading cause of maternal death in our countries. Postpartum hemorrhage is defined as the loss of 500 ml or more blood in the 24 hours following delivery (5% of deliveries), but maternal tolerance is really threatened starting from 1,000 ml (1% of the women approximately). \"Life-threatening\" situations concern approximately one patient in one thousand so that obstetricians are rarely faced with this situation. For maternal morbidity or mortality, the risk factors of postpartum hemorrhage are nearly the same: maternal age, multiple pregnancies, uterine scars, abruptio placentae, cesarean section, poor social condition and absence of prenatal care constitute the main risk factors of postpartum hemorrhage. Maternal age must be kept in mind because it is the most related to mortality by hemorrhage, even if prevention is difficult. However, progress in delivery care which are applied to all the patients could make it possible to limit the harmful effects of this risk factor. A recent study showed that organizational factors also part of the factors of risk of maternal morbidity/mortality and could be studied for intervention.","ISSN":"0368-2315","note":"00043 \nPMID: 15577727","shortTitle":"[Postpartum hemorrhage","journalAbbreviation":"J Gynecol Obstet Biol Reprod (Paris)","language":"fre","author":[{"family":"Subtil","given":"D."},{"family":"Sommé","given":"A."},{"family":"Ardiet","given":"E."},{"family":"Depret-Mosser","given":"S."}],"issued":{"date-parts":[["2004",12]]},"PMID":"15577727"}}],"schema":"https://github.com/citation-style-language/schema/raw/master/csl-citation.json"} </w:instrText>
      </w:r>
      <w:r w:rsidRPr="00F167C5">
        <w:rPr>
          <w:rStyle w:val="st1"/>
          <w:rFonts w:ascii="Times New Roman" w:hAnsi="Times New Roman"/>
          <w:color w:val="000000"/>
          <w:sz w:val="20"/>
          <w:szCs w:val="20"/>
          <w:lang w:val="en-US"/>
        </w:rPr>
        <w:fldChar w:fldCharType="separate"/>
      </w:r>
      <w:r w:rsidRPr="00F167C5">
        <w:rPr>
          <w:rStyle w:val="st1"/>
          <w:rFonts w:ascii="Times New Roman" w:hAnsi="Times New Roman"/>
          <w:noProof/>
          <w:color w:val="000000"/>
          <w:sz w:val="20"/>
          <w:szCs w:val="20"/>
          <w:lang w:val="en-US"/>
        </w:rPr>
        <w:t xml:space="preserve"> </w:t>
      </w:r>
      <w:r w:rsidRPr="00F167C5">
        <w:rPr>
          <w:rStyle w:val="st1"/>
          <w:rFonts w:ascii="Times New Roman" w:hAnsi="Times New Roman"/>
          <w:noProof/>
          <w:color w:val="000000"/>
          <w:sz w:val="20"/>
          <w:szCs w:val="20"/>
          <w:lang w:val="en-US"/>
        </w:rPr>
        <w:sym w:font="Symbol" w:char="F05B"/>
      </w:r>
      <w:r w:rsidRPr="00F167C5">
        <w:rPr>
          <w:rStyle w:val="st1"/>
          <w:rFonts w:ascii="Times New Roman" w:hAnsi="Times New Roman"/>
          <w:noProof/>
          <w:color w:val="000000"/>
          <w:sz w:val="20"/>
          <w:szCs w:val="20"/>
          <w:lang w:val="en-US"/>
        </w:rPr>
        <w:t>1</w:t>
      </w:r>
      <w:r w:rsidRPr="00F167C5">
        <w:rPr>
          <w:rStyle w:val="st1"/>
          <w:rFonts w:ascii="Times New Roman" w:hAnsi="Times New Roman"/>
          <w:color w:val="000000"/>
          <w:sz w:val="20"/>
          <w:szCs w:val="20"/>
          <w:lang w:val="en-US"/>
        </w:rPr>
        <w:fldChar w:fldCharType="end"/>
      </w:r>
      <w:r w:rsidRPr="00F167C5">
        <w:rPr>
          <w:rStyle w:val="st1"/>
          <w:rFonts w:ascii="Times New Roman" w:hAnsi="Times New Roman"/>
          <w:color w:val="000000"/>
          <w:sz w:val="20"/>
          <w:szCs w:val="20"/>
          <w:lang w:val="en-US"/>
        </w:rPr>
        <w:sym w:font="Symbol" w:char="F05D"/>
      </w:r>
      <w:r w:rsidRPr="00F167C5">
        <w:rPr>
          <w:rFonts w:ascii="Times New Roman" w:hAnsi="Times New Roman"/>
          <w:color w:val="000000"/>
          <w:sz w:val="20"/>
          <w:szCs w:val="20"/>
          <w:lang w:val="en-US"/>
        </w:rPr>
        <w:t xml:space="preserve">. </w:t>
      </w:r>
    </w:p>
    <w:p w14:paraId="266E470C" w14:textId="77777777" w:rsidR="008C23C8" w:rsidRPr="00F167C5" w:rsidRDefault="008C23C8" w:rsidP="008C23C8">
      <w:pPr>
        <w:spacing w:line="480" w:lineRule="auto"/>
        <w:jc w:val="both"/>
        <w:rPr>
          <w:rFonts w:ascii="Times New Roman" w:hAnsi="Times New Roman"/>
          <w:color w:val="000000"/>
          <w:sz w:val="20"/>
          <w:szCs w:val="20"/>
          <w:lang w:val="en-US"/>
        </w:rPr>
      </w:pPr>
      <w:r w:rsidRPr="00F167C5">
        <w:rPr>
          <w:rFonts w:ascii="Times New Roman" w:hAnsi="Times New Roman"/>
          <w:color w:val="000000"/>
          <w:sz w:val="20"/>
          <w:szCs w:val="20"/>
          <w:lang w:val="en-US"/>
        </w:rPr>
        <w:t xml:space="preserve">- Preeclampsia was diagnosed if blood pressure was ≥ 140/90 mmHg and proteinuria ≥ 300 mg/day at anytime from week 20 of gestation </w:t>
      </w:r>
      <w:r w:rsidRPr="00F167C5">
        <w:rPr>
          <w:rFonts w:ascii="Times New Roman" w:hAnsi="Times New Roman"/>
          <w:color w:val="000000"/>
          <w:sz w:val="20"/>
          <w:szCs w:val="20"/>
          <w:lang w:val="en-US"/>
        </w:rPr>
        <w:fldChar w:fldCharType="begin"/>
      </w:r>
      <w:r w:rsidRPr="00F167C5">
        <w:rPr>
          <w:rFonts w:ascii="Times New Roman" w:hAnsi="Times New Roman"/>
          <w:color w:val="000000"/>
          <w:sz w:val="20"/>
          <w:szCs w:val="20"/>
          <w:lang w:val="en-US"/>
        </w:rPr>
        <w:instrText xml:space="preserve"> ADDIN ZOTERO_ITEM CSL_CITATION {"citationID":"OmcolcWB","properties":{"formattedCitation":"(2)","plainCitation":"(2)"},"citationItems":[{"id":64,"uris":["http://zotero.org/users/local/laTwZsVP/items/PDAIV2BW"],"uri":["http://zotero.org/users/local/laTwZsVP/items/PDAIV2BW"],"itemData":{"id":64,"type":"article-journal","title":"ACOG practice bulletin. Diagnosis and management of preeclampsia and eclampsia. Number 33, January 2002","container-title":"Obstetrics and Gynecology","page":"159-167","volume":"99","issue":"1","source":"PubMed","abstract":"Hypertensive disease occurs in approximately 12-22% of pregnancies, and it is directly responsible for 17.6% of maternal deaths in the United States (1,2). However, there is confusion about the terminology and classification of these disorders. This bulletin will provide guidelines for the diagnosis and management of hypertensive disorders unique to pregnancy (ie, preeclampsia and eclampsia), as well as the various associated complications. Chronic hypertension has been discussed elsewhere (3).","ISSN":"0029-7844","note":"00000 \nPMID: 16175681","journalAbbreviation":"Obstet Gynecol","language":"eng","author":[{"literal":"ACOG Committee on Practice Bulletins--Obstetrics"}],"issued":{"date-parts":[["2002",1]]},"PMID":"16175681"}}],"schema":"https://github.com/citation-style-language/schema/raw/master/csl-citation.json"} </w:instrText>
      </w:r>
      <w:r w:rsidRPr="00F167C5">
        <w:rPr>
          <w:rFonts w:ascii="Times New Roman" w:hAnsi="Times New Roman"/>
          <w:color w:val="000000"/>
          <w:sz w:val="20"/>
          <w:szCs w:val="20"/>
          <w:lang w:val="en-US"/>
        </w:rPr>
        <w:fldChar w:fldCharType="separate"/>
      </w:r>
      <w:r w:rsidRPr="00F167C5">
        <w:rPr>
          <w:rFonts w:ascii="Times New Roman" w:hAnsi="Times New Roman"/>
          <w:noProof/>
          <w:color w:val="000000"/>
          <w:sz w:val="20"/>
          <w:szCs w:val="20"/>
          <w:lang w:val="en-US"/>
        </w:rPr>
        <w:sym w:font="Symbol" w:char="F05B"/>
      </w:r>
      <w:r w:rsidRPr="00F167C5">
        <w:rPr>
          <w:rFonts w:ascii="Times New Roman" w:hAnsi="Times New Roman"/>
          <w:noProof/>
          <w:color w:val="000000"/>
          <w:sz w:val="20"/>
          <w:szCs w:val="20"/>
          <w:lang w:val="en-US"/>
        </w:rPr>
        <w:t>2</w:t>
      </w:r>
      <w:r w:rsidRPr="00F167C5">
        <w:rPr>
          <w:rFonts w:ascii="Times New Roman" w:hAnsi="Times New Roman"/>
          <w:color w:val="000000"/>
          <w:sz w:val="20"/>
          <w:szCs w:val="20"/>
          <w:lang w:val="en-US"/>
        </w:rPr>
        <w:fldChar w:fldCharType="end"/>
      </w:r>
      <w:r w:rsidRPr="00F167C5">
        <w:rPr>
          <w:rFonts w:ascii="Times New Roman" w:hAnsi="Times New Roman"/>
          <w:color w:val="000000"/>
          <w:sz w:val="20"/>
          <w:szCs w:val="20"/>
          <w:lang w:val="en-US"/>
        </w:rPr>
        <w:sym w:font="Symbol" w:char="F05D"/>
      </w:r>
      <w:r w:rsidRPr="00F167C5">
        <w:rPr>
          <w:rFonts w:ascii="Times New Roman" w:hAnsi="Times New Roman"/>
          <w:color w:val="000000"/>
          <w:sz w:val="20"/>
          <w:szCs w:val="20"/>
          <w:lang w:val="en-US"/>
        </w:rPr>
        <w:fldChar w:fldCharType="begin"/>
      </w:r>
      <w:r w:rsidRPr="00F167C5">
        <w:rPr>
          <w:rFonts w:ascii="Times New Roman" w:hAnsi="Times New Roman"/>
          <w:color w:val="000000"/>
          <w:sz w:val="20"/>
          <w:szCs w:val="20"/>
          <w:lang w:val="en-US"/>
        </w:rPr>
        <w:instrText xml:space="preserve"> ADDIN ZOTERO_ITEM CSL_CITATION {"citationID":"XIOWVSnh","properties":{"formattedCitation":"(8)","plainCitation":"(8)","dontUpdate":true},"citationItems":[{"id":384,"uris":["http://zotero.org/users/1235004/items/PDIU3NPJ"],"uri":["http://zotero.org/users/1235004/items/PDIU3NPJ"],"itemData":{"id":384,"type":"article-journal","title":"ACOG practice bulletin. Diagnosis and management of preeclampsia and eclampsia. Number 33, January 2002","container-title":"Obstetrics and gynecology","page":"159-167","volume":"99","issue":"1","source":"NCBI PubMed","abstract":"Hypertensive disease occurs in approximately 12-22% of pregnancies, and it is directly responsible for 17.6% of maternal deaths in the United States (1,2). However, there is confusion about the terminology and classification of these disorders. This bulletin will provide guidelines for the diagnosis and management of hypertensive disorders unique to pregnancy (ie, preeclampsia and eclampsia), as well as the various associated complications. Chronic hypertension has been discussed elsewhere (3).","ISSN":"0029-7844","note":"PMID: 16175681","journalAbbreviation":"Obstet Gynecol","language":"eng","issued":{"date-parts":[["2002",1]]},"PMID":"16175681"}}],"schema":"https://github.com/citation-style-language/schema/raw/master/csl-citation.json"} </w:instrText>
      </w:r>
      <w:r w:rsidRPr="00F167C5">
        <w:rPr>
          <w:rFonts w:ascii="Times New Roman" w:hAnsi="Times New Roman"/>
          <w:color w:val="000000"/>
          <w:sz w:val="20"/>
          <w:szCs w:val="20"/>
          <w:lang w:val="en-US"/>
        </w:rPr>
        <w:fldChar w:fldCharType="end"/>
      </w:r>
      <w:r w:rsidRPr="00F167C5">
        <w:rPr>
          <w:rFonts w:ascii="Times New Roman" w:hAnsi="Times New Roman"/>
          <w:color w:val="000000"/>
          <w:sz w:val="20"/>
          <w:szCs w:val="20"/>
          <w:lang w:val="en-US"/>
        </w:rPr>
        <w:t xml:space="preserve">. HELLP syndrome was defined by the combination of thrombocytopenia (&lt; 100 G/L), elevated liver enzymes (AST &gt; 70 UI/L) and hemolysis. Hemolysis was defined by a bilirubin &gt; 12 mg/L, LDH &gt; 600 UI/L, </w:t>
      </w:r>
      <w:proofErr w:type="spellStart"/>
      <w:r w:rsidRPr="00F167C5">
        <w:rPr>
          <w:rFonts w:ascii="Times New Roman" w:hAnsi="Times New Roman"/>
          <w:color w:val="000000"/>
          <w:sz w:val="20"/>
          <w:szCs w:val="20"/>
          <w:lang w:val="en-US"/>
        </w:rPr>
        <w:t>haptoglobin</w:t>
      </w:r>
      <w:proofErr w:type="spellEnd"/>
      <w:r w:rsidRPr="00F167C5">
        <w:rPr>
          <w:rFonts w:ascii="Times New Roman" w:hAnsi="Times New Roman"/>
          <w:color w:val="000000"/>
          <w:sz w:val="20"/>
          <w:szCs w:val="20"/>
          <w:lang w:val="en-US"/>
        </w:rPr>
        <w:t xml:space="preserve"> &lt; 0.5 mg/L, and presence of more than 0.5% </w:t>
      </w:r>
      <w:proofErr w:type="spellStart"/>
      <w:r w:rsidRPr="00F167C5">
        <w:rPr>
          <w:rFonts w:ascii="Times New Roman" w:hAnsi="Times New Roman"/>
          <w:color w:val="000000"/>
          <w:sz w:val="20"/>
          <w:szCs w:val="20"/>
          <w:lang w:val="en-US"/>
        </w:rPr>
        <w:t>schyzocytes</w:t>
      </w:r>
      <w:proofErr w:type="spellEnd"/>
      <w:r w:rsidRPr="00F167C5">
        <w:rPr>
          <w:rFonts w:ascii="Times New Roman" w:hAnsi="Times New Roman"/>
          <w:color w:val="000000"/>
          <w:sz w:val="20"/>
          <w:szCs w:val="20"/>
          <w:lang w:val="en-US"/>
        </w:rPr>
        <w:t xml:space="preserve">. In patients who presented a postpartum hemorrhage and/or needed platelet transfusion, the decrease in platelet count was not used as diagnostic criteria of HELLP syndrome, except when the HELLP syndrome had clearly preceded the hemorrhagic complication </w:t>
      </w:r>
      <w:r w:rsidRPr="00F167C5">
        <w:rPr>
          <w:rFonts w:ascii="Times New Roman" w:hAnsi="Times New Roman"/>
          <w:color w:val="000000"/>
          <w:sz w:val="20"/>
          <w:szCs w:val="20"/>
          <w:lang w:val="en-US"/>
        </w:rPr>
        <w:sym w:font="Symbol" w:char="F05B"/>
      </w:r>
      <w:r w:rsidRPr="00F167C5">
        <w:rPr>
          <w:rFonts w:ascii="Times New Roman" w:hAnsi="Times New Roman"/>
          <w:color w:val="000000"/>
          <w:sz w:val="20"/>
          <w:szCs w:val="20"/>
          <w:lang w:val="en-US"/>
        </w:rPr>
        <w:fldChar w:fldCharType="begin"/>
      </w:r>
      <w:r w:rsidRPr="00F167C5">
        <w:rPr>
          <w:rFonts w:ascii="Times New Roman" w:hAnsi="Times New Roman"/>
          <w:color w:val="000000"/>
          <w:sz w:val="20"/>
          <w:szCs w:val="20"/>
          <w:lang w:val="en-US"/>
        </w:rPr>
        <w:instrText xml:space="preserve"> ADDIN ZOTERO_ITEM CSL_CITATION {"citationID":"sawLHTpT","properties":{"formattedCitation":"(4)","plainCitation":"(4)"},"citationItems":[{"id":66,"uris":["http://zotero.org/users/local/laTwZsVP/items/FG444G8R"],"uri":["http://zotero.org/users/local/laTwZsVP/items/FG444G8R"],"itemData":{"id":66,"type":"article-journal","title":"The HELLP syndrome (hemolysis, elevated liver enzymes, and low platelets): much ado about nothing?","container-title":"American Journal of Obstetrics and Gynecology","page":"311-316","volume":"162","issue":"2","source":"PubMed","abstract":"The question of whether the HELLP syndrome exists as a distinct entity or is part of a spectrum of pregnancy complications, which have in common hemolysis, elevated liver enzymes, and thrombocytopenia, has long been a source of speculation and debate among obstetricians and internists. A review of the literature indicates a definite need for a uniform definition, diagnosis, and management of this syndrome. Patients manifesting this syndrome usually are seen before term (less than 36 weeks' gestation) complaining of malaise (90%), epigastric or right upper-quadrant pain (90%), and nausea or vomiting (50%), and some will have nonspecific viral-syndrome-like symptoms. Hypertension and proteinuria may be absent or slight. Thus some of these patients may have a variety of signs and symptoms, none of which are diagnostic of classic preeclampsia. In consideration of the high maternal and perinatal mortality and morbidity reported with the presence of this syndrome, I recommend that all pregnant women having any of these symptoms should have a complete blood cell count with platelet and liver enzyme determinations irrespective of maternal blood pressure.","ISSN":"0002-9378","note":"00744 \nPMID: 2309811","shortTitle":"The HELLP syndrome (hemolysis, elevated liver enzymes, and low platelets)","journalAbbreviation":"Am. J. Obstet. Gynecol.","language":"eng","author":[{"family":"Sibai","given":"B. M."}],"issued":{"date-parts":[["1990",2]]},"PMID":"2309811"}}],"schema":"https://github.com/citation-style-language/schema/raw/master/csl-citation.json"} </w:instrText>
      </w:r>
      <w:r w:rsidRPr="00F167C5">
        <w:rPr>
          <w:rFonts w:ascii="Times New Roman" w:hAnsi="Times New Roman"/>
          <w:color w:val="000000"/>
          <w:sz w:val="20"/>
          <w:szCs w:val="20"/>
          <w:lang w:val="en-US"/>
        </w:rPr>
        <w:fldChar w:fldCharType="separate"/>
      </w:r>
      <w:r w:rsidRPr="00F167C5">
        <w:rPr>
          <w:rFonts w:ascii="Times New Roman" w:hAnsi="Times New Roman"/>
          <w:noProof/>
          <w:color w:val="000000"/>
          <w:sz w:val="20"/>
          <w:szCs w:val="20"/>
          <w:lang w:val="en-US"/>
        </w:rPr>
        <w:t>3</w:t>
      </w:r>
      <w:r w:rsidRPr="00F167C5">
        <w:rPr>
          <w:rFonts w:ascii="Times New Roman" w:hAnsi="Times New Roman"/>
          <w:noProof/>
          <w:color w:val="000000"/>
          <w:sz w:val="20"/>
          <w:szCs w:val="20"/>
          <w:lang w:val="en-US"/>
        </w:rPr>
        <w:sym w:font="Symbol" w:char="F05D"/>
      </w:r>
      <w:r w:rsidRPr="00F167C5">
        <w:rPr>
          <w:rFonts w:ascii="Times New Roman" w:hAnsi="Times New Roman"/>
          <w:color w:val="000000"/>
          <w:sz w:val="20"/>
          <w:szCs w:val="20"/>
          <w:lang w:val="en-US"/>
        </w:rPr>
        <w:fldChar w:fldCharType="end"/>
      </w:r>
      <w:r w:rsidRPr="00F167C5">
        <w:rPr>
          <w:rFonts w:ascii="Times New Roman" w:hAnsi="Times New Roman"/>
          <w:color w:val="000000"/>
          <w:sz w:val="20"/>
          <w:szCs w:val="20"/>
          <w:lang w:val="en-US"/>
        </w:rPr>
        <w:t xml:space="preserve">. </w:t>
      </w:r>
    </w:p>
    <w:p w14:paraId="6FA84EBB" w14:textId="77777777" w:rsidR="008C23C8" w:rsidRPr="00F167C5" w:rsidRDefault="008C23C8" w:rsidP="008C23C8">
      <w:pPr>
        <w:spacing w:line="480" w:lineRule="auto"/>
        <w:jc w:val="both"/>
        <w:rPr>
          <w:rFonts w:ascii="Times New Roman" w:hAnsi="Times New Roman"/>
          <w:color w:val="000000"/>
          <w:sz w:val="20"/>
          <w:szCs w:val="20"/>
          <w:lang w:val="en-US"/>
        </w:rPr>
      </w:pPr>
      <w:r w:rsidRPr="00F167C5">
        <w:rPr>
          <w:rFonts w:ascii="Times New Roman" w:hAnsi="Times New Roman"/>
          <w:color w:val="000000"/>
          <w:sz w:val="20"/>
          <w:szCs w:val="20"/>
          <w:lang w:val="en-US"/>
        </w:rPr>
        <w:t xml:space="preserve">- Criteria for diagnosis of acute fatty liver disease of pregnancy include six or more of the following (Swansea criteria): Vomiting, abdominal pain, polydipsia/polyuria, encephalopathy, elevated bilirubin (&gt;14 </w:t>
      </w:r>
      <w:r w:rsidRPr="00F167C5">
        <w:rPr>
          <w:rFonts w:ascii="Times New Roman" w:hAnsi="Times New Roman"/>
          <w:color w:val="000000"/>
          <w:sz w:val="20"/>
          <w:szCs w:val="20"/>
          <w:lang w:val="en-US"/>
        </w:rPr>
        <w:sym w:font="Symbol" w:char="F06D"/>
      </w:r>
      <w:proofErr w:type="spellStart"/>
      <w:r w:rsidRPr="00F167C5">
        <w:rPr>
          <w:rFonts w:ascii="Times New Roman" w:hAnsi="Times New Roman"/>
          <w:color w:val="000000"/>
          <w:sz w:val="20"/>
          <w:szCs w:val="20"/>
          <w:lang w:val="en-US"/>
        </w:rPr>
        <w:t>mol</w:t>
      </w:r>
      <w:proofErr w:type="spellEnd"/>
      <w:r w:rsidRPr="00F167C5">
        <w:rPr>
          <w:rFonts w:ascii="Times New Roman" w:hAnsi="Times New Roman"/>
          <w:color w:val="000000"/>
          <w:sz w:val="20"/>
          <w:szCs w:val="20"/>
          <w:lang w:val="en-US"/>
        </w:rPr>
        <w:t xml:space="preserve">/L), hypoglycemia (&lt;4 </w:t>
      </w:r>
      <w:r w:rsidRPr="00F167C5">
        <w:rPr>
          <w:rFonts w:ascii="Times New Roman" w:hAnsi="Times New Roman"/>
          <w:color w:val="000000"/>
          <w:sz w:val="20"/>
          <w:szCs w:val="20"/>
          <w:lang w:val="en-US"/>
        </w:rPr>
        <w:sym w:font="Symbol" w:char="F06D"/>
      </w:r>
      <w:proofErr w:type="spellStart"/>
      <w:r w:rsidRPr="00F167C5">
        <w:rPr>
          <w:rFonts w:ascii="Times New Roman" w:hAnsi="Times New Roman"/>
          <w:color w:val="000000"/>
          <w:sz w:val="20"/>
          <w:szCs w:val="20"/>
          <w:lang w:val="en-US"/>
        </w:rPr>
        <w:t>mol</w:t>
      </w:r>
      <w:proofErr w:type="spellEnd"/>
      <w:r w:rsidRPr="00F167C5">
        <w:rPr>
          <w:rFonts w:ascii="Times New Roman" w:hAnsi="Times New Roman"/>
          <w:color w:val="000000"/>
          <w:sz w:val="20"/>
          <w:szCs w:val="20"/>
          <w:lang w:val="en-US"/>
        </w:rPr>
        <w:t xml:space="preserve">/L), elevated blood uric acid (&gt;340 </w:t>
      </w:r>
      <w:r w:rsidRPr="00F167C5">
        <w:rPr>
          <w:rFonts w:ascii="Times New Roman" w:hAnsi="Times New Roman"/>
          <w:color w:val="000000"/>
          <w:sz w:val="20"/>
          <w:szCs w:val="20"/>
          <w:lang w:val="en-US"/>
        </w:rPr>
        <w:sym w:font="Symbol" w:char="F06D"/>
      </w:r>
      <w:proofErr w:type="spellStart"/>
      <w:r w:rsidRPr="00F167C5">
        <w:rPr>
          <w:rFonts w:ascii="Times New Roman" w:hAnsi="Times New Roman"/>
          <w:color w:val="000000"/>
          <w:sz w:val="20"/>
          <w:szCs w:val="20"/>
          <w:lang w:val="en-US"/>
        </w:rPr>
        <w:t>mol</w:t>
      </w:r>
      <w:proofErr w:type="spellEnd"/>
      <w:r w:rsidRPr="00F167C5">
        <w:rPr>
          <w:rFonts w:ascii="Times New Roman" w:hAnsi="Times New Roman"/>
          <w:color w:val="000000"/>
          <w:sz w:val="20"/>
          <w:szCs w:val="20"/>
          <w:lang w:val="en-US"/>
        </w:rPr>
        <w:t>/L), leukocytosis (&gt;11 × 10</w:t>
      </w:r>
      <w:r w:rsidRPr="00F167C5">
        <w:rPr>
          <w:rFonts w:ascii="Times New Roman" w:hAnsi="Times New Roman"/>
          <w:color w:val="000000"/>
          <w:sz w:val="20"/>
          <w:szCs w:val="20"/>
          <w:vertAlign w:val="superscript"/>
          <w:lang w:val="en-US"/>
        </w:rPr>
        <w:t>9</w:t>
      </w:r>
      <w:r w:rsidRPr="00F167C5">
        <w:rPr>
          <w:rFonts w:ascii="Times New Roman" w:hAnsi="Times New Roman"/>
          <w:color w:val="000000"/>
          <w:sz w:val="20"/>
          <w:szCs w:val="20"/>
          <w:lang w:val="en-US"/>
        </w:rPr>
        <w:t xml:space="preserve">/L), ascites or bright liver on ultrasound scan, elevated transaminases (aspartate aminotransferase or alanine aminotransferase &gt;42 IU/l), elevated ammonia (&gt;47 </w:t>
      </w:r>
      <w:r w:rsidRPr="00F167C5">
        <w:rPr>
          <w:rFonts w:ascii="Times New Roman" w:hAnsi="Times New Roman"/>
          <w:color w:val="000000"/>
          <w:sz w:val="20"/>
          <w:szCs w:val="20"/>
          <w:lang w:val="en-US"/>
        </w:rPr>
        <w:sym w:font="Symbol" w:char="F06D"/>
      </w:r>
      <w:proofErr w:type="spellStart"/>
      <w:r w:rsidRPr="00F167C5">
        <w:rPr>
          <w:rFonts w:ascii="Times New Roman" w:hAnsi="Times New Roman"/>
          <w:color w:val="000000"/>
          <w:sz w:val="20"/>
          <w:szCs w:val="20"/>
          <w:lang w:val="en-US"/>
        </w:rPr>
        <w:t>mol</w:t>
      </w:r>
      <w:proofErr w:type="spellEnd"/>
      <w:r w:rsidRPr="00F167C5">
        <w:rPr>
          <w:rFonts w:ascii="Times New Roman" w:hAnsi="Times New Roman"/>
          <w:color w:val="000000"/>
          <w:sz w:val="20"/>
          <w:szCs w:val="20"/>
          <w:lang w:val="en-US"/>
        </w:rPr>
        <w:t xml:space="preserve">/L), renal impairment (creatinine &gt;150 </w:t>
      </w:r>
      <w:r w:rsidRPr="00F167C5">
        <w:rPr>
          <w:rFonts w:ascii="Times New Roman" w:hAnsi="Times New Roman"/>
          <w:color w:val="000000"/>
          <w:sz w:val="20"/>
          <w:szCs w:val="20"/>
          <w:lang w:val="en-US"/>
        </w:rPr>
        <w:sym w:font="Symbol" w:char="F06D"/>
      </w:r>
      <w:proofErr w:type="spellStart"/>
      <w:r w:rsidRPr="00F167C5">
        <w:rPr>
          <w:rFonts w:ascii="Times New Roman" w:hAnsi="Times New Roman"/>
          <w:color w:val="000000"/>
          <w:sz w:val="20"/>
          <w:szCs w:val="20"/>
          <w:lang w:val="en-US"/>
        </w:rPr>
        <w:t>mol</w:t>
      </w:r>
      <w:proofErr w:type="spellEnd"/>
      <w:r w:rsidRPr="00F167C5">
        <w:rPr>
          <w:rFonts w:ascii="Times New Roman" w:hAnsi="Times New Roman"/>
          <w:color w:val="000000"/>
          <w:sz w:val="20"/>
          <w:szCs w:val="20"/>
          <w:lang w:val="en-US"/>
        </w:rPr>
        <w:t xml:space="preserve">/L), coagulopathy (PT &gt;14 seconds (s) or activated partial </w:t>
      </w:r>
      <w:proofErr w:type="spellStart"/>
      <w:r w:rsidRPr="00F167C5">
        <w:rPr>
          <w:rFonts w:ascii="Times New Roman" w:hAnsi="Times New Roman"/>
          <w:color w:val="000000"/>
          <w:sz w:val="20"/>
          <w:szCs w:val="20"/>
          <w:lang w:val="en-US"/>
        </w:rPr>
        <w:t>thromboplastin</w:t>
      </w:r>
      <w:proofErr w:type="spellEnd"/>
      <w:r w:rsidRPr="00F167C5">
        <w:rPr>
          <w:rFonts w:ascii="Times New Roman" w:hAnsi="Times New Roman"/>
          <w:color w:val="000000"/>
          <w:sz w:val="20"/>
          <w:szCs w:val="20"/>
          <w:lang w:val="en-US"/>
        </w:rPr>
        <w:t xml:space="preserve"> time &gt;34 s</w:t>
      </w:r>
      <w:r w:rsidRPr="00F167C5">
        <w:rPr>
          <w:rFonts w:ascii="Times New Roman" w:hAnsi="Times New Roman"/>
          <w:color w:val="000000"/>
          <w:sz w:val="20"/>
          <w:szCs w:val="20"/>
          <w:lang w:val="en-US"/>
        </w:rPr>
        <w:fldChar w:fldCharType="begin"/>
      </w:r>
      <w:r w:rsidRPr="00F167C5">
        <w:rPr>
          <w:rFonts w:ascii="Times New Roman" w:hAnsi="Times New Roman"/>
          <w:color w:val="000000"/>
          <w:sz w:val="20"/>
          <w:szCs w:val="20"/>
          <w:lang w:val="en-US"/>
        </w:rPr>
        <w:instrText xml:space="preserve"> ADDIN ZOTERO_ITEM CSL_CITATION {"citationID":"3wbh4JBR","properties":{"formattedCitation":"(5)","plainCitation":"(5)"},"citationItems":[{"id":70,"uris":["http://zotero.org/users/local/laTwZsVP/items/XD7Z287P"],"uri":["http://zotero.org/users/local/laTwZsVP/items/XD7Z287P"],"itemData":{"id":70,"type":"article-journal","title":"A prospective national study of acute fatty liver of pregnancy in the UK","container-title":"Gut","page":"951-956","volume":"57","issue":"7","source":"PubMed","abstract":"OBJECTIVES: To identify a national, population-based cohort of women with acute fatty liver of pregnancy (AFLP), to evaluate proposed diagnostic criteria and to document accurately the incidence, management and outcomes of the condition.\nSUBJECTS AND METHODS: This was a population-based descriptive study using the UK Obstetric Surveillance System, carried out in all 229 hospitals with consultant-led maternity units in the UK. The participants comprised 57 women in the UK diagnosed with AFLP between February 2005 and August 2006 in an estimated cohort of 1 132 964 maternities (women delivering).\nRESULTS: The estimated incidence of AFLP was 5.0 cases per 100 000 maternities (95% CI 3.8 to 6.5 per 100,000). Fifty-five cases (90%) were confirmed by diagnostic criteria and clinical assessment, two (3%) by clinical assessment alone, representing 97% agreement (kappa statistic = 0.78). 18% of women had twin pregnancies and 20% were underweight (body mass index (BMI) &lt;20). 60% of women were admitted to intensive care and 15% to a specialist liver unit. One woman received a liver transplant. One woman died (case fatality rate 1.8%, 95% CI 0% to 9.4%). There were seven deaths among 67 infants (perinatal mortality rate 104 per 1000 births, 95% CI 43 to 203).\nCONCLUSIONS: The largest population-based cohort of women with AFLP to date has been identified. Diagnostic criteria previously proposed agree substantially with clinical diagnosis. The incidence estimate from this study is lower than documented by earlier hospital-based studies, but maternal and neonatal outcomes are better than previously reported, possibly related to improved ascertainment. Women with twin pregnancies appear to be at higher risk, but further studies are needed to investigate the risk associated with low BMI.","DOI":"10.1136/gut.2008.148676","ISSN":"1468-3288","note":"00188 \nPMID: 18332072","journalAbbreviation":"Gut","language":"eng","author":[{"family":"Knight","given":"M."},{"family":"Nelson-Piercy","given":"C."},{"family":"Kurinczuk","given":"J. J."},{"family":"Spark","given":"P."},{"family":"Brocklehurst","given":"P."},{"literal":"UK Obstetric Surveillance System"}],"issued":{"date-parts":[["2008",7]]},"PMID":"18332072"}}],"schema":"https://github.com/citation-style-language/schema/raw/master/csl-citation.json"} </w:instrText>
      </w:r>
      <w:r w:rsidRPr="00F167C5">
        <w:rPr>
          <w:rFonts w:ascii="Times New Roman" w:hAnsi="Times New Roman"/>
          <w:color w:val="000000"/>
          <w:sz w:val="20"/>
          <w:szCs w:val="20"/>
          <w:lang w:val="en-US"/>
        </w:rPr>
        <w:fldChar w:fldCharType="separate"/>
      </w:r>
      <w:r w:rsidRPr="00F167C5">
        <w:rPr>
          <w:rFonts w:ascii="Times New Roman" w:hAnsi="Times New Roman"/>
          <w:noProof/>
          <w:color w:val="000000"/>
          <w:sz w:val="20"/>
          <w:szCs w:val="20"/>
          <w:lang w:val="en-US"/>
        </w:rPr>
        <w:t xml:space="preserve"> </w:t>
      </w:r>
      <w:r w:rsidRPr="00F167C5">
        <w:rPr>
          <w:rFonts w:ascii="Times New Roman" w:hAnsi="Times New Roman"/>
          <w:noProof/>
          <w:color w:val="000000"/>
          <w:sz w:val="20"/>
          <w:szCs w:val="20"/>
          <w:lang w:val="en-US"/>
        </w:rPr>
        <w:sym w:font="Symbol" w:char="F05B"/>
      </w:r>
      <w:r w:rsidRPr="00F167C5">
        <w:rPr>
          <w:rFonts w:ascii="Times New Roman" w:hAnsi="Times New Roman"/>
          <w:noProof/>
          <w:color w:val="000000"/>
          <w:sz w:val="20"/>
          <w:szCs w:val="20"/>
          <w:lang w:val="en-US"/>
        </w:rPr>
        <w:t>4</w:t>
      </w:r>
      <w:r w:rsidRPr="00F167C5">
        <w:rPr>
          <w:rFonts w:ascii="Times New Roman" w:hAnsi="Times New Roman"/>
          <w:color w:val="000000"/>
          <w:sz w:val="20"/>
          <w:szCs w:val="20"/>
          <w:lang w:val="en-US"/>
        </w:rPr>
        <w:fldChar w:fldCharType="end"/>
      </w:r>
      <w:r w:rsidRPr="00F167C5">
        <w:rPr>
          <w:rFonts w:ascii="Times New Roman" w:hAnsi="Times New Roman"/>
          <w:color w:val="000000"/>
          <w:sz w:val="20"/>
          <w:szCs w:val="20"/>
          <w:lang w:val="en-US"/>
        </w:rPr>
        <w:sym w:font="Symbol" w:char="F05D"/>
      </w:r>
      <w:r w:rsidRPr="00F167C5">
        <w:rPr>
          <w:rFonts w:ascii="Times New Roman" w:hAnsi="Times New Roman"/>
          <w:color w:val="000000"/>
          <w:sz w:val="20"/>
          <w:szCs w:val="20"/>
          <w:lang w:val="en-US"/>
        </w:rPr>
        <w:t xml:space="preserve">. The patients’ severity was assessed by the SAPS II score during the first 24 hours after admission in ICU </w:t>
      </w:r>
      <w:r w:rsidRPr="00F167C5">
        <w:rPr>
          <w:rFonts w:ascii="Times New Roman" w:hAnsi="Times New Roman"/>
          <w:color w:val="000000"/>
          <w:sz w:val="20"/>
          <w:szCs w:val="20"/>
          <w:lang w:val="en-US"/>
        </w:rPr>
        <w:fldChar w:fldCharType="begin"/>
      </w:r>
      <w:r w:rsidRPr="00F167C5">
        <w:rPr>
          <w:rFonts w:ascii="Times New Roman" w:hAnsi="Times New Roman"/>
          <w:color w:val="000000"/>
          <w:sz w:val="20"/>
          <w:szCs w:val="20"/>
          <w:lang w:val="en-US"/>
        </w:rPr>
        <w:instrText xml:space="preserve"> ADDIN ZOTERO_ITEM CSL_CITATION {"citationID":"IqmhxUG2","properties":{"formattedCitation":"(6)","plainCitation":"(6)"},"citationItems":[{"id":72,"uris":["http://zotero.org/users/local/laTwZsVP/items/TGIW9HXJ"],"uri":["http://zotero.org/users/local/laTwZsVP/items/TGIW9HXJ"],"itemData":{"id":72,"type":"article-journal","title":"A new Simplified Acute Physiology Score (SAPS II) based on a European/North American multicenter study","container-title":"JAMA","page":"2957-2963","volume":"270","issue":"24","source":"PubMed","abstract":"OBJECTIVE: To develop and validate a new Simplified Acute Physiology Score, the SAPS II, from a large sample of surgical and medical patients, and to provide a method to convert the score to a probability of hospital mortality.\nDESIGN AND SETTING: The SAPS II and the probability of hospital mortality were developed and validated using data from consecutive admissions to 137 adult medical and/or surgical intensive care units in 12 countries.\nPATIENTS: The 13,152 patients were randomly divided into developmental (65%) and validation (35%) samples. Patients younger than 18 years, burn patients, coronary care patients, and cardiac surgery patients were excluded.\nOUTCOME MEASURE: Vital status at hospital discharge.\nRESULTS: The SAPS II includes only 17 variables: 12 physiology variables, age, type of admission (scheduled surgical, unscheduled surgical, or medical), and three underlying disease variables (acquired immunodeficiency syndrome, metastatic cancer, and hematologic malignancy). Goodness-of-fit tests indicated that the model performed well in the developmental sample and validated well in an independent sample of patients (P = .883 and P = .104 in the developmental and validation samples, respectively). The area under the receiver operating characteristic curve was 0.88 in the developmental sample and 0.86 in the validation sample.\nCONCLUSION: The SAPS II, based on a large international sample of patients, provides an estimate of the risk of death without having to specify a primary diagnosis. This is a starting point for future evaluation of the efficiency of intensive care units.","ISSN":"0098-7484","note":"04790 \nPMID: 8254858","journalAbbreviation":"JAMA","language":"eng","author":[{"family":"Le Gall","given":"J. R."},{"family":"Lemeshow","given":"S."},{"family":"Saulnier","given":"F."}],"issued":{"date-parts":[["1993",12,22]]},"PMID":"8254858"}}],"schema":"https://github.com/citation-style-language/schema/raw/master/csl-citation.json"} </w:instrText>
      </w:r>
      <w:r w:rsidRPr="00F167C5">
        <w:rPr>
          <w:rFonts w:ascii="Times New Roman" w:hAnsi="Times New Roman"/>
          <w:color w:val="000000"/>
          <w:sz w:val="20"/>
          <w:szCs w:val="20"/>
          <w:lang w:val="en-US"/>
        </w:rPr>
        <w:fldChar w:fldCharType="separate"/>
      </w:r>
      <w:r w:rsidRPr="00F167C5">
        <w:rPr>
          <w:rFonts w:ascii="Times New Roman" w:hAnsi="Times New Roman"/>
          <w:noProof/>
          <w:color w:val="000000"/>
          <w:sz w:val="20"/>
          <w:szCs w:val="20"/>
          <w:lang w:val="en-US"/>
        </w:rPr>
        <w:sym w:font="Symbol" w:char="F05B"/>
      </w:r>
      <w:r w:rsidRPr="00F167C5">
        <w:rPr>
          <w:rFonts w:ascii="Times New Roman" w:hAnsi="Times New Roman"/>
          <w:noProof/>
          <w:color w:val="000000"/>
          <w:sz w:val="20"/>
          <w:szCs w:val="20"/>
          <w:lang w:val="en-US"/>
        </w:rPr>
        <w:t>5</w:t>
      </w:r>
      <w:r w:rsidRPr="00F167C5">
        <w:rPr>
          <w:rFonts w:ascii="Times New Roman" w:hAnsi="Times New Roman"/>
          <w:color w:val="000000"/>
          <w:sz w:val="20"/>
          <w:szCs w:val="20"/>
          <w:lang w:val="en-US"/>
        </w:rPr>
        <w:fldChar w:fldCharType="end"/>
      </w:r>
      <w:r w:rsidRPr="00F167C5">
        <w:rPr>
          <w:rFonts w:ascii="Times New Roman" w:hAnsi="Times New Roman"/>
          <w:color w:val="000000"/>
          <w:sz w:val="20"/>
          <w:szCs w:val="20"/>
          <w:lang w:val="en-US"/>
        </w:rPr>
        <w:sym w:font="Symbol" w:char="F05D"/>
      </w:r>
      <w:r w:rsidRPr="00F167C5">
        <w:rPr>
          <w:rFonts w:ascii="Times New Roman" w:hAnsi="Times New Roman"/>
          <w:color w:val="000000"/>
          <w:sz w:val="20"/>
          <w:szCs w:val="20"/>
          <w:lang w:val="en-US"/>
        </w:rPr>
        <w:t>.</w:t>
      </w:r>
    </w:p>
    <w:p w14:paraId="26E13EB1" w14:textId="77777777" w:rsidR="008C23C8" w:rsidRPr="00F167C5" w:rsidRDefault="008C23C8" w:rsidP="008C23C8">
      <w:pPr>
        <w:spacing w:line="480" w:lineRule="auto"/>
        <w:jc w:val="both"/>
        <w:rPr>
          <w:rFonts w:ascii="Times New Roman" w:hAnsi="Times New Roman"/>
          <w:b/>
          <w:color w:val="000000"/>
          <w:sz w:val="20"/>
          <w:szCs w:val="20"/>
          <w:lang w:val="en-US"/>
        </w:rPr>
      </w:pPr>
    </w:p>
    <w:p w14:paraId="2A2ECF5D" w14:textId="77777777" w:rsidR="008C23C8" w:rsidRPr="00F167C5" w:rsidRDefault="008C23C8" w:rsidP="008C23C8">
      <w:pPr>
        <w:spacing w:line="480" w:lineRule="auto"/>
        <w:jc w:val="both"/>
        <w:outlineLvl w:val="0"/>
        <w:rPr>
          <w:rFonts w:ascii="Times New Roman" w:hAnsi="Times New Roman"/>
          <w:b/>
          <w:color w:val="000000"/>
          <w:sz w:val="20"/>
          <w:szCs w:val="20"/>
          <w:lang w:val="en-US"/>
        </w:rPr>
      </w:pPr>
      <w:r w:rsidRPr="00F167C5">
        <w:rPr>
          <w:rFonts w:ascii="Times New Roman" w:hAnsi="Times New Roman"/>
          <w:b/>
          <w:color w:val="000000"/>
          <w:sz w:val="20"/>
          <w:szCs w:val="20"/>
          <w:lang w:val="en-US"/>
        </w:rPr>
        <w:t>Criteria of DIC of the new score:</w:t>
      </w:r>
    </w:p>
    <w:p w14:paraId="60D5EC10" w14:textId="77777777" w:rsidR="008C23C8" w:rsidRPr="00F167C5" w:rsidRDefault="008C23C8" w:rsidP="008C23C8">
      <w:pPr>
        <w:spacing w:line="480" w:lineRule="auto"/>
        <w:jc w:val="both"/>
        <w:rPr>
          <w:rFonts w:ascii="Times New Roman" w:hAnsi="Times New Roman"/>
          <w:color w:val="000000"/>
          <w:sz w:val="20"/>
          <w:szCs w:val="20"/>
          <w:lang w:val="en-US"/>
        </w:rPr>
      </w:pPr>
      <w:r w:rsidRPr="00F167C5">
        <w:rPr>
          <w:rFonts w:ascii="Times New Roman" w:hAnsi="Times New Roman"/>
          <w:color w:val="000000"/>
          <w:sz w:val="20"/>
          <w:szCs w:val="20"/>
          <w:lang w:val="en-US"/>
        </w:rPr>
        <w:t>This score uses three components: platelet count, fibrinogen concentration, and the PT difference compared to control. Specific thresholds have been determined from the ROC curves of each component. The specific weight of each parameter was calculated by logistic regression. A score ≥ 26 is considered consistent with the diagnosis of DIC</w:t>
      </w:r>
      <w:r w:rsidRPr="00F167C5">
        <w:rPr>
          <w:rFonts w:ascii="Times New Roman" w:hAnsi="Times New Roman"/>
          <w:color w:val="000000"/>
          <w:sz w:val="20"/>
          <w:szCs w:val="20"/>
          <w:lang w:val="en-US"/>
        </w:rPr>
        <w:fldChar w:fldCharType="begin"/>
      </w:r>
      <w:r w:rsidRPr="00F167C5">
        <w:rPr>
          <w:rFonts w:ascii="Times New Roman" w:hAnsi="Times New Roman"/>
          <w:color w:val="000000"/>
          <w:sz w:val="20"/>
          <w:szCs w:val="20"/>
          <w:lang w:val="en-US"/>
        </w:rPr>
        <w:instrText xml:space="preserve"> ADDIN ZOTERO_ITEM CSL_CITATION {"citationID":"oWIm1i5X","properties":{"formattedCitation":"(7)","plainCitation":"(7)"},"citationItems":[{"id":7,"uris":["http://zotero.org/users/local/laTwZsVP/items/64UXQZEC"],"uri":["http://zotero.org/users/local/laTwZsVP/items/64UXQZEC"],"itemData":{"id":7,"type":"article-journal","title":"DIC Score in Pregnant Women – A Population Based Modification of the International Society on Thrombosis and Hemostasis Score","container-title":"PLoS ONE","page":"e93240","volume":"9","issue":"4","source":"CrossRef","DOI":"10.1371/journal.pone.0093240","ISSN":"1932-6203","language":"en","author":[{"family":"Erez","given":"Offer"},{"family":"Novack","given":"Lena"},{"family":"Beer-Weisel","given":"Ruthy"},{"family":"Dukler","given":"Doron"},{"family":"Press","given":"Fernanda"},{"family":"Zlotnik","given":"Alexander"},{"family":"Than","given":"Nandor Gabor"},{"family":"Tomer","given":"Aaron"},{"family":"Mazor","given":"Moshe"}],"editor":[{"family":"Cate","given":"Hugo","non-dropping-particle":"ten"}],"issued":{"date-parts":[["2014",4,11]]}}}],"schema":"https://github.com/citation-style-language/schema/raw/master/csl-citation.json"} </w:instrText>
      </w:r>
      <w:r w:rsidRPr="00F167C5">
        <w:rPr>
          <w:rFonts w:ascii="Times New Roman" w:hAnsi="Times New Roman"/>
          <w:color w:val="000000"/>
          <w:sz w:val="20"/>
          <w:szCs w:val="20"/>
          <w:lang w:val="en-US"/>
        </w:rPr>
        <w:fldChar w:fldCharType="separate"/>
      </w:r>
      <w:r w:rsidRPr="00F167C5">
        <w:rPr>
          <w:rFonts w:ascii="Times New Roman" w:hAnsi="Times New Roman"/>
          <w:noProof/>
          <w:color w:val="000000"/>
          <w:sz w:val="20"/>
          <w:szCs w:val="20"/>
          <w:lang w:val="en-US"/>
        </w:rPr>
        <w:sym w:font="Symbol" w:char="F05B"/>
      </w:r>
      <w:r w:rsidRPr="00F167C5">
        <w:rPr>
          <w:rFonts w:ascii="Times New Roman" w:hAnsi="Times New Roman"/>
          <w:noProof/>
          <w:color w:val="000000"/>
          <w:sz w:val="20"/>
          <w:szCs w:val="20"/>
          <w:lang w:val="en-US"/>
        </w:rPr>
        <w:t>7</w:t>
      </w:r>
      <w:r w:rsidRPr="00F167C5">
        <w:rPr>
          <w:rFonts w:ascii="Times New Roman" w:hAnsi="Times New Roman"/>
          <w:noProof/>
          <w:color w:val="000000"/>
          <w:sz w:val="20"/>
          <w:szCs w:val="20"/>
          <w:lang w:val="en-US"/>
        </w:rPr>
        <w:sym w:font="Symbol" w:char="F05D"/>
      </w:r>
      <w:r w:rsidRPr="00F167C5">
        <w:rPr>
          <w:rFonts w:ascii="Times New Roman" w:hAnsi="Times New Roman"/>
          <w:color w:val="000000"/>
          <w:sz w:val="20"/>
          <w:szCs w:val="20"/>
          <w:lang w:val="en-US"/>
        </w:rPr>
        <w:fldChar w:fldCharType="end"/>
      </w:r>
      <w:r w:rsidRPr="00F167C5">
        <w:rPr>
          <w:rFonts w:ascii="Times New Roman" w:hAnsi="Times New Roman"/>
          <w:color w:val="000000"/>
          <w:sz w:val="20"/>
          <w:szCs w:val="20"/>
          <w:lang w:val="en-US"/>
        </w:rPr>
        <w:t>.</w:t>
      </w:r>
    </w:p>
    <w:p w14:paraId="09CE1462" w14:textId="77777777" w:rsidR="008C23C8" w:rsidRPr="00F167C5" w:rsidRDefault="008C23C8" w:rsidP="008C23C8">
      <w:pPr>
        <w:spacing w:line="480" w:lineRule="auto"/>
        <w:jc w:val="both"/>
        <w:rPr>
          <w:rFonts w:ascii="Times New Roman" w:hAnsi="Times New Roman"/>
          <w:color w:val="000000"/>
          <w:sz w:val="20"/>
          <w:szCs w:val="20"/>
          <w:lang w:val="en-US"/>
        </w:rPr>
      </w:pPr>
    </w:p>
    <w:p w14:paraId="41F09CAA" w14:textId="77777777" w:rsidR="008C23C8" w:rsidRPr="00F167C5" w:rsidRDefault="008C23C8" w:rsidP="008C23C8">
      <w:pPr>
        <w:jc w:val="both"/>
        <w:outlineLvl w:val="0"/>
        <w:rPr>
          <w:rFonts w:ascii="Times New Roman" w:hAnsi="Times New Roman"/>
          <w:b/>
          <w:color w:val="000000"/>
          <w:sz w:val="20"/>
          <w:szCs w:val="20"/>
          <w:lang w:val="en-US"/>
        </w:rPr>
      </w:pPr>
      <w:r w:rsidRPr="00F167C5">
        <w:rPr>
          <w:rFonts w:ascii="Times New Roman" w:hAnsi="Times New Roman"/>
          <w:b/>
          <w:color w:val="000000"/>
          <w:sz w:val="20"/>
          <w:szCs w:val="20"/>
          <w:lang w:val="en-US"/>
        </w:rPr>
        <w:t>Criteria of DIC of the ISTH score</w:t>
      </w:r>
    </w:p>
    <w:p w14:paraId="46B6EDEA" w14:textId="77777777" w:rsidR="008C23C8" w:rsidRPr="00F167C5" w:rsidRDefault="008C23C8" w:rsidP="008C23C8">
      <w:pPr>
        <w:jc w:val="both"/>
        <w:rPr>
          <w:rFonts w:ascii="Times New Roman" w:hAnsi="Times New Roman"/>
          <w:sz w:val="20"/>
          <w:szCs w:val="20"/>
        </w:rPr>
      </w:pPr>
    </w:p>
    <w:p w14:paraId="72D200C6" w14:textId="77777777" w:rsidR="008C23C8" w:rsidRPr="00F167C5" w:rsidRDefault="008C23C8" w:rsidP="008C23C8">
      <w:pPr>
        <w:spacing w:line="480" w:lineRule="auto"/>
        <w:jc w:val="both"/>
        <w:rPr>
          <w:rFonts w:ascii="Times New Roman" w:hAnsi="Times New Roman"/>
          <w:color w:val="000000"/>
          <w:sz w:val="20"/>
          <w:szCs w:val="20"/>
          <w:lang w:val="en-US"/>
        </w:rPr>
      </w:pPr>
      <w:r w:rsidRPr="00F167C5">
        <w:rPr>
          <w:rFonts w:ascii="Times New Roman" w:hAnsi="Times New Roman"/>
          <w:color w:val="000000"/>
          <w:sz w:val="20"/>
          <w:szCs w:val="20"/>
          <w:lang w:val="en-US"/>
        </w:rPr>
        <w:t>The ISTH score can only be used in a determined clinical context known to be associated with DIC. It is based on the combination of biological variables: PT, platelets, fibrinogen, and one fibrinolysis marker (fibrin monomers, fibrin soluble complexes, D-dimers, or PDF). An ISTH score ≥5 is considered to reflect an overt DIC</w:t>
      </w:r>
      <w:r w:rsidRPr="00F167C5">
        <w:rPr>
          <w:rFonts w:ascii="Times New Roman" w:hAnsi="Times New Roman"/>
          <w:color w:val="000000"/>
          <w:sz w:val="20"/>
          <w:szCs w:val="20"/>
          <w:lang w:val="en-US"/>
        </w:rPr>
        <w:fldChar w:fldCharType="begin"/>
      </w:r>
      <w:r w:rsidRPr="00F167C5">
        <w:rPr>
          <w:rFonts w:ascii="Times New Roman" w:hAnsi="Times New Roman"/>
          <w:color w:val="000000"/>
          <w:sz w:val="20"/>
          <w:szCs w:val="20"/>
          <w:lang w:val="en-US"/>
        </w:rPr>
        <w:instrText xml:space="preserve"> ADDIN ZOTERO_ITEM CSL_CITATION {"citationID":"XbyegP0E","properties":{"formattedCitation":"(8)","plainCitation":"(8)"},"citationItems":[{"id":15,"uris":["http://zotero.org/users/local/laTwZsVP/items/EQJKDEXS"],"uri":["http://zotero.org/users/local/laTwZsVP/items/EQJKDEXS"],"itemData":{"id":15,"type":"article-journal","title":"Towards definition, clinical and laboratory criteria, and a scoring system for disseminated intravascular coagulation","container-title":"Thrombosis and Haemostasis","page":"1327-1330","volume":"86","issue":"5","source":"PubMed","ISSN":"0340-6245","note":"00867 \nPMID: 11816725","journalAbbreviation":"Thromb. Haemost.","language":"eng","author":[{"family":"Taylor","given":"F. B."},{"family":"Toh","given":"C. H."},{"family":"Hoots","given":"W. K."},{"family":"Wada","given":"H."},{"family":"Levi","given":"M."},{"literal":"Scientific Subcommittee on Disseminated Intravascular Coagulation (DIC) of the International Society on Thrombosis and Haemostasis (ISTH)"}],"issued":{"date-parts":[["2001",11]]},"PMID":"11816725"}}],"schema":"https://github.com/citation-style-language/schema/raw/master/csl-citation.json"} </w:instrText>
      </w:r>
      <w:r w:rsidRPr="00F167C5">
        <w:rPr>
          <w:rFonts w:ascii="Times New Roman" w:hAnsi="Times New Roman"/>
          <w:color w:val="000000"/>
          <w:sz w:val="20"/>
          <w:szCs w:val="20"/>
          <w:lang w:val="en-US"/>
        </w:rPr>
        <w:fldChar w:fldCharType="separate"/>
      </w:r>
      <w:r w:rsidRPr="00F167C5">
        <w:rPr>
          <w:rFonts w:ascii="Times New Roman" w:hAnsi="Times New Roman"/>
          <w:noProof/>
          <w:color w:val="000000"/>
          <w:sz w:val="20"/>
          <w:szCs w:val="20"/>
          <w:lang w:val="en-US"/>
        </w:rPr>
        <w:t>(8)</w:t>
      </w:r>
      <w:r w:rsidRPr="00F167C5">
        <w:rPr>
          <w:rFonts w:ascii="Times New Roman" w:hAnsi="Times New Roman"/>
          <w:color w:val="000000"/>
          <w:sz w:val="20"/>
          <w:szCs w:val="20"/>
          <w:lang w:val="en-US"/>
        </w:rPr>
        <w:fldChar w:fldCharType="end"/>
      </w:r>
      <w:r w:rsidRPr="00F167C5">
        <w:rPr>
          <w:rFonts w:ascii="Times New Roman" w:hAnsi="Times New Roman"/>
          <w:color w:val="000000"/>
          <w:sz w:val="20"/>
          <w:szCs w:val="20"/>
          <w:lang w:val="en-US"/>
        </w:rPr>
        <w:t>.</w:t>
      </w:r>
    </w:p>
    <w:p w14:paraId="7D7492CE" w14:textId="77777777" w:rsidR="008C23C8" w:rsidRPr="00F167C5" w:rsidRDefault="008C23C8" w:rsidP="008C23C8">
      <w:pPr>
        <w:spacing w:line="480" w:lineRule="auto"/>
        <w:jc w:val="both"/>
        <w:rPr>
          <w:rFonts w:ascii="Times New Roman" w:hAnsi="Times New Roman"/>
          <w:color w:val="FF0000"/>
          <w:sz w:val="20"/>
          <w:szCs w:val="20"/>
          <w:lang w:val="en-US"/>
        </w:rPr>
      </w:pPr>
      <w:r w:rsidRPr="00F167C5">
        <w:rPr>
          <w:rFonts w:ascii="Times New Roman" w:hAnsi="Times New Roman"/>
          <w:color w:val="000000"/>
          <w:sz w:val="20"/>
          <w:szCs w:val="20"/>
          <w:lang w:val="en-US"/>
        </w:rPr>
        <w:lastRenderedPageBreak/>
        <w:t>We used in our study either D-dimers or fibrin monomer (FM) assays with the following thresholds: a score 0 was given when D-dimers was &lt; 0.5mg/l or FM &lt; 6 mg/ml; a score 1 was given when D-dimers were between 0.5 and 10 mg/l or MF between 6 and 50 mg/ml; a score 2 was given when D-dimers were &gt; 10</w:t>
      </w:r>
      <w:r>
        <w:rPr>
          <w:rFonts w:ascii="Times New Roman" w:hAnsi="Times New Roman"/>
          <w:color w:val="000000"/>
          <w:sz w:val="20"/>
          <w:szCs w:val="20"/>
          <w:lang w:val="en-US"/>
        </w:rPr>
        <w:t xml:space="preserve"> mg/l or MF &gt; 50 mcg/ml </w:t>
      </w:r>
    </w:p>
    <w:p w14:paraId="7C30D1CF" w14:textId="77777777" w:rsidR="008C23C8" w:rsidRPr="00F167C5" w:rsidRDefault="008C23C8" w:rsidP="008C23C8">
      <w:pPr>
        <w:jc w:val="both"/>
        <w:rPr>
          <w:rFonts w:ascii="Times New Roman" w:hAnsi="Times New Roman"/>
          <w:sz w:val="20"/>
          <w:szCs w:val="20"/>
        </w:rPr>
      </w:pPr>
    </w:p>
    <w:p w14:paraId="77EDDE78" w14:textId="77777777" w:rsidR="008C23C8" w:rsidRPr="00F167C5" w:rsidRDefault="008C23C8" w:rsidP="008C23C8">
      <w:pPr>
        <w:jc w:val="both"/>
        <w:outlineLvl w:val="0"/>
        <w:rPr>
          <w:rFonts w:ascii="Times New Roman" w:hAnsi="Times New Roman"/>
          <w:sz w:val="20"/>
          <w:szCs w:val="20"/>
        </w:rPr>
      </w:pPr>
      <w:proofErr w:type="spellStart"/>
      <w:r w:rsidRPr="0065467B">
        <w:rPr>
          <w:rFonts w:ascii="Times New Roman" w:hAnsi="Times New Roman"/>
          <w:b/>
          <w:sz w:val="20"/>
          <w:szCs w:val="20"/>
        </w:rPr>
        <w:t>References</w:t>
      </w:r>
      <w:proofErr w:type="spellEnd"/>
      <w:r>
        <w:rPr>
          <w:rFonts w:ascii="Times New Roman" w:hAnsi="Times New Roman"/>
          <w:sz w:val="20"/>
          <w:szCs w:val="20"/>
        </w:rPr>
        <w:t> </w:t>
      </w:r>
    </w:p>
    <w:p w14:paraId="7B7C8D90" w14:textId="77777777" w:rsidR="008C23C8" w:rsidRPr="00F167C5" w:rsidRDefault="008C23C8" w:rsidP="008C23C8">
      <w:pPr>
        <w:jc w:val="both"/>
        <w:rPr>
          <w:rFonts w:ascii="Times New Roman" w:hAnsi="Times New Roman"/>
          <w:sz w:val="20"/>
          <w:szCs w:val="20"/>
        </w:rPr>
      </w:pPr>
    </w:p>
    <w:p w14:paraId="744FC3C5" w14:textId="77777777" w:rsidR="008C23C8" w:rsidRPr="00F167C5" w:rsidRDefault="008C23C8" w:rsidP="008C23C8">
      <w:pPr>
        <w:pStyle w:val="Bibliographie1"/>
        <w:jc w:val="both"/>
        <w:rPr>
          <w:sz w:val="20"/>
          <w:szCs w:val="20"/>
        </w:rPr>
      </w:pPr>
      <w:r w:rsidRPr="00F167C5">
        <w:rPr>
          <w:sz w:val="20"/>
          <w:szCs w:val="20"/>
        </w:rPr>
        <w:fldChar w:fldCharType="begin"/>
      </w:r>
      <w:r w:rsidRPr="00F167C5">
        <w:rPr>
          <w:sz w:val="20"/>
          <w:szCs w:val="20"/>
        </w:rPr>
        <w:instrText xml:space="preserve"> ADDIN ZOTERO_BIBL {"custom":[]} CSL_BIBLIOGRAPHY </w:instrText>
      </w:r>
      <w:r w:rsidRPr="00F167C5">
        <w:rPr>
          <w:sz w:val="20"/>
          <w:szCs w:val="20"/>
        </w:rPr>
        <w:fldChar w:fldCharType="separate"/>
      </w:r>
      <w:r w:rsidRPr="00F167C5">
        <w:rPr>
          <w:sz w:val="20"/>
          <w:szCs w:val="20"/>
        </w:rPr>
        <w:t xml:space="preserve">1. </w:t>
      </w:r>
      <w:r w:rsidRPr="00F167C5">
        <w:rPr>
          <w:sz w:val="20"/>
          <w:szCs w:val="20"/>
        </w:rPr>
        <w:tab/>
        <w:t xml:space="preserve"> Subtil D, Sommé A, Ardiet E, Depret-Mosser S (2004) Postpartum hemorrhage: frequency, consequences in terms of health status, and risk factors before delivery. J Gynécologie Obstétrique Biol Reprod 33:4S9</w:t>
      </w:r>
      <w:r w:rsidRPr="00F167C5">
        <w:rPr>
          <w:rFonts w:ascii="MS Mincho" w:eastAsia="MS Mincho" w:hAnsi="MS Mincho" w:cs="MS Mincho"/>
          <w:sz w:val="20"/>
          <w:szCs w:val="20"/>
        </w:rPr>
        <w:t>‑</w:t>
      </w:r>
      <w:r w:rsidRPr="00F167C5">
        <w:rPr>
          <w:sz w:val="20"/>
          <w:szCs w:val="20"/>
        </w:rPr>
        <w:t>4S16</w:t>
      </w:r>
      <w:r>
        <w:rPr>
          <w:sz w:val="20"/>
          <w:szCs w:val="20"/>
        </w:rPr>
        <w:t>.</w:t>
      </w:r>
    </w:p>
    <w:p w14:paraId="33166383" w14:textId="77777777" w:rsidR="008C23C8" w:rsidRPr="00F167C5" w:rsidRDefault="008C23C8" w:rsidP="008C23C8">
      <w:pPr>
        <w:pStyle w:val="Bibliographie1"/>
        <w:jc w:val="both"/>
        <w:rPr>
          <w:sz w:val="20"/>
          <w:szCs w:val="20"/>
        </w:rPr>
      </w:pPr>
      <w:r w:rsidRPr="00F167C5">
        <w:rPr>
          <w:sz w:val="20"/>
          <w:szCs w:val="20"/>
        </w:rPr>
        <w:t xml:space="preserve">2. </w:t>
      </w:r>
      <w:r w:rsidRPr="00F167C5">
        <w:rPr>
          <w:sz w:val="20"/>
          <w:szCs w:val="20"/>
        </w:rPr>
        <w:tab/>
        <w:t xml:space="preserve"> ACOG practice bulletin (2002) Diagnosis and management of preeclampsia and eclampsia. Obstet Gynecol 99:159</w:t>
      </w:r>
      <w:r w:rsidRPr="00F167C5">
        <w:rPr>
          <w:rFonts w:ascii="MS Mincho" w:eastAsia="MS Mincho" w:hAnsi="MS Mincho" w:cs="MS Mincho"/>
          <w:sz w:val="20"/>
          <w:szCs w:val="20"/>
        </w:rPr>
        <w:t>‑</w:t>
      </w:r>
      <w:r w:rsidRPr="00F167C5">
        <w:rPr>
          <w:sz w:val="20"/>
          <w:szCs w:val="20"/>
        </w:rPr>
        <w:t>67</w:t>
      </w:r>
      <w:r>
        <w:rPr>
          <w:sz w:val="20"/>
          <w:szCs w:val="20"/>
        </w:rPr>
        <w:t>.</w:t>
      </w:r>
    </w:p>
    <w:p w14:paraId="7CF477AC" w14:textId="77777777" w:rsidR="008C23C8" w:rsidRPr="00F167C5" w:rsidRDefault="008C23C8" w:rsidP="008C23C8">
      <w:pPr>
        <w:pStyle w:val="Bibliographie1"/>
        <w:jc w:val="both"/>
        <w:rPr>
          <w:sz w:val="20"/>
          <w:szCs w:val="20"/>
        </w:rPr>
      </w:pPr>
      <w:r w:rsidRPr="00F167C5">
        <w:rPr>
          <w:sz w:val="20"/>
          <w:szCs w:val="20"/>
        </w:rPr>
        <w:t xml:space="preserve">3. </w:t>
      </w:r>
      <w:r w:rsidRPr="00F167C5">
        <w:rPr>
          <w:sz w:val="20"/>
          <w:szCs w:val="20"/>
        </w:rPr>
        <w:tab/>
        <w:t xml:space="preserve"> Sibai BM (1990) The HELLP syndrome (hemolysis, elevated liver enzymes, and low platelets): much ado about nothing? Am J Obstet Gynecol 162:311</w:t>
      </w:r>
      <w:r w:rsidRPr="00F167C5">
        <w:rPr>
          <w:rFonts w:ascii="MS Mincho" w:eastAsia="MS Mincho" w:hAnsi="MS Mincho" w:cs="MS Mincho"/>
          <w:sz w:val="20"/>
          <w:szCs w:val="20"/>
        </w:rPr>
        <w:t>‑</w:t>
      </w:r>
      <w:r w:rsidRPr="00F167C5">
        <w:rPr>
          <w:sz w:val="20"/>
          <w:szCs w:val="20"/>
        </w:rPr>
        <w:t>6</w:t>
      </w:r>
      <w:r>
        <w:rPr>
          <w:sz w:val="20"/>
          <w:szCs w:val="20"/>
        </w:rPr>
        <w:t>.</w:t>
      </w:r>
    </w:p>
    <w:p w14:paraId="499FEE94" w14:textId="77777777" w:rsidR="008C23C8" w:rsidRPr="00F167C5" w:rsidRDefault="008C23C8" w:rsidP="008C23C8">
      <w:pPr>
        <w:pStyle w:val="Bibliographie1"/>
        <w:jc w:val="both"/>
        <w:rPr>
          <w:sz w:val="20"/>
          <w:szCs w:val="20"/>
        </w:rPr>
      </w:pPr>
      <w:r w:rsidRPr="00F167C5">
        <w:rPr>
          <w:sz w:val="20"/>
          <w:szCs w:val="20"/>
        </w:rPr>
        <w:t xml:space="preserve">4. </w:t>
      </w:r>
      <w:r w:rsidRPr="00F167C5">
        <w:rPr>
          <w:sz w:val="20"/>
          <w:szCs w:val="20"/>
        </w:rPr>
        <w:tab/>
        <w:t xml:space="preserve"> Knight M, Nelson-Piercy C, Kurinczuk JJ, Spark P, Brocklehurst P (2008) UK Obstetric Surveillance System. A prospective national study of acute fatty liver of pregnancy in the UK. Gut 57:951</w:t>
      </w:r>
      <w:r w:rsidRPr="00F167C5">
        <w:rPr>
          <w:rFonts w:ascii="MS Mincho" w:eastAsia="MS Mincho" w:hAnsi="MS Mincho" w:cs="MS Mincho"/>
          <w:sz w:val="20"/>
          <w:szCs w:val="20"/>
        </w:rPr>
        <w:t>‑</w:t>
      </w:r>
      <w:r w:rsidRPr="00F167C5">
        <w:rPr>
          <w:sz w:val="20"/>
          <w:szCs w:val="20"/>
        </w:rPr>
        <w:t>6</w:t>
      </w:r>
      <w:r>
        <w:rPr>
          <w:sz w:val="20"/>
          <w:szCs w:val="20"/>
        </w:rPr>
        <w:t>.</w:t>
      </w:r>
    </w:p>
    <w:p w14:paraId="17908F97" w14:textId="77777777" w:rsidR="008C23C8" w:rsidRPr="00F167C5" w:rsidRDefault="008C23C8" w:rsidP="008C23C8">
      <w:pPr>
        <w:pStyle w:val="Bibliographie1"/>
        <w:jc w:val="both"/>
        <w:rPr>
          <w:sz w:val="20"/>
          <w:szCs w:val="20"/>
        </w:rPr>
      </w:pPr>
      <w:r w:rsidRPr="00F167C5">
        <w:rPr>
          <w:sz w:val="20"/>
          <w:szCs w:val="20"/>
        </w:rPr>
        <w:t xml:space="preserve">5. </w:t>
      </w:r>
      <w:r w:rsidRPr="00F167C5">
        <w:rPr>
          <w:sz w:val="20"/>
          <w:szCs w:val="20"/>
        </w:rPr>
        <w:tab/>
        <w:t>Le Gall JR, Lemeshow S, Saulnier F (1993) A new Simplified Acute Physiology Score (SAPS II) based on a European/North American multicenter study. JAMA 270:2957</w:t>
      </w:r>
      <w:r w:rsidRPr="00F167C5">
        <w:rPr>
          <w:rFonts w:ascii="MS Mincho" w:eastAsia="MS Mincho" w:hAnsi="MS Mincho" w:cs="MS Mincho"/>
          <w:sz w:val="20"/>
          <w:szCs w:val="20"/>
        </w:rPr>
        <w:t>‑</w:t>
      </w:r>
      <w:r w:rsidRPr="00F167C5">
        <w:rPr>
          <w:sz w:val="20"/>
          <w:szCs w:val="20"/>
        </w:rPr>
        <w:t>6</w:t>
      </w:r>
      <w:r>
        <w:rPr>
          <w:sz w:val="20"/>
          <w:szCs w:val="20"/>
        </w:rPr>
        <w:t>.</w:t>
      </w:r>
      <w:r w:rsidRPr="00F167C5">
        <w:rPr>
          <w:sz w:val="20"/>
          <w:szCs w:val="20"/>
        </w:rPr>
        <w:t xml:space="preserve"> </w:t>
      </w:r>
    </w:p>
    <w:p w14:paraId="1FE155F2" w14:textId="77777777" w:rsidR="008C23C8" w:rsidRPr="00F167C5" w:rsidRDefault="008C23C8" w:rsidP="008C23C8">
      <w:pPr>
        <w:pStyle w:val="Bibliographie1"/>
        <w:jc w:val="both"/>
        <w:rPr>
          <w:sz w:val="20"/>
          <w:szCs w:val="20"/>
        </w:rPr>
      </w:pPr>
      <w:r w:rsidRPr="00F167C5">
        <w:rPr>
          <w:sz w:val="20"/>
          <w:szCs w:val="20"/>
        </w:rPr>
        <w:t xml:space="preserve">6. </w:t>
      </w:r>
      <w:r w:rsidRPr="00F167C5">
        <w:rPr>
          <w:sz w:val="20"/>
          <w:szCs w:val="20"/>
        </w:rPr>
        <w:tab/>
        <w:t xml:space="preserve"> Erez O, Novack L, Beer-Weisel R, Dukler D, Press F, Zlotnik A, et al (2014) DIC Score in Pregnant Women – A Population Based Modification of the International Society on Thrombosis and Hemostasis Score. PLoS ONE. 9: e93240</w:t>
      </w:r>
      <w:r>
        <w:rPr>
          <w:sz w:val="20"/>
          <w:szCs w:val="20"/>
        </w:rPr>
        <w:t>.</w:t>
      </w:r>
    </w:p>
    <w:p w14:paraId="22AAE056" w14:textId="77777777" w:rsidR="008C23C8" w:rsidRPr="00F167C5" w:rsidRDefault="008C23C8" w:rsidP="008C23C8">
      <w:pPr>
        <w:pStyle w:val="Bibliographie1"/>
        <w:jc w:val="both"/>
        <w:rPr>
          <w:sz w:val="20"/>
          <w:szCs w:val="20"/>
        </w:rPr>
      </w:pPr>
      <w:r w:rsidRPr="00F167C5">
        <w:rPr>
          <w:sz w:val="20"/>
          <w:szCs w:val="20"/>
        </w:rPr>
        <w:t xml:space="preserve">7. </w:t>
      </w:r>
      <w:r w:rsidRPr="00F167C5">
        <w:rPr>
          <w:sz w:val="20"/>
          <w:szCs w:val="20"/>
        </w:rPr>
        <w:tab/>
        <w:t xml:space="preserve"> Taylor FB, Toh CH, Hoots WK, Wada H, Levi M (2001) Scientific Subcommittee on Disseminated Intravascular Coagulation (DIC) of the International Society on Thrombosis and Haemostasis (ISTH). Towards definition, clinical and laboratory criteria, and a scoring system for disseminated intravascular coagulation. Thromb Haemost 86:1327</w:t>
      </w:r>
      <w:r w:rsidRPr="00F167C5">
        <w:rPr>
          <w:rFonts w:ascii="MS Mincho" w:eastAsia="MS Mincho" w:hAnsi="MS Mincho" w:cs="MS Mincho"/>
          <w:sz w:val="20"/>
          <w:szCs w:val="20"/>
        </w:rPr>
        <w:t>‑</w:t>
      </w:r>
      <w:r w:rsidRPr="00F167C5">
        <w:rPr>
          <w:sz w:val="20"/>
          <w:szCs w:val="20"/>
        </w:rPr>
        <w:t xml:space="preserve">3 </w:t>
      </w:r>
      <w:r>
        <w:rPr>
          <w:sz w:val="20"/>
          <w:szCs w:val="20"/>
        </w:rPr>
        <w:t>.</w:t>
      </w:r>
    </w:p>
    <w:p w14:paraId="106CF84B" w14:textId="77777777" w:rsidR="00542B23" w:rsidRDefault="008C23C8" w:rsidP="008C23C8">
      <w:r w:rsidRPr="00F167C5">
        <w:rPr>
          <w:rFonts w:ascii="Times New Roman" w:hAnsi="Times New Roman"/>
          <w:sz w:val="20"/>
          <w:szCs w:val="20"/>
        </w:rPr>
        <w:fldChar w:fldCharType="end"/>
      </w:r>
    </w:p>
    <w:sectPr w:rsidR="00542B23" w:rsidSect="001161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9BE"/>
    <w:multiLevelType w:val="multilevel"/>
    <w:tmpl w:val="AD7E341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C8"/>
    <w:rsid w:val="00000C0F"/>
    <w:rsid w:val="00031664"/>
    <w:rsid w:val="00061BD6"/>
    <w:rsid w:val="000856A8"/>
    <w:rsid w:val="0008774F"/>
    <w:rsid w:val="00096B6D"/>
    <w:rsid w:val="00106D32"/>
    <w:rsid w:val="0011615F"/>
    <w:rsid w:val="001A0AB5"/>
    <w:rsid w:val="001A6073"/>
    <w:rsid w:val="001C67B2"/>
    <w:rsid w:val="001E34DA"/>
    <w:rsid w:val="002253FA"/>
    <w:rsid w:val="00226086"/>
    <w:rsid w:val="00276ADA"/>
    <w:rsid w:val="002939E1"/>
    <w:rsid w:val="002A5160"/>
    <w:rsid w:val="002C7DCE"/>
    <w:rsid w:val="00350907"/>
    <w:rsid w:val="003A2294"/>
    <w:rsid w:val="004349CE"/>
    <w:rsid w:val="004371F0"/>
    <w:rsid w:val="00460778"/>
    <w:rsid w:val="004A2C17"/>
    <w:rsid w:val="004D3909"/>
    <w:rsid w:val="00530340"/>
    <w:rsid w:val="0054670E"/>
    <w:rsid w:val="005519A9"/>
    <w:rsid w:val="005F49B4"/>
    <w:rsid w:val="007278F9"/>
    <w:rsid w:val="00730C6E"/>
    <w:rsid w:val="007421B5"/>
    <w:rsid w:val="0075044F"/>
    <w:rsid w:val="00790BF8"/>
    <w:rsid w:val="00795C6A"/>
    <w:rsid w:val="007A50FF"/>
    <w:rsid w:val="007B17FA"/>
    <w:rsid w:val="007E55BB"/>
    <w:rsid w:val="008306DF"/>
    <w:rsid w:val="008A7D48"/>
    <w:rsid w:val="008B55FD"/>
    <w:rsid w:val="008B6B0E"/>
    <w:rsid w:val="008C23C8"/>
    <w:rsid w:val="008C5D1E"/>
    <w:rsid w:val="008C6E52"/>
    <w:rsid w:val="008D55D5"/>
    <w:rsid w:val="008E0991"/>
    <w:rsid w:val="008F4AEC"/>
    <w:rsid w:val="00900CC4"/>
    <w:rsid w:val="00955C37"/>
    <w:rsid w:val="009777E9"/>
    <w:rsid w:val="0099443A"/>
    <w:rsid w:val="009B4DB3"/>
    <w:rsid w:val="009F7788"/>
    <w:rsid w:val="00A22822"/>
    <w:rsid w:val="00A4034D"/>
    <w:rsid w:val="00A60AA4"/>
    <w:rsid w:val="00AC2413"/>
    <w:rsid w:val="00AD4A86"/>
    <w:rsid w:val="00B002E9"/>
    <w:rsid w:val="00B70316"/>
    <w:rsid w:val="00B72788"/>
    <w:rsid w:val="00BF106F"/>
    <w:rsid w:val="00BF28FC"/>
    <w:rsid w:val="00C11917"/>
    <w:rsid w:val="00C22192"/>
    <w:rsid w:val="00C5146B"/>
    <w:rsid w:val="00C747EB"/>
    <w:rsid w:val="00C85CEC"/>
    <w:rsid w:val="00D07BF7"/>
    <w:rsid w:val="00DB475A"/>
    <w:rsid w:val="00DB6591"/>
    <w:rsid w:val="00DD0C94"/>
    <w:rsid w:val="00E23718"/>
    <w:rsid w:val="00E83071"/>
    <w:rsid w:val="00E834CB"/>
    <w:rsid w:val="00EB1E26"/>
    <w:rsid w:val="00EE6011"/>
    <w:rsid w:val="00F70544"/>
    <w:rsid w:val="00F72E14"/>
    <w:rsid w:val="00F834BB"/>
    <w:rsid w:val="00F94C23"/>
    <w:rsid w:val="00FD10E1"/>
    <w:rsid w:val="00FE2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44E89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C8"/>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1">
    <w:name w:val="st1"/>
    <w:rsid w:val="008C23C8"/>
  </w:style>
  <w:style w:type="paragraph" w:styleId="Lgende">
    <w:name w:val="caption"/>
    <w:basedOn w:val="Normal"/>
    <w:next w:val="Normal"/>
    <w:uiPriority w:val="35"/>
    <w:unhideWhenUsed/>
    <w:qFormat/>
    <w:rsid w:val="008C23C8"/>
    <w:rPr>
      <w:b/>
      <w:bCs/>
      <w:sz w:val="20"/>
      <w:szCs w:val="20"/>
    </w:rPr>
  </w:style>
  <w:style w:type="paragraph" w:customStyle="1" w:styleId="Bibliographie1">
    <w:name w:val="Bibliographie1"/>
    <w:basedOn w:val="Normal"/>
    <w:rsid w:val="008C23C8"/>
    <w:pPr>
      <w:tabs>
        <w:tab w:val="left" w:pos="380"/>
      </w:tabs>
      <w:spacing w:after="240"/>
      <w:ind w:left="384" w:hanging="384"/>
    </w:pPr>
    <w:rPr>
      <w:rFonts w:ascii="Times New Roman" w:hAnsi="Times New Roman"/>
      <w:sz w:val="28"/>
      <w:szCs w:val="28"/>
    </w:rPr>
  </w:style>
  <w:style w:type="table" w:styleId="Grilledutableau">
    <w:name w:val="Table Grid"/>
    <w:basedOn w:val="TableauNormal"/>
    <w:uiPriority w:val="39"/>
    <w:rsid w:val="008C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8C2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2980</Words>
  <Characters>16396</Characters>
  <Application>Microsoft Macintosh Word</Application>
  <DocSecurity>0</DocSecurity>
  <Lines>136</Lines>
  <Paragraphs>38</Paragraphs>
  <ScaleCrop>false</ScaleCrop>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2016-11-07T12:54:00Z</dcterms:created>
  <dcterms:modified xsi:type="dcterms:W3CDTF">2016-11-07T12:54:00Z</dcterms:modified>
</cp:coreProperties>
</file>