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C" w:rsidRPr="009B1901" w:rsidRDefault="00BA1C7C" w:rsidP="00BA1C7C">
      <w:pPr>
        <w:spacing w:line="360" w:lineRule="auto"/>
        <w:jc w:val="both"/>
        <w:rPr>
          <w:rFonts w:ascii="Arial" w:hAnsi="Arial"/>
          <w:b/>
          <w:sz w:val="36"/>
          <w:szCs w:val="36"/>
        </w:rPr>
      </w:pPr>
      <w:r w:rsidRPr="009B1901">
        <w:rPr>
          <w:rFonts w:ascii="Arial" w:hAnsi="Arial"/>
          <w:b/>
          <w:sz w:val="36"/>
          <w:szCs w:val="36"/>
        </w:rPr>
        <w:t>Supporting information</w:t>
      </w:r>
    </w:p>
    <w:p w:rsidR="00BA1C7C" w:rsidRPr="009B1901" w:rsidRDefault="00BA1C7C" w:rsidP="00BA1C7C">
      <w:pPr>
        <w:spacing w:line="360" w:lineRule="auto"/>
        <w:jc w:val="both"/>
        <w:rPr>
          <w:rFonts w:ascii="Arial" w:hAnsi="Arial"/>
          <w:b/>
          <w:sz w:val="32"/>
          <w:szCs w:val="32"/>
        </w:rPr>
      </w:pPr>
      <w:r w:rsidRPr="009B1901">
        <w:rPr>
          <w:rFonts w:ascii="Arial" w:hAnsi="Arial"/>
          <w:b/>
          <w:sz w:val="32"/>
          <w:szCs w:val="32"/>
        </w:rPr>
        <w:t xml:space="preserve">Cloning of </w:t>
      </w:r>
      <w:proofErr w:type="spellStart"/>
      <w:r w:rsidRPr="009B1901">
        <w:rPr>
          <w:rFonts w:ascii="Arial" w:hAnsi="Arial"/>
          <w:b/>
          <w:sz w:val="32"/>
          <w:szCs w:val="32"/>
        </w:rPr>
        <w:t>gRNA</w:t>
      </w:r>
      <w:proofErr w:type="spellEnd"/>
      <w:r w:rsidRPr="009B1901">
        <w:rPr>
          <w:rFonts w:ascii="Arial" w:hAnsi="Arial"/>
          <w:b/>
          <w:sz w:val="32"/>
          <w:szCs w:val="32"/>
        </w:rPr>
        <w:t xml:space="preserve"> target vector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 xml:space="preserve">To utilize ribozymes for generation of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, two rounds of PCR followed by self-ligation </w:t>
      </w:r>
      <w:proofErr w:type="gramStart"/>
      <w:r w:rsidRPr="00160433">
        <w:rPr>
          <w:rFonts w:ascii="Arial" w:hAnsi="Arial"/>
          <w:sz w:val="24"/>
          <w:szCs w:val="24"/>
        </w:rPr>
        <w:t>is</w:t>
      </w:r>
      <w:proofErr w:type="gramEnd"/>
      <w:r w:rsidRPr="00160433">
        <w:rPr>
          <w:rFonts w:ascii="Arial" w:hAnsi="Arial"/>
          <w:sz w:val="24"/>
          <w:szCs w:val="24"/>
        </w:rPr>
        <w:t xml:space="preserve"> needed. First round of PCR utilize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Primer F and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Primer R1. PCR product is diluted and another round of PCR is performed with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F and Universal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R2. We typically use high fidelity PCR enzymes and 25 cycles of amplification. After second round of PCR, </w:t>
      </w:r>
      <w:proofErr w:type="spellStart"/>
      <w:r w:rsidRPr="00160433">
        <w:rPr>
          <w:rFonts w:ascii="Arial" w:hAnsi="Arial"/>
          <w:sz w:val="24"/>
          <w:szCs w:val="24"/>
        </w:rPr>
        <w:t>Dpn</w:t>
      </w:r>
      <w:proofErr w:type="spellEnd"/>
      <w:r w:rsidRPr="00160433">
        <w:rPr>
          <w:rFonts w:ascii="Arial" w:hAnsi="Arial"/>
          <w:sz w:val="24"/>
          <w:szCs w:val="24"/>
        </w:rPr>
        <w:t xml:space="preserve"> I is used to remove original template, before self-ligation. Refer to S1B</w:t>
      </w:r>
      <w:r>
        <w:rPr>
          <w:rFonts w:ascii="Arial" w:hAnsi="Arial"/>
          <w:sz w:val="24"/>
          <w:szCs w:val="24"/>
        </w:rPr>
        <w:t xml:space="preserve"> and</w:t>
      </w:r>
      <w:r w:rsidRPr="00160433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S1</w:t>
      </w:r>
      <w:r w:rsidRPr="00160433">
        <w:rPr>
          <w:rFonts w:ascii="Arial" w:hAnsi="Arial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 Figs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Pr="00160433">
        <w:rPr>
          <w:rFonts w:ascii="Arial" w:hAnsi="Arial"/>
          <w:sz w:val="24"/>
          <w:szCs w:val="24"/>
        </w:rPr>
        <w:t xml:space="preserve">for map of template. After cloning, sequencing is used to verify that the cloning worked (primer used </w:t>
      </w:r>
      <w:proofErr w:type="spellStart"/>
      <w:r w:rsidRPr="00160433">
        <w:rPr>
          <w:rFonts w:ascii="Arial" w:hAnsi="Arial"/>
          <w:sz w:val="24"/>
          <w:szCs w:val="24"/>
        </w:rPr>
        <w:t>Seq</w:t>
      </w:r>
      <w:proofErr w:type="spellEnd"/>
      <w:r w:rsidRPr="00160433">
        <w:rPr>
          <w:rFonts w:ascii="Arial" w:hAnsi="Arial"/>
          <w:sz w:val="24"/>
          <w:szCs w:val="24"/>
        </w:rPr>
        <w:t xml:space="preserve">/Template F). We typically use PCR with </w:t>
      </w:r>
      <w:proofErr w:type="spellStart"/>
      <w:r w:rsidRPr="00160433">
        <w:rPr>
          <w:rFonts w:ascii="Arial" w:hAnsi="Arial"/>
          <w:sz w:val="24"/>
          <w:szCs w:val="24"/>
        </w:rPr>
        <w:t>Seq</w:t>
      </w:r>
      <w:proofErr w:type="spellEnd"/>
      <w:r w:rsidRPr="00160433">
        <w:rPr>
          <w:rFonts w:ascii="Arial" w:hAnsi="Arial"/>
          <w:sz w:val="24"/>
          <w:szCs w:val="24"/>
        </w:rPr>
        <w:t xml:space="preserve">/Template F and Template R to generate the template for IVT. We typically prefer to clone our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constructs in vectors as it provides greater quality control and it is still quite fast (whole procedure typically only takes 2-3 days). Currently a p3E gateway plasmid containing the U6 promoter is available, this plasmid can also be used for IVT of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>. The U6 promoter can be replaced with other tissue specific promoters via cloning.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160433">
        <w:rPr>
          <w:rFonts w:ascii="Arial" w:hAnsi="Arial"/>
          <w:sz w:val="24"/>
          <w:szCs w:val="24"/>
        </w:rPr>
        <w:t>gRNA</w:t>
      </w:r>
      <w:proofErr w:type="spellEnd"/>
      <w:proofErr w:type="gramEnd"/>
      <w:r w:rsidRPr="00160433">
        <w:rPr>
          <w:rFonts w:ascii="Arial" w:hAnsi="Arial"/>
          <w:sz w:val="24"/>
          <w:szCs w:val="24"/>
        </w:rPr>
        <w:t xml:space="preserve"> Primer F: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(</w:t>
      </w:r>
      <w:proofErr w:type="gramStart"/>
      <w:r w:rsidRPr="00160433">
        <w:rPr>
          <w:rFonts w:ascii="Arial" w:hAnsi="Arial"/>
          <w:sz w:val="24"/>
          <w:szCs w:val="24"/>
        </w:rPr>
        <w:t>N20</w:t>
      </w:r>
      <w:r w:rsidRPr="00160433">
        <w:rPr>
          <w:rFonts w:ascii="Arial" w:hAnsi="Arial"/>
        </w:rPr>
        <w:t>)</w:t>
      </w:r>
      <w:proofErr w:type="gramEnd"/>
      <w:r w:rsidRPr="00160433">
        <w:rPr>
          <w:rFonts w:ascii="Arial" w:hAnsi="Arial"/>
          <w:sz w:val="24"/>
          <w:szCs w:val="24"/>
        </w:rPr>
        <w:t>GTTTTAGAGCTAGAAATAG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 xml:space="preserve">N20 refers to the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target sequence. 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160433">
        <w:rPr>
          <w:rFonts w:ascii="Arial" w:hAnsi="Arial"/>
          <w:sz w:val="24"/>
          <w:szCs w:val="24"/>
        </w:rPr>
        <w:t>gRNA</w:t>
      </w:r>
      <w:proofErr w:type="spellEnd"/>
      <w:proofErr w:type="gramEnd"/>
      <w:r w:rsidRPr="00160433">
        <w:rPr>
          <w:rFonts w:ascii="Arial" w:hAnsi="Arial"/>
          <w:sz w:val="24"/>
          <w:szCs w:val="24"/>
        </w:rPr>
        <w:t xml:space="preserve"> Primer R1: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160433">
        <w:rPr>
          <w:rFonts w:ascii="Arial" w:hAnsi="Arial"/>
          <w:sz w:val="24"/>
          <w:szCs w:val="24"/>
        </w:rPr>
        <w:t>GTCCTCACGGACTCATCAG(</w:t>
      </w:r>
      <w:proofErr w:type="gramEnd"/>
      <w:r w:rsidRPr="00160433">
        <w:rPr>
          <w:rFonts w:ascii="Arial" w:hAnsi="Arial"/>
          <w:sz w:val="24"/>
          <w:szCs w:val="24"/>
        </w:rPr>
        <w:t>N6)CCTATAGTGAGTC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 xml:space="preserve">N6 refers to the reverse complement of the first nucleotides of the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target sequence. 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List of universal primers: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 xml:space="preserve">Universal </w:t>
      </w:r>
      <w:proofErr w:type="spellStart"/>
      <w:r w:rsidRPr="00160433">
        <w:rPr>
          <w:rFonts w:ascii="Arial" w:hAnsi="Arial"/>
          <w:sz w:val="24"/>
          <w:szCs w:val="24"/>
        </w:rPr>
        <w:t>gRNA</w:t>
      </w:r>
      <w:proofErr w:type="spellEnd"/>
      <w:r w:rsidRPr="00160433">
        <w:rPr>
          <w:rFonts w:ascii="Arial" w:hAnsi="Arial"/>
          <w:sz w:val="24"/>
          <w:szCs w:val="24"/>
        </w:rPr>
        <w:t xml:space="preserve"> R2 (5’ phosphorylated):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5’PO</w:t>
      </w:r>
      <w:r w:rsidRPr="00160433">
        <w:rPr>
          <w:rFonts w:ascii="Arial" w:hAnsi="Arial"/>
          <w:sz w:val="24"/>
          <w:szCs w:val="24"/>
          <w:vertAlign w:val="subscript"/>
        </w:rPr>
        <w:t>4</w:t>
      </w:r>
      <w:r w:rsidRPr="00160433">
        <w:rPr>
          <w:rFonts w:ascii="Arial" w:hAnsi="Arial"/>
          <w:sz w:val="24"/>
          <w:szCs w:val="24"/>
        </w:rPr>
        <w:t>/GACGAGCTTACTCGTTTCGTCCTCACGGACTCATCAG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Forward primer for sequencing and Template amplification: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lastRenderedPageBreak/>
        <w:t>CCACGGTAAACCCTCACACAAAC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Reverse Primer for template amplification: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AAAAGCACCGACTCGGTGCCAC</w:t>
      </w:r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A1C7C" w:rsidRPr="009B1901" w:rsidRDefault="00BA1C7C" w:rsidP="00BA1C7C">
      <w:pPr>
        <w:spacing w:line="360" w:lineRule="auto"/>
        <w:jc w:val="both"/>
        <w:rPr>
          <w:rFonts w:ascii="Arial" w:hAnsi="Arial"/>
          <w:b/>
          <w:sz w:val="32"/>
          <w:szCs w:val="32"/>
        </w:rPr>
      </w:pPr>
      <w:proofErr w:type="gramStart"/>
      <w:r w:rsidRPr="009B1901">
        <w:rPr>
          <w:rFonts w:ascii="Arial" w:hAnsi="Arial"/>
          <w:b/>
          <w:sz w:val="32"/>
          <w:szCs w:val="32"/>
        </w:rPr>
        <w:t>Genotyping using PAGE analysis.</w:t>
      </w:r>
      <w:proofErr w:type="gramEnd"/>
    </w:p>
    <w:p w:rsidR="00BA1C7C" w:rsidRPr="00160433" w:rsidRDefault="00BA1C7C" w:rsidP="00BA1C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160433">
        <w:rPr>
          <w:rFonts w:ascii="Arial" w:hAnsi="Arial"/>
          <w:sz w:val="24"/>
          <w:szCs w:val="24"/>
        </w:rPr>
        <w:t>We recommend PCR products that are between 100-</w:t>
      </w:r>
      <w:proofErr w:type="gramStart"/>
      <w:r w:rsidRPr="00160433">
        <w:rPr>
          <w:rFonts w:ascii="Arial" w:hAnsi="Arial"/>
          <w:sz w:val="24"/>
          <w:szCs w:val="24"/>
        </w:rPr>
        <w:t>500bp,</w:t>
      </w:r>
      <w:proofErr w:type="gramEnd"/>
      <w:r w:rsidRPr="00160433">
        <w:rPr>
          <w:rFonts w:ascii="Arial" w:hAnsi="Arial"/>
          <w:sz w:val="24"/>
          <w:szCs w:val="24"/>
        </w:rPr>
        <w:t xml:space="preserve"> typically we have used 6.9% PAGE gels. Running a wild-type or non-injected sibling control would be reveal whether there is any polymorphism, as they would also contain </w:t>
      </w:r>
      <w:proofErr w:type="spellStart"/>
      <w:r w:rsidRPr="00160433">
        <w:rPr>
          <w:rFonts w:ascii="Arial" w:hAnsi="Arial"/>
          <w:sz w:val="24"/>
          <w:szCs w:val="24"/>
        </w:rPr>
        <w:t>heteroduplex</w:t>
      </w:r>
      <w:proofErr w:type="spellEnd"/>
      <w:r w:rsidRPr="00160433">
        <w:rPr>
          <w:rFonts w:ascii="Arial" w:hAnsi="Arial"/>
          <w:sz w:val="24"/>
          <w:szCs w:val="24"/>
        </w:rPr>
        <w:t xml:space="preserve"> bands. </w:t>
      </w:r>
      <w:proofErr w:type="spellStart"/>
      <w:r w:rsidRPr="00160433">
        <w:rPr>
          <w:rFonts w:ascii="Arial" w:hAnsi="Arial"/>
          <w:sz w:val="24"/>
          <w:szCs w:val="24"/>
        </w:rPr>
        <w:t>Heteroduplexes</w:t>
      </w:r>
      <w:proofErr w:type="spellEnd"/>
      <w:r w:rsidRPr="00160433">
        <w:rPr>
          <w:rFonts w:ascii="Arial" w:hAnsi="Arial"/>
          <w:sz w:val="24"/>
          <w:szCs w:val="24"/>
        </w:rPr>
        <w:t xml:space="preserve"> can also be further analysed by sequencing. </w:t>
      </w:r>
      <w:proofErr w:type="spellStart"/>
      <w:r w:rsidRPr="00160433">
        <w:rPr>
          <w:rFonts w:ascii="Arial" w:hAnsi="Arial"/>
          <w:sz w:val="24"/>
          <w:szCs w:val="24"/>
        </w:rPr>
        <w:t>Heteroduplexes</w:t>
      </w:r>
      <w:proofErr w:type="spellEnd"/>
      <w:r w:rsidRPr="00160433">
        <w:rPr>
          <w:rFonts w:ascii="Arial" w:hAnsi="Arial"/>
          <w:sz w:val="24"/>
          <w:szCs w:val="24"/>
        </w:rPr>
        <w:t xml:space="preserve"> can be recovered by cutting out the bands and re-amplifying using the same primers. For detailed protocol refer to Chen et al. </w:t>
      </w:r>
      <w:r>
        <w:rPr>
          <w:rFonts w:ascii="Arial" w:hAnsi="Arial"/>
          <w:sz w:val="24"/>
          <w:szCs w:val="24"/>
          <w:lang w:val="en-US" w:eastAsia="en-US"/>
        </w:rPr>
        <w:t>[21]</w:t>
      </w:r>
      <w:r w:rsidRPr="00160433">
        <w:rPr>
          <w:rFonts w:ascii="Arial" w:hAnsi="Arial"/>
          <w:sz w:val="24"/>
          <w:szCs w:val="24"/>
        </w:rPr>
        <w:t>.</w:t>
      </w:r>
    </w:p>
    <w:p w:rsidR="001008D1" w:rsidRDefault="001008D1">
      <w:bookmarkStart w:id="0" w:name="_GoBack"/>
      <w:bookmarkEnd w:id="0"/>
    </w:p>
    <w:sectPr w:rsidR="001008D1" w:rsidSect="005520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C"/>
    <w:rsid w:val="001008D1"/>
    <w:rsid w:val="00552001"/>
    <w:rsid w:val="00B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4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7C"/>
    <w:pPr>
      <w:spacing w:after="200" w:line="276" w:lineRule="auto"/>
    </w:pPr>
    <w:rPr>
      <w:rFonts w:ascii="Calibri" w:eastAsia="SimSun" w:hAnsi="Calibri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7C"/>
    <w:pPr>
      <w:spacing w:after="200" w:line="276" w:lineRule="auto"/>
    </w:pPr>
    <w:rPr>
      <w:rFonts w:ascii="Calibri" w:eastAsia="SimSun" w:hAnsi="Calibri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</cp:revision>
  <dcterms:created xsi:type="dcterms:W3CDTF">2016-11-03T12:00:00Z</dcterms:created>
  <dcterms:modified xsi:type="dcterms:W3CDTF">2016-11-03T12:01:00Z</dcterms:modified>
</cp:coreProperties>
</file>