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7" w:rsidRDefault="00F00CB7" w:rsidP="00F00CB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54066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Table.</w:t>
      </w:r>
      <w:r>
        <w:rPr>
          <w:rFonts w:ascii="Arial" w:hAnsi="Arial" w:cs="Arial"/>
        </w:rPr>
        <w:t xml:space="preserve"> </w:t>
      </w:r>
      <w:r w:rsidR="00866199" w:rsidRPr="00866199">
        <w:rPr>
          <w:rFonts w:ascii="Arial" w:hAnsi="Arial" w:cs="Arial"/>
        </w:rPr>
        <w:t>Impact of orphan drug company status on company performance as estimated by EBITDA/REV</w:t>
      </w:r>
    </w:p>
    <w:p w:rsidR="00F00CB7" w:rsidRDefault="00F00CB7" w:rsidP="00F00CB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529"/>
        <w:gridCol w:w="1529"/>
        <w:gridCol w:w="1529"/>
        <w:gridCol w:w="1529"/>
      </w:tblGrid>
      <w:tr w:rsidR="00866199" w:rsidRPr="003F6850" w:rsidTr="00866199">
        <w:tc>
          <w:tcPr>
            <w:tcW w:w="1667" w:type="pct"/>
            <w:shd w:val="clear" w:color="auto" w:fill="D9D9D9" w:themeFill="background1" w:themeFillShade="D9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Pooled OLS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GMM</w:t>
            </w:r>
          </w:p>
        </w:tc>
      </w:tr>
      <w:tr w:rsidR="00866199" w:rsidRPr="003F6850" w:rsidTr="00866199">
        <w:tc>
          <w:tcPr>
            <w:tcW w:w="1667" w:type="pct"/>
            <w:shd w:val="clear" w:color="auto" w:fill="D9D9D9" w:themeFill="background1" w:themeFillShade="D9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Estimator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value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866199" w:rsidRPr="003F6850" w:rsidRDefault="00866199" w:rsidP="006D4A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Estimator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866199" w:rsidRPr="003F6850" w:rsidRDefault="00866199" w:rsidP="006D4A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value</w:t>
            </w: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ORPHAN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9.196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0.002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5.732</w:t>
            </w:r>
          </w:p>
        </w:tc>
        <w:tc>
          <w:tcPr>
            <w:tcW w:w="833" w:type="pct"/>
          </w:tcPr>
          <w:p w:rsid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0.042</w:t>
            </w: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0.031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0.951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0.370</w:t>
            </w:r>
          </w:p>
        </w:tc>
        <w:tc>
          <w:tcPr>
            <w:tcW w:w="833" w:type="pct"/>
          </w:tcPr>
          <w:p w:rsid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0.730</w:t>
            </w: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Leverage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-5.095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0.038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-4.553</w:t>
            </w:r>
          </w:p>
        </w:tc>
        <w:tc>
          <w:tcPr>
            <w:tcW w:w="833" w:type="pct"/>
          </w:tcPr>
          <w:p w:rsid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0.370</w:t>
            </w: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&amp;</w:t>
            </w:r>
            <w:r w:rsidRPr="003F6850">
              <w:rPr>
                <w:rFonts w:ascii="Arial" w:hAnsi="Arial" w:cs="Arial"/>
              </w:rPr>
              <w:t>D/T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-51.241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0.003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-84.906</w:t>
            </w:r>
          </w:p>
        </w:tc>
        <w:tc>
          <w:tcPr>
            <w:tcW w:w="833" w:type="pct"/>
          </w:tcPr>
          <w:p w:rsid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0.030</w:t>
            </w: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Capex/PPE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-12.711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0.031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3.351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0.766</w:t>
            </w: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Constant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4.610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0.484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-1.112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0.950</w:t>
            </w: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Dependent</w:t>
            </w:r>
            <w:r w:rsidRPr="00866199">
              <w:rPr>
                <w:rFonts w:ascii="Arial" w:hAnsi="Arial" w:cs="Arial"/>
                <w:vertAlign w:val="subscript"/>
              </w:rPr>
              <w:t>t-1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0.272</w:t>
            </w:r>
          </w:p>
        </w:tc>
        <w:tc>
          <w:tcPr>
            <w:tcW w:w="833" w:type="pct"/>
          </w:tcPr>
          <w:p w:rsidR="00866199" w:rsidRPr="003F6850" w:rsidRDefault="00866199" w:rsidP="008661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866199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866199" w:rsidRPr="003F6850" w:rsidTr="00866199">
        <w:tc>
          <w:tcPr>
            <w:tcW w:w="1667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6199" w:rsidRPr="003F6850" w:rsidTr="00866199">
        <w:tc>
          <w:tcPr>
            <w:tcW w:w="1667" w:type="pct"/>
          </w:tcPr>
          <w:p w:rsidR="00866199" w:rsidRPr="00140FF0" w:rsidRDefault="00866199" w:rsidP="006D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Number of observations</w:t>
            </w:r>
          </w:p>
        </w:tc>
        <w:tc>
          <w:tcPr>
            <w:tcW w:w="833" w:type="pct"/>
          </w:tcPr>
          <w:p w:rsidR="00866199" w:rsidRPr="003F6850" w:rsidRDefault="00866199" w:rsidP="00CE1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2,574</w:t>
            </w:r>
          </w:p>
        </w:tc>
        <w:tc>
          <w:tcPr>
            <w:tcW w:w="833" w:type="pct"/>
          </w:tcPr>
          <w:p w:rsidR="00866199" w:rsidRPr="003F6850" w:rsidRDefault="00866199" w:rsidP="00CE1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CE19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2,259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6199" w:rsidRPr="003F6850" w:rsidTr="00866199">
        <w:tc>
          <w:tcPr>
            <w:tcW w:w="1667" w:type="pct"/>
          </w:tcPr>
          <w:p w:rsidR="00866199" w:rsidRPr="00140FF0" w:rsidRDefault="00866199" w:rsidP="006D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Number of cases : controls</w:t>
            </w: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85 : 255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80 : 238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6199" w:rsidRPr="003F6850" w:rsidTr="00F47A4B">
        <w:tc>
          <w:tcPr>
            <w:tcW w:w="1667" w:type="pct"/>
          </w:tcPr>
          <w:p w:rsidR="00866199" w:rsidRPr="003F6850" w:rsidRDefault="00866199" w:rsidP="00F47A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R-squared</w:t>
            </w:r>
          </w:p>
        </w:tc>
        <w:tc>
          <w:tcPr>
            <w:tcW w:w="833" w:type="pct"/>
          </w:tcPr>
          <w:p w:rsidR="00866199" w:rsidRPr="003F6850" w:rsidRDefault="00866199" w:rsidP="00F47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0.048</w:t>
            </w:r>
          </w:p>
        </w:tc>
        <w:tc>
          <w:tcPr>
            <w:tcW w:w="833" w:type="pct"/>
          </w:tcPr>
          <w:p w:rsidR="00866199" w:rsidRPr="003F6850" w:rsidRDefault="00866199" w:rsidP="00F47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F47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F47A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6199" w:rsidRPr="003F6850" w:rsidTr="00866199">
        <w:tc>
          <w:tcPr>
            <w:tcW w:w="1667" w:type="pct"/>
          </w:tcPr>
          <w:p w:rsidR="00866199" w:rsidRPr="00140FF0" w:rsidRDefault="00866199" w:rsidP="006D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Number of instruments</w:t>
            </w: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283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6199" w:rsidRPr="003F6850" w:rsidTr="000D31B6">
        <w:tc>
          <w:tcPr>
            <w:tcW w:w="1667" w:type="pct"/>
            <w:vAlign w:val="center"/>
          </w:tcPr>
          <w:p w:rsidR="00866199" w:rsidRPr="00140FF0" w:rsidRDefault="00866199" w:rsidP="006D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 xml:space="preserve">AR(2) test </w:t>
            </w: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0.146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6199" w:rsidRPr="003F6850" w:rsidTr="000D31B6">
        <w:tc>
          <w:tcPr>
            <w:tcW w:w="1667" w:type="pct"/>
            <w:vAlign w:val="center"/>
          </w:tcPr>
          <w:p w:rsidR="00866199" w:rsidRPr="00140FF0" w:rsidRDefault="00866199" w:rsidP="006D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Hansen test</w:t>
            </w: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0.390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6199" w:rsidRPr="003F6850" w:rsidTr="000D31B6">
        <w:tc>
          <w:tcPr>
            <w:tcW w:w="1667" w:type="pct"/>
            <w:vAlign w:val="center"/>
          </w:tcPr>
          <w:p w:rsidR="00866199" w:rsidRPr="00140FF0" w:rsidRDefault="00866199" w:rsidP="006D4A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0FF0">
              <w:rPr>
                <w:rFonts w:ascii="Arial" w:hAnsi="Arial" w:cs="Arial"/>
              </w:rPr>
              <w:t>Difference-in-Hansen test</w:t>
            </w: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866199" w:rsidRPr="00866199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866199">
              <w:rPr>
                <w:rFonts w:ascii="Arial" w:hAnsi="Arial" w:cs="Arial"/>
              </w:rPr>
              <w:t>0.996</w:t>
            </w:r>
          </w:p>
        </w:tc>
        <w:tc>
          <w:tcPr>
            <w:tcW w:w="833" w:type="pct"/>
          </w:tcPr>
          <w:p w:rsidR="00866199" w:rsidRPr="003F6850" w:rsidRDefault="00866199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F00CB7" w:rsidRDefault="00F00CB7" w:rsidP="00F00CB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866199" w:rsidRPr="00866199" w:rsidRDefault="00866199" w:rsidP="00F00CB7">
      <w:pPr>
        <w:rPr>
          <w:rFonts w:ascii="Arial" w:hAnsi="Arial" w:cs="Arial"/>
        </w:rPr>
      </w:pPr>
      <w:r>
        <w:rPr>
          <w:rFonts w:ascii="Arial" w:hAnsi="Arial" w:cs="Arial"/>
        </w:rPr>
        <w:t>The pooled OLS regression</w:t>
      </w:r>
      <w:r w:rsidRPr="00866199">
        <w:rPr>
          <w:rFonts w:ascii="Arial" w:hAnsi="Arial" w:cs="Arial"/>
        </w:rPr>
        <w:t xml:space="preserve"> </w:t>
      </w:r>
      <w:r w:rsidRPr="00866199">
        <w:rPr>
          <w:rFonts w:ascii="Arial" w:hAnsi="Arial" w:cs="Arial"/>
        </w:rPr>
        <w:t>include</w:t>
      </w:r>
      <w:r>
        <w:rPr>
          <w:rFonts w:ascii="Arial" w:hAnsi="Arial" w:cs="Arial"/>
        </w:rPr>
        <w:t>s</w:t>
      </w:r>
      <w:r w:rsidRPr="00866199">
        <w:rPr>
          <w:rFonts w:ascii="Arial" w:hAnsi="Arial" w:cs="Arial"/>
        </w:rPr>
        <w:t xml:space="preserve"> time and country dummy variables</w:t>
      </w:r>
      <w:r>
        <w:rPr>
          <w:rFonts w:ascii="Arial" w:hAnsi="Arial" w:cs="Arial"/>
        </w:rPr>
        <w:t xml:space="preserve">, and </w:t>
      </w:r>
      <w:r w:rsidRPr="00866199">
        <w:rPr>
          <w:rFonts w:ascii="Arial" w:hAnsi="Arial" w:cs="Arial"/>
        </w:rPr>
        <w:t>t-statistics are based on robust,</w:t>
      </w:r>
      <w:r>
        <w:rPr>
          <w:rFonts w:ascii="Arial" w:hAnsi="Arial" w:cs="Arial"/>
        </w:rPr>
        <w:t xml:space="preserve"> firm-clustered standard errors</w:t>
      </w:r>
      <w:r w:rsidRPr="00866199">
        <w:rPr>
          <w:rFonts w:ascii="Arial" w:hAnsi="Arial" w:cs="Arial"/>
        </w:rPr>
        <w:t>.</w:t>
      </w:r>
    </w:p>
    <w:p w:rsidR="00866199" w:rsidRPr="00866199" w:rsidRDefault="00866199" w:rsidP="00866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system GMM </w:t>
      </w:r>
      <w:r w:rsidRPr="00866199">
        <w:rPr>
          <w:rFonts w:ascii="Arial" w:hAnsi="Arial" w:cs="Arial"/>
        </w:rPr>
        <w:t>regression include</w:t>
      </w:r>
      <w:r>
        <w:rPr>
          <w:rFonts w:ascii="Arial" w:hAnsi="Arial" w:cs="Arial"/>
        </w:rPr>
        <w:t>s</w:t>
      </w:r>
      <w:r w:rsidRPr="00866199">
        <w:rPr>
          <w:rFonts w:ascii="Arial" w:hAnsi="Arial" w:cs="Arial"/>
        </w:rPr>
        <w:t xml:space="preserve"> time </w:t>
      </w:r>
      <w:r w:rsidR="006A0479">
        <w:rPr>
          <w:rFonts w:ascii="Arial" w:hAnsi="Arial" w:cs="Arial"/>
        </w:rPr>
        <w:t xml:space="preserve">and country </w:t>
      </w:r>
      <w:r w:rsidRPr="00866199">
        <w:rPr>
          <w:rFonts w:ascii="Arial" w:hAnsi="Arial" w:cs="Arial"/>
        </w:rPr>
        <w:t>dum</w:t>
      </w:r>
      <w:r>
        <w:rPr>
          <w:rFonts w:ascii="Arial" w:hAnsi="Arial" w:cs="Arial"/>
        </w:rPr>
        <w:t>mies. Instruments are set from</w:t>
      </w:r>
      <w:r w:rsidRPr="00866199">
        <w:rPr>
          <w:rFonts w:ascii="Arial" w:hAnsi="Arial" w:cs="Arial"/>
        </w:rPr>
        <w:t xml:space="preserve"> t-</w:t>
      </w:r>
      <w:r w:rsidR="006A04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onwards</w:t>
      </w:r>
      <w:r w:rsidR="006A0479">
        <w:rPr>
          <w:rFonts w:ascii="Arial" w:hAnsi="Arial" w:cs="Arial"/>
        </w:rPr>
        <w:t xml:space="preserve"> for the financial variables</w:t>
      </w:r>
      <w:bookmarkStart w:id="0" w:name="_GoBack"/>
      <w:bookmarkEnd w:id="0"/>
      <w:r w:rsidRPr="00866199">
        <w:rPr>
          <w:rFonts w:ascii="Arial" w:hAnsi="Arial" w:cs="Arial"/>
        </w:rPr>
        <w:t>.</w:t>
      </w:r>
    </w:p>
    <w:p w:rsidR="00866199" w:rsidRPr="00866199" w:rsidRDefault="00866199" w:rsidP="00866199">
      <w:pPr>
        <w:rPr>
          <w:rFonts w:ascii="Arial" w:hAnsi="Arial" w:cs="Arial"/>
        </w:rPr>
      </w:pPr>
      <w:r w:rsidRPr="00866199">
        <w:rPr>
          <w:rFonts w:ascii="Arial" w:hAnsi="Arial" w:cs="Arial"/>
        </w:rPr>
        <w:t>The number of companies included in the analys</w:t>
      </w:r>
      <w:r>
        <w:rPr>
          <w:rFonts w:ascii="Arial" w:hAnsi="Arial" w:cs="Arial"/>
        </w:rPr>
        <w:t>i</w:t>
      </w:r>
      <w:r w:rsidRPr="00866199">
        <w:rPr>
          <w:rFonts w:ascii="Arial" w:hAnsi="Arial" w:cs="Arial"/>
        </w:rPr>
        <w:t xml:space="preserve">s was lower than the original sample of 86 cases and 258 controls. This was </w:t>
      </w:r>
      <w:r>
        <w:rPr>
          <w:rFonts w:ascii="Arial" w:hAnsi="Arial" w:cs="Arial"/>
        </w:rPr>
        <w:t>because</w:t>
      </w:r>
      <w:r w:rsidRPr="00866199">
        <w:rPr>
          <w:rFonts w:ascii="Arial" w:hAnsi="Arial" w:cs="Arial"/>
        </w:rPr>
        <w:t xml:space="preserve"> system GMM requires at least two years of data, which were n</w:t>
      </w:r>
      <w:r>
        <w:rPr>
          <w:rFonts w:ascii="Arial" w:hAnsi="Arial" w:cs="Arial"/>
        </w:rPr>
        <w:t>ot available for some companies</w:t>
      </w:r>
      <w:r w:rsidRPr="00866199">
        <w:rPr>
          <w:rFonts w:ascii="Arial" w:hAnsi="Arial" w:cs="Arial"/>
        </w:rPr>
        <w:t>.</w:t>
      </w:r>
    </w:p>
    <w:p w:rsidR="00841518" w:rsidRPr="00866199" w:rsidRDefault="00866199">
      <w:pPr>
        <w:rPr>
          <w:rFonts w:ascii="Arial" w:hAnsi="Arial" w:cs="Arial"/>
        </w:rPr>
      </w:pPr>
      <w:r w:rsidRPr="00866199">
        <w:rPr>
          <w:rFonts w:ascii="Arial" w:hAnsi="Arial" w:cs="Arial"/>
        </w:rPr>
        <w:t>The AR(2) test reports the P value of a test for second-order serial correlation in the first-differenced residuals, under the null of no serial correlation. The Hansen test reports the P value of the test of over-identification under the null that all instruments are valid. The difference-in-Hansen test reports the P value of the null hypothesis that instruments used for the equations in levels are exogenous.</w:t>
      </w:r>
    </w:p>
    <w:sectPr w:rsidR="00841518" w:rsidRPr="00866199" w:rsidSect="0054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B7"/>
    <w:rsid w:val="00000673"/>
    <w:rsid w:val="00004559"/>
    <w:rsid w:val="00006C11"/>
    <w:rsid w:val="00006D91"/>
    <w:rsid w:val="00006ECA"/>
    <w:rsid w:val="00007561"/>
    <w:rsid w:val="00013337"/>
    <w:rsid w:val="00013842"/>
    <w:rsid w:val="000232A1"/>
    <w:rsid w:val="0002411D"/>
    <w:rsid w:val="000266B3"/>
    <w:rsid w:val="00031CAA"/>
    <w:rsid w:val="00036FCB"/>
    <w:rsid w:val="00040FD6"/>
    <w:rsid w:val="0004334C"/>
    <w:rsid w:val="000438DD"/>
    <w:rsid w:val="000452E4"/>
    <w:rsid w:val="00046332"/>
    <w:rsid w:val="0006072E"/>
    <w:rsid w:val="0006150B"/>
    <w:rsid w:val="00067B3C"/>
    <w:rsid w:val="00071CA5"/>
    <w:rsid w:val="00074075"/>
    <w:rsid w:val="000805FA"/>
    <w:rsid w:val="00083D66"/>
    <w:rsid w:val="00085875"/>
    <w:rsid w:val="000A2C92"/>
    <w:rsid w:val="000B553D"/>
    <w:rsid w:val="000C7686"/>
    <w:rsid w:val="000D16BD"/>
    <w:rsid w:val="000D33BB"/>
    <w:rsid w:val="000D64B5"/>
    <w:rsid w:val="000E12B1"/>
    <w:rsid w:val="000E1D8A"/>
    <w:rsid w:val="000F149C"/>
    <w:rsid w:val="00100EC7"/>
    <w:rsid w:val="00102B38"/>
    <w:rsid w:val="001031F6"/>
    <w:rsid w:val="001053C3"/>
    <w:rsid w:val="00105FE2"/>
    <w:rsid w:val="00111E6B"/>
    <w:rsid w:val="00115045"/>
    <w:rsid w:val="00115A85"/>
    <w:rsid w:val="00126A08"/>
    <w:rsid w:val="001401E4"/>
    <w:rsid w:val="00143C32"/>
    <w:rsid w:val="00146965"/>
    <w:rsid w:val="00150FF9"/>
    <w:rsid w:val="00153E90"/>
    <w:rsid w:val="0015726E"/>
    <w:rsid w:val="00157DF5"/>
    <w:rsid w:val="0016148D"/>
    <w:rsid w:val="00165F1C"/>
    <w:rsid w:val="00176DEB"/>
    <w:rsid w:val="00184570"/>
    <w:rsid w:val="00196188"/>
    <w:rsid w:val="001A50D8"/>
    <w:rsid w:val="001B2486"/>
    <w:rsid w:val="001B6410"/>
    <w:rsid w:val="001C2901"/>
    <w:rsid w:val="001C411E"/>
    <w:rsid w:val="001C62F9"/>
    <w:rsid w:val="001D2F67"/>
    <w:rsid w:val="001D42BE"/>
    <w:rsid w:val="001F1DD1"/>
    <w:rsid w:val="001F3765"/>
    <w:rsid w:val="00211F4B"/>
    <w:rsid w:val="00222B5E"/>
    <w:rsid w:val="00236701"/>
    <w:rsid w:val="00243A8B"/>
    <w:rsid w:val="00244ACE"/>
    <w:rsid w:val="00245166"/>
    <w:rsid w:val="002537A8"/>
    <w:rsid w:val="002549F6"/>
    <w:rsid w:val="002601C6"/>
    <w:rsid w:val="00263551"/>
    <w:rsid w:val="0026559E"/>
    <w:rsid w:val="00272F72"/>
    <w:rsid w:val="0027328B"/>
    <w:rsid w:val="00274570"/>
    <w:rsid w:val="002753A7"/>
    <w:rsid w:val="00277EF1"/>
    <w:rsid w:val="00280D13"/>
    <w:rsid w:val="00281007"/>
    <w:rsid w:val="0028411F"/>
    <w:rsid w:val="00286C77"/>
    <w:rsid w:val="002928DE"/>
    <w:rsid w:val="002A010C"/>
    <w:rsid w:val="002A795F"/>
    <w:rsid w:val="002A7A18"/>
    <w:rsid w:val="002B1547"/>
    <w:rsid w:val="002B67F9"/>
    <w:rsid w:val="002B7EBD"/>
    <w:rsid w:val="002C147B"/>
    <w:rsid w:val="002C4A8D"/>
    <w:rsid w:val="002C72B2"/>
    <w:rsid w:val="002F4155"/>
    <w:rsid w:val="00305000"/>
    <w:rsid w:val="00315B6F"/>
    <w:rsid w:val="003204A2"/>
    <w:rsid w:val="00323E1F"/>
    <w:rsid w:val="003271CB"/>
    <w:rsid w:val="00327C59"/>
    <w:rsid w:val="00331176"/>
    <w:rsid w:val="0033442E"/>
    <w:rsid w:val="0033760F"/>
    <w:rsid w:val="00351107"/>
    <w:rsid w:val="0036017F"/>
    <w:rsid w:val="00363CE5"/>
    <w:rsid w:val="003670CD"/>
    <w:rsid w:val="00391262"/>
    <w:rsid w:val="00397EB1"/>
    <w:rsid w:val="003A2EEC"/>
    <w:rsid w:val="003A4C29"/>
    <w:rsid w:val="003B158C"/>
    <w:rsid w:val="003B22B1"/>
    <w:rsid w:val="003B55F3"/>
    <w:rsid w:val="003B7C99"/>
    <w:rsid w:val="003C1599"/>
    <w:rsid w:val="003C732E"/>
    <w:rsid w:val="003D7262"/>
    <w:rsid w:val="003F2EC8"/>
    <w:rsid w:val="004006A7"/>
    <w:rsid w:val="00404051"/>
    <w:rsid w:val="0041568A"/>
    <w:rsid w:val="004168DD"/>
    <w:rsid w:val="004249C8"/>
    <w:rsid w:val="00443022"/>
    <w:rsid w:val="0045108E"/>
    <w:rsid w:val="00453373"/>
    <w:rsid w:val="00454374"/>
    <w:rsid w:val="00455F8F"/>
    <w:rsid w:val="0046309C"/>
    <w:rsid w:val="00464735"/>
    <w:rsid w:val="004651E7"/>
    <w:rsid w:val="004764EE"/>
    <w:rsid w:val="00480412"/>
    <w:rsid w:val="00484BBB"/>
    <w:rsid w:val="00495733"/>
    <w:rsid w:val="00495DCF"/>
    <w:rsid w:val="004A3297"/>
    <w:rsid w:val="004B6F6D"/>
    <w:rsid w:val="004C04E5"/>
    <w:rsid w:val="004C270F"/>
    <w:rsid w:val="004C30FC"/>
    <w:rsid w:val="004C4636"/>
    <w:rsid w:val="004E222F"/>
    <w:rsid w:val="004E38BE"/>
    <w:rsid w:val="004E6662"/>
    <w:rsid w:val="004E6AE9"/>
    <w:rsid w:val="004E7B12"/>
    <w:rsid w:val="004F4044"/>
    <w:rsid w:val="005111DF"/>
    <w:rsid w:val="00513789"/>
    <w:rsid w:val="005169A2"/>
    <w:rsid w:val="00524DC3"/>
    <w:rsid w:val="00527552"/>
    <w:rsid w:val="005315E9"/>
    <w:rsid w:val="00537190"/>
    <w:rsid w:val="0054066D"/>
    <w:rsid w:val="00547C08"/>
    <w:rsid w:val="00547DFE"/>
    <w:rsid w:val="00555929"/>
    <w:rsid w:val="0055695A"/>
    <w:rsid w:val="005575B4"/>
    <w:rsid w:val="00561DEA"/>
    <w:rsid w:val="00564B9E"/>
    <w:rsid w:val="00571FFD"/>
    <w:rsid w:val="0057597A"/>
    <w:rsid w:val="005800F9"/>
    <w:rsid w:val="00585D53"/>
    <w:rsid w:val="00586C63"/>
    <w:rsid w:val="00587358"/>
    <w:rsid w:val="00592BD6"/>
    <w:rsid w:val="00596704"/>
    <w:rsid w:val="005A5119"/>
    <w:rsid w:val="005B5265"/>
    <w:rsid w:val="005B55A4"/>
    <w:rsid w:val="005B68CE"/>
    <w:rsid w:val="005C4544"/>
    <w:rsid w:val="005D4F65"/>
    <w:rsid w:val="005E5C79"/>
    <w:rsid w:val="005E686F"/>
    <w:rsid w:val="005F125F"/>
    <w:rsid w:val="005F221F"/>
    <w:rsid w:val="005F6AA3"/>
    <w:rsid w:val="006004C6"/>
    <w:rsid w:val="00601393"/>
    <w:rsid w:val="00603F83"/>
    <w:rsid w:val="00606776"/>
    <w:rsid w:val="00616B3D"/>
    <w:rsid w:val="006278EF"/>
    <w:rsid w:val="00630E39"/>
    <w:rsid w:val="00632DC6"/>
    <w:rsid w:val="006418BE"/>
    <w:rsid w:val="006430DC"/>
    <w:rsid w:val="0065011B"/>
    <w:rsid w:val="00651A5E"/>
    <w:rsid w:val="00653D2F"/>
    <w:rsid w:val="00656D6F"/>
    <w:rsid w:val="00657B68"/>
    <w:rsid w:val="00664263"/>
    <w:rsid w:val="0066537A"/>
    <w:rsid w:val="00666C2D"/>
    <w:rsid w:val="00672A0B"/>
    <w:rsid w:val="006902D9"/>
    <w:rsid w:val="006954FF"/>
    <w:rsid w:val="00695C35"/>
    <w:rsid w:val="006A0479"/>
    <w:rsid w:val="006A1A26"/>
    <w:rsid w:val="006B353D"/>
    <w:rsid w:val="006B52CA"/>
    <w:rsid w:val="006C3464"/>
    <w:rsid w:val="006D1789"/>
    <w:rsid w:val="006E380A"/>
    <w:rsid w:val="006F3533"/>
    <w:rsid w:val="00702DDF"/>
    <w:rsid w:val="00705FA5"/>
    <w:rsid w:val="00712BFE"/>
    <w:rsid w:val="007247A2"/>
    <w:rsid w:val="00731C08"/>
    <w:rsid w:val="007334C8"/>
    <w:rsid w:val="00736108"/>
    <w:rsid w:val="00737286"/>
    <w:rsid w:val="00743D60"/>
    <w:rsid w:val="00753AB1"/>
    <w:rsid w:val="00774C77"/>
    <w:rsid w:val="007957BE"/>
    <w:rsid w:val="007978E5"/>
    <w:rsid w:val="007A64B3"/>
    <w:rsid w:val="007C69CF"/>
    <w:rsid w:val="007D7FAE"/>
    <w:rsid w:val="007E3956"/>
    <w:rsid w:val="00802C7E"/>
    <w:rsid w:val="00811591"/>
    <w:rsid w:val="00817B7D"/>
    <w:rsid w:val="008201DE"/>
    <w:rsid w:val="008207CB"/>
    <w:rsid w:val="00821001"/>
    <w:rsid w:val="008256FC"/>
    <w:rsid w:val="0082655E"/>
    <w:rsid w:val="00826892"/>
    <w:rsid w:val="00835846"/>
    <w:rsid w:val="00835D4A"/>
    <w:rsid w:val="00841518"/>
    <w:rsid w:val="0084359C"/>
    <w:rsid w:val="0084768A"/>
    <w:rsid w:val="00855709"/>
    <w:rsid w:val="00866199"/>
    <w:rsid w:val="008720F3"/>
    <w:rsid w:val="00877C9B"/>
    <w:rsid w:val="008834DD"/>
    <w:rsid w:val="00886503"/>
    <w:rsid w:val="00886E32"/>
    <w:rsid w:val="008945EA"/>
    <w:rsid w:val="008A0784"/>
    <w:rsid w:val="008A2DF5"/>
    <w:rsid w:val="008A47B8"/>
    <w:rsid w:val="008A563B"/>
    <w:rsid w:val="008A6DAC"/>
    <w:rsid w:val="008A716E"/>
    <w:rsid w:val="008B1408"/>
    <w:rsid w:val="008B6780"/>
    <w:rsid w:val="008C1CF5"/>
    <w:rsid w:val="008C20D5"/>
    <w:rsid w:val="008D31AB"/>
    <w:rsid w:val="008E00BE"/>
    <w:rsid w:val="008E1D67"/>
    <w:rsid w:val="008E273D"/>
    <w:rsid w:val="008E7EAD"/>
    <w:rsid w:val="008F4224"/>
    <w:rsid w:val="008F515E"/>
    <w:rsid w:val="009131BF"/>
    <w:rsid w:val="00914E4B"/>
    <w:rsid w:val="0092425B"/>
    <w:rsid w:val="00924CC5"/>
    <w:rsid w:val="00924DA2"/>
    <w:rsid w:val="0092598D"/>
    <w:rsid w:val="0092753E"/>
    <w:rsid w:val="0094162A"/>
    <w:rsid w:val="00944B64"/>
    <w:rsid w:val="00955B92"/>
    <w:rsid w:val="00961BE5"/>
    <w:rsid w:val="009646DA"/>
    <w:rsid w:val="00964F53"/>
    <w:rsid w:val="00965D3B"/>
    <w:rsid w:val="00972BBA"/>
    <w:rsid w:val="0097567D"/>
    <w:rsid w:val="00976DCF"/>
    <w:rsid w:val="009A19A6"/>
    <w:rsid w:val="009B6396"/>
    <w:rsid w:val="009B6C3B"/>
    <w:rsid w:val="009C19E6"/>
    <w:rsid w:val="009C7ED8"/>
    <w:rsid w:val="009D097A"/>
    <w:rsid w:val="009D7E33"/>
    <w:rsid w:val="009E0CBE"/>
    <w:rsid w:val="009E26BD"/>
    <w:rsid w:val="009E5CF6"/>
    <w:rsid w:val="009F4566"/>
    <w:rsid w:val="009F4FEB"/>
    <w:rsid w:val="009F57CC"/>
    <w:rsid w:val="009F638E"/>
    <w:rsid w:val="00A04811"/>
    <w:rsid w:val="00A04B09"/>
    <w:rsid w:val="00A05215"/>
    <w:rsid w:val="00A12D3B"/>
    <w:rsid w:val="00A13280"/>
    <w:rsid w:val="00A135AC"/>
    <w:rsid w:val="00A14382"/>
    <w:rsid w:val="00A15EB8"/>
    <w:rsid w:val="00A25508"/>
    <w:rsid w:val="00A3524E"/>
    <w:rsid w:val="00A43EBA"/>
    <w:rsid w:val="00A56828"/>
    <w:rsid w:val="00A57383"/>
    <w:rsid w:val="00A624A7"/>
    <w:rsid w:val="00A6333E"/>
    <w:rsid w:val="00A65157"/>
    <w:rsid w:val="00A652C5"/>
    <w:rsid w:val="00A712C3"/>
    <w:rsid w:val="00A72BB5"/>
    <w:rsid w:val="00A7787C"/>
    <w:rsid w:val="00A84BFA"/>
    <w:rsid w:val="00A87513"/>
    <w:rsid w:val="00A92D67"/>
    <w:rsid w:val="00A9764B"/>
    <w:rsid w:val="00AA0F40"/>
    <w:rsid w:val="00AA128B"/>
    <w:rsid w:val="00AA4552"/>
    <w:rsid w:val="00AB0092"/>
    <w:rsid w:val="00AB0349"/>
    <w:rsid w:val="00AB0D8F"/>
    <w:rsid w:val="00AB6305"/>
    <w:rsid w:val="00AC3515"/>
    <w:rsid w:val="00AC4E4F"/>
    <w:rsid w:val="00AF5E9D"/>
    <w:rsid w:val="00B01501"/>
    <w:rsid w:val="00B0376F"/>
    <w:rsid w:val="00B04AA1"/>
    <w:rsid w:val="00B12EDF"/>
    <w:rsid w:val="00B15010"/>
    <w:rsid w:val="00B216FA"/>
    <w:rsid w:val="00B24B93"/>
    <w:rsid w:val="00B3095E"/>
    <w:rsid w:val="00B30D24"/>
    <w:rsid w:val="00B3446E"/>
    <w:rsid w:val="00B37AD0"/>
    <w:rsid w:val="00B40FE2"/>
    <w:rsid w:val="00B4117C"/>
    <w:rsid w:val="00B4724A"/>
    <w:rsid w:val="00B52DCE"/>
    <w:rsid w:val="00B5326A"/>
    <w:rsid w:val="00B808B5"/>
    <w:rsid w:val="00B820C7"/>
    <w:rsid w:val="00B863AE"/>
    <w:rsid w:val="00BB2B06"/>
    <w:rsid w:val="00BB373B"/>
    <w:rsid w:val="00BB3F1A"/>
    <w:rsid w:val="00BB53B3"/>
    <w:rsid w:val="00BD0E21"/>
    <w:rsid w:val="00BD1EA6"/>
    <w:rsid w:val="00BD5BCA"/>
    <w:rsid w:val="00BE253C"/>
    <w:rsid w:val="00C00E09"/>
    <w:rsid w:val="00C0298E"/>
    <w:rsid w:val="00C03235"/>
    <w:rsid w:val="00C167C4"/>
    <w:rsid w:val="00C168B4"/>
    <w:rsid w:val="00C216FA"/>
    <w:rsid w:val="00C27378"/>
    <w:rsid w:val="00C27385"/>
    <w:rsid w:val="00C37377"/>
    <w:rsid w:val="00C37964"/>
    <w:rsid w:val="00C40A33"/>
    <w:rsid w:val="00C50A09"/>
    <w:rsid w:val="00C51608"/>
    <w:rsid w:val="00C52F2A"/>
    <w:rsid w:val="00C54289"/>
    <w:rsid w:val="00C623F4"/>
    <w:rsid w:val="00C75C7C"/>
    <w:rsid w:val="00C82611"/>
    <w:rsid w:val="00C92C22"/>
    <w:rsid w:val="00C946FD"/>
    <w:rsid w:val="00C9735F"/>
    <w:rsid w:val="00CA3BC5"/>
    <w:rsid w:val="00CB6087"/>
    <w:rsid w:val="00CC10B3"/>
    <w:rsid w:val="00CC4328"/>
    <w:rsid w:val="00CC73E1"/>
    <w:rsid w:val="00CD30CF"/>
    <w:rsid w:val="00CD3EA5"/>
    <w:rsid w:val="00CD5AA2"/>
    <w:rsid w:val="00CE717C"/>
    <w:rsid w:val="00CE7219"/>
    <w:rsid w:val="00CF0B2F"/>
    <w:rsid w:val="00CF2CBC"/>
    <w:rsid w:val="00CF439D"/>
    <w:rsid w:val="00D0150E"/>
    <w:rsid w:val="00D02857"/>
    <w:rsid w:val="00D02EE1"/>
    <w:rsid w:val="00D06B86"/>
    <w:rsid w:val="00D12A51"/>
    <w:rsid w:val="00D16589"/>
    <w:rsid w:val="00D21B40"/>
    <w:rsid w:val="00D23F13"/>
    <w:rsid w:val="00D24918"/>
    <w:rsid w:val="00D335D2"/>
    <w:rsid w:val="00D342CF"/>
    <w:rsid w:val="00D35040"/>
    <w:rsid w:val="00D36DFC"/>
    <w:rsid w:val="00D45173"/>
    <w:rsid w:val="00D55933"/>
    <w:rsid w:val="00D66A79"/>
    <w:rsid w:val="00D66FD7"/>
    <w:rsid w:val="00D710C7"/>
    <w:rsid w:val="00D74777"/>
    <w:rsid w:val="00D8549F"/>
    <w:rsid w:val="00DA3805"/>
    <w:rsid w:val="00DB2389"/>
    <w:rsid w:val="00DC2728"/>
    <w:rsid w:val="00DC719A"/>
    <w:rsid w:val="00DC73C9"/>
    <w:rsid w:val="00DD0E46"/>
    <w:rsid w:val="00DD2AF2"/>
    <w:rsid w:val="00DD2B4E"/>
    <w:rsid w:val="00DD7739"/>
    <w:rsid w:val="00DE181A"/>
    <w:rsid w:val="00DE3A05"/>
    <w:rsid w:val="00DE587B"/>
    <w:rsid w:val="00DF5978"/>
    <w:rsid w:val="00E13C7E"/>
    <w:rsid w:val="00E24B6B"/>
    <w:rsid w:val="00E37322"/>
    <w:rsid w:val="00E60F38"/>
    <w:rsid w:val="00E613B7"/>
    <w:rsid w:val="00E67BDF"/>
    <w:rsid w:val="00E71BA8"/>
    <w:rsid w:val="00E7275E"/>
    <w:rsid w:val="00E74EFF"/>
    <w:rsid w:val="00E755A2"/>
    <w:rsid w:val="00E75A83"/>
    <w:rsid w:val="00E8351E"/>
    <w:rsid w:val="00E85CCF"/>
    <w:rsid w:val="00E9241B"/>
    <w:rsid w:val="00E96801"/>
    <w:rsid w:val="00EA43BA"/>
    <w:rsid w:val="00EB6ADB"/>
    <w:rsid w:val="00EC188D"/>
    <w:rsid w:val="00EC39F6"/>
    <w:rsid w:val="00ED4576"/>
    <w:rsid w:val="00EE01F4"/>
    <w:rsid w:val="00EE0F8E"/>
    <w:rsid w:val="00EF2779"/>
    <w:rsid w:val="00F00CB7"/>
    <w:rsid w:val="00F017D1"/>
    <w:rsid w:val="00F11EA7"/>
    <w:rsid w:val="00F13457"/>
    <w:rsid w:val="00F16D28"/>
    <w:rsid w:val="00F26253"/>
    <w:rsid w:val="00F37005"/>
    <w:rsid w:val="00F37809"/>
    <w:rsid w:val="00F423CE"/>
    <w:rsid w:val="00F42F99"/>
    <w:rsid w:val="00F53472"/>
    <w:rsid w:val="00F569B3"/>
    <w:rsid w:val="00F575FD"/>
    <w:rsid w:val="00F672ED"/>
    <w:rsid w:val="00F704A5"/>
    <w:rsid w:val="00F722CE"/>
    <w:rsid w:val="00F7319B"/>
    <w:rsid w:val="00F817DF"/>
    <w:rsid w:val="00F82947"/>
    <w:rsid w:val="00F86388"/>
    <w:rsid w:val="00F928CA"/>
    <w:rsid w:val="00FA23C9"/>
    <w:rsid w:val="00FB272D"/>
    <w:rsid w:val="00FB3E3F"/>
    <w:rsid w:val="00FB6F19"/>
    <w:rsid w:val="00FC66BF"/>
    <w:rsid w:val="00FD1041"/>
    <w:rsid w:val="00FD4070"/>
    <w:rsid w:val="00FE3733"/>
    <w:rsid w:val="00FF137F"/>
    <w:rsid w:val="00FF2CBE"/>
    <w:rsid w:val="00FF59D5"/>
    <w:rsid w:val="00FF65E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Dyfrig Hughes</dc:creator>
  <cp:lastModifiedBy>Dyfrig Hughes</cp:lastModifiedBy>
  <cp:revision>4</cp:revision>
  <dcterms:created xsi:type="dcterms:W3CDTF">2016-08-23T21:28:00Z</dcterms:created>
  <dcterms:modified xsi:type="dcterms:W3CDTF">2016-08-23T21:44:00Z</dcterms:modified>
</cp:coreProperties>
</file>