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50" w:rsidRPr="003F6850" w:rsidRDefault="00EC024C" w:rsidP="00FC6031">
      <w:pPr>
        <w:rPr>
          <w:rFonts w:ascii="Arial" w:hAnsi="Arial" w:cs="Arial"/>
        </w:rPr>
      </w:pPr>
      <w:bookmarkStart w:id="0" w:name="_GoBack"/>
      <w:bookmarkEnd w:id="0"/>
      <w:proofErr w:type="gramStart"/>
      <w:r>
        <w:rPr>
          <w:rFonts w:ascii="Arial" w:hAnsi="Arial" w:cs="Arial"/>
          <w:b/>
        </w:rPr>
        <w:t xml:space="preserve">S1 </w:t>
      </w:r>
      <w:r w:rsidR="003F6850">
        <w:rPr>
          <w:rFonts w:ascii="Arial" w:hAnsi="Arial" w:cs="Arial"/>
          <w:b/>
        </w:rPr>
        <w:t>T</w:t>
      </w:r>
      <w:r w:rsidR="003F6850" w:rsidRPr="003F6850">
        <w:rPr>
          <w:rFonts w:ascii="Arial" w:hAnsi="Arial" w:cs="Arial"/>
          <w:b/>
        </w:rPr>
        <w:t>able.</w:t>
      </w:r>
      <w:proofErr w:type="gramEnd"/>
      <w:r w:rsidR="003F6850" w:rsidRPr="003F6850">
        <w:rPr>
          <w:rFonts w:ascii="Arial" w:hAnsi="Arial" w:cs="Arial"/>
        </w:rPr>
        <w:t xml:space="preserve"> Mean values of financial variables for orphan </w:t>
      </w:r>
      <w:r w:rsidR="003F6850">
        <w:rPr>
          <w:rFonts w:ascii="Arial" w:hAnsi="Arial" w:cs="Arial"/>
        </w:rPr>
        <w:t xml:space="preserve">companies, </w:t>
      </w:r>
      <w:r w:rsidR="003F6850" w:rsidRPr="003F6850">
        <w:rPr>
          <w:rFonts w:ascii="Arial" w:hAnsi="Arial" w:cs="Arial"/>
        </w:rPr>
        <w:t>and non-orphan drug companies matched by maximum propensity score</w:t>
      </w:r>
    </w:p>
    <w:tbl>
      <w:tblPr>
        <w:tblStyle w:val="TableGrid"/>
        <w:tblW w:w="8897" w:type="dxa"/>
        <w:tblLayout w:type="fixed"/>
        <w:tblLook w:val="04A0" w:firstRow="1" w:lastRow="0" w:firstColumn="1" w:lastColumn="0" w:noHBand="0" w:noVBand="1"/>
      </w:tblPr>
      <w:tblGrid>
        <w:gridCol w:w="2943"/>
        <w:gridCol w:w="1560"/>
        <w:gridCol w:w="2834"/>
        <w:gridCol w:w="1560"/>
      </w:tblGrid>
      <w:tr w:rsidR="003F6850" w:rsidRPr="003F6850" w:rsidTr="004D2955">
        <w:trPr>
          <w:trHeight w:val="566"/>
        </w:trPr>
        <w:tc>
          <w:tcPr>
            <w:tcW w:w="2943" w:type="dxa"/>
            <w:shd w:val="clear" w:color="auto" w:fill="D9D9D9" w:themeFill="background1" w:themeFillShade="D9"/>
          </w:tcPr>
          <w:p w:rsidR="003F6850" w:rsidRPr="003F6850" w:rsidRDefault="003F6850" w:rsidP="00FC6031">
            <w:pPr>
              <w:spacing w:line="276" w:lineRule="auto"/>
              <w:contextualSpacing/>
              <w:rPr>
                <w:rFonts w:ascii="Arial" w:hAnsi="Arial" w:cs="Arial"/>
                <w:b/>
              </w:rPr>
            </w:pPr>
            <w:r w:rsidRPr="003F6850">
              <w:rPr>
                <w:rFonts w:ascii="Arial" w:hAnsi="Arial" w:cs="Arial"/>
                <w:b/>
              </w:rPr>
              <w:t>Variable</w:t>
            </w:r>
          </w:p>
        </w:tc>
        <w:tc>
          <w:tcPr>
            <w:tcW w:w="1560" w:type="dxa"/>
            <w:shd w:val="clear" w:color="auto" w:fill="D9D9D9" w:themeFill="background1" w:themeFillShade="D9"/>
          </w:tcPr>
          <w:p w:rsidR="003F6850" w:rsidRPr="003F6850" w:rsidRDefault="003F6850" w:rsidP="00FC6031">
            <w:pPr>
              <w:spacing w:line="276" w:lineRule="auto"/>
              <w:contextualSpacing/>
              <w:jc w:val="center"/>
              <w:rPr>
                <w:rFonts w:ascii="Arial" w:hAnsi="Arial" w:cs="Arial"/>
                <w:b/>
              </w:rPr>
            </w:pPr>
            <w:r w:rsidRPr="003F6850">
              <w:rPr>
                <w:rFonts w:ascii="Arial" w:hAnsi="Arial" w:cs="Arial"/>
                <w:b/>
              </w:rPr>
              <w:t>Orphan companies</w:t>
            </w:r>
          </w:p>
        </w:tc>
        <w:tc>
          <w:tcPr>
            <w:tcW w:w="4394" w:type="dxa"/>
            <w:gridSpan w:val="2"/>
            <w:shd w:val="clear" w:color="auto" w:fill="D9D9D9" w:themeFill="background1" w:themeFillShade="D9"/>
          </w:tcPr>
          <w:p w:rsidR="003F6850" w:rsidRPr="003F6850" w:rsidRDefault="003F6850" w:rsidP="00FC6031">
            <w:pPr>
              <w:spacing w:after="200" w:line="276" w:lineRule="auto"/>
              <w:contextualSpacing/>
              <w:jc w:val="center"/>
              <w:rPr>
                <w:rFonts w:ascii="Arial" w:hAnsi="Arial" w:cs="Arial"/>
                <w:b/>
              </w:rPr>
            </w:pPr>
            <w:r w:rsidRPr="003F6850">
              <w:rPr>
                <w:rFonts w:ascii="Arial" w:hAnsi="Arial" w:cs="Arial"/>
                <w:b/>
              </w:rPr>
              <w:t>Non-orphan companies matched by maximum</w:t>
            </w:r>
            <w:r w:rsidR="001926BD">
              <w:rPr>
                <w:rFonts w:ascii="Arial" w:hAnsi="Arial" w:cs="Arial"/>
                <w:b/>
              </w:rPr>
              <w:t xml:space="preserve"> </w:t>
            </w:r>
            <w:r w:rsidRPr="003F6850">
              <w:rPr>
                <w:rFonts w:ascii="Arial" w:hAnsi="Arial" w:cs="Arial"/>
                <w:b/>
              </w:rPr>
              <w:t>propensity score</w:t>
            </w:r>
          </w:p>
        </w:tc>
      </w:tr>
      <w:tr w:rsidR="00AA0F2B" w:rsidRPr="003F6850" w:rsidTr="004D2955">
        <w:trPr>
          <w:trHeight w:val="424"/>
        </w:trPr>
        <w:tc>
          <w:tcPr>
            <w:tcW w:w="2943" w:type="dxa"/>
            <w:shd w:val="clear" w:color="auto" w:fill="auto"/>
          </w:tcPr>
          <w:p w:rsidR="00AA0F2B" w:rsidRPr="003F6850" w:rsidRDefault="00AA0F2B" w:rsidP="00FC6031">
            <w:pPr>
              <w:spacing w:line="276" w:lineRule="auto"/>
              <w:contextualSpacing/>
              <w:rPr>
                <w:rFonts w:ascii="Arial" w:hAnsi="Arial" w:cs="Arial"/>
              </w:rPr>
            </w:pPr>
          </w:p>
        </w:tc>
        <w:tc>
          <w:tcPr>
            <w:tcW w:w="1560" w:type="dxa"/>
            <w:shd w:val="clear" w:color="auto" w:fill="auto"/>
          </w:tcPr>
          <w:p w:rsidR="00AA0F2B" w:rsidRPr="003F6850" w:rsidRDefault="00AA0F2B" w:rsidP="00FC6031">
            <w:pPr>
              <w:spacing w:line="276" w:lineRule="auto"/>
              <w:contextualSpacing/>
              <w:jc w:val="center"/>
              <w:rPr>
                <w:rFonts w:ascii="Arial" w:hAnsi="Arial" w:cs="Arial"/>
              </w:rPr>
            </w:pPr>
            <w:r w:rsidRPr="003F6850">
              <w:rPr>
                <w:rFonts w:ascii="Arial" w:hAnsi="Arial" w:cs="Arial"/>
              </w:rPr>
              <w:t>Mean</w:t>
            </w:r>
          </w:p>
        </w:tc>
        <w:tc>
          <w:tcPr>
            <w:tcW w:w="2834" w:type="dxa"/>
            <w:shd w:val="clear" w:color="auto" w:fill="auto"/>
          </w:tcPr>
          <w:p w:rsidR="00AA0F2B" w:rsidRPr="003F6850" w:rsidRDefault="00AA0F2B" w:rsidP="00AA0F2B">
            <w:pPr>
              <w:spacing w:line="276" w:lineRule="auto"/>
              <w:contextualSpacing/>
              <w:jc w:val="center"/>
              <w:rPr>
                <w:rFonts w:ascii="Arial" w:hAnsi="Arial" w:cs="Arial"/>
              </w:rPr>
            </w:pPr>
            <w:r w:rsidRPr="003F6850">
              <w:rPr>
                <w:rFonts w:ascii="Arial" w:hAnsi="Arial" w:cs="Arial"/>
              </w:rPr>
              <w:t>Mean</w:t>
            </w:r>
            <w:r>
              <w:rPr>
                <w:rFonts w:ascii="Arial" w:hAnsi="Arial" w:cs="Arial"/>
              </w:rPr>
              <w:t xml:space="preserve"> (</w:t>
            </w:r>
            <w:r w:rsidRPr="003F6850">
              <w:rPr>
                <w:rFonts w:ascii="Arial" w:hAnsi="Arial" w:cs="Arial"/>
              </w:rPr>
              <w:t>P value</w:t>
            </w:r>
            <w:r>
              <w:rPr>
                <w:rFonts w:ascii="Arial" w:hAnsi="Arial" w:cs="Arial"/>
              </w:rPr>
              <w:t>)</w:t>
            </w:r>
          </w:p>
        </w:tc>
        <w:tc>
          <w:tcPr>
            <w:tcW w:w="1560" w:type="dxa"/>
            <w:shd w:val="clear" w:color="auto" w:fill="auto"/>
          </w:tcPr>
          <w:p w:rsidR="00AA0F2B" w:rsidRPr="003F6850" w:rsidRDefault="00AA0F2B" w:rsidP="00FC6031">
            <w:pPr>
              <w:spacing w:line="276" w:lineRule="auto"/>
              <w:contextualSpacing/>
              <w:jc w:val="center"/>
              <w:rPr>
                <w:rFonts w:ascii="Arial" w:hAnsi="Arial" w:cs="Arial"/>
              </w:rPr>
            </w:pPr>
            <w:r w:rsidRPr="003F6850">
              <w:rPr>
                <w:rFonts w:ascii="Arial" w:hAnsi="Arial" w:cs="Arial"/>
              </w:rPr>
              <w:t>Bias (%)</w:t>
            </w:r>
          </w:p>
        </w:tc>
      </w:tr>
      <w:tr w:rsidR="001926BD" w:rsidRPr="003F6850" w:rsidTr="004D2955">
        <w:tc>
          <w:tcPr>
            <w:tcW w:w="2943" w:type="dxa"/>
          </w:tcPr>
          <w:p w:rsidR="001926BD" w:rsidRPr="003F6850" w:rsidRDefault="001926BD" w:rsidP="00FC6031">
            <w:pPr>
              <w:spacing w:line="276" w:lineRule="auto"/>
              <w:contextualSpacing/>
              <w:rPr>
                <w:rFonts w:ascii="Arial" w:hAnsi="Arial" w:cs="Arial"/>
                <w:i/>
              </w:rPr>
            </w:pPr>
            <w:r w:rsidRPr="003F6850">
              <w:rPr>
                <w:rFonts w:ascii="Arial" w:hAnsi="Arial" w:cs="Arial"/>
                <w:i/>
              </w:rPr>
              <w:t>Performance measure</w:t>
            </w:r>
          </w:p>
        </w:tc>
        <w:tc>
          <w:tcPr>
            <w:tcW w:w="1560" w:type="dxa"/>
          </w:tcPr>
          <w:p w:rsidR="001926BD" w:rsidRPr="003F6850" w:rsidRDefault="001926BD" w:rsidP="00FC6031">
            <w:pPr>
              <w:spacing w:line="276" w:lineRule="auto"/>
              <w:contextualSpacing/>
              <w:rPr>
                <w:rFonts w:ascii="Arial" w:hAnsi="Arial" w:cs="Arial"/>
              </w:rPr>
            </w:pPr>
          </w:p>
        </w:tc>
        <w:tc>
          <w:tcPr>
            <w:tcW w:w="4394" w:type="dxa"/>
            <w:gridSpan w:val="2"/>
          </w:tcPr>
          <w:p w:rsidR="001926BD" w:rsidRPr="003F6850" w:rsidRDefault="001926BD" w:rsidP="00FC6031">
            <w:pPr>
              <w:spacing w:line="276" w:lineRule="auto"/>
              <w:contextualSpacing/>
              <w:rPr>
                <w:rFonts w:ascii="Arial" w:hAnsi="Arial" w:cs="Arial"/>
              </w:rPr>
            </w:pPr>
          </w:p>
        </w:tc>
      </w:tr>
      <w:tr w:rsidR="00AA0F2B" w:rsidRPr="003F6850" w:rsidTr="004D2955">
        <w:tc>
          <w:tcPr>
            <w:tcW w:w="2943" w:type="dxa"/>
          </w:tcPr>
          <w:p w:rsidR="00AA0F2B" w:rsidRPr="003F6850" w:rsidRDefault="00AA0F2B" w:rsidP="00FC6031">
            <w:pPr>
              <w:spacing w:after="200" w:line="276" w:lineRule="auto"/>
              <w:contextualSpacing/>
              <w:rPr>
                <w:rFonts w:ascii="Arial" w:hAnsi="Arial" w:cs="Arial"/>
              </w:rPr>
            </w:pPr>
            <w:r w:rsidRPr="003F6850">
              <w:rPr>
                <w:rFonts w:ascii="Arial" w:hAnsi="Arial" w:cs="Arial"/>
              </w:rPr>
              <w:t>TQ</w:t>
            </w:r>
          </w:p>
        </w:tc>
        <w:tc>
          <w:tcPr>
            <w:tcW w:w="1560" w:type="dxa"/>
          </w:tcPr>
          <w:p w:rsidR="00AA0F2B" w:rsidRPr="003F6850" w:rsidRDefault="00AA0F2B" w:rsidP="00EC053E">
            <w:pPr>
              <w:spacing w:line="276" w:lineRule="auto"/>
              <w:contextualSpacing/>
              <w:jc w:val="center"/>
              <w:rPr>
                <w:rFonts w:ascii="Arial" w:hAnsi="Arial" w:cs="Arial"/>
              </w:rPr>
            </w:pPr>
            <w:r w:rsidRPr="003F6850">
              <w:rPr>
                <w:rFonts w:ascii="Arial" w:hAnsi="Arial" w:cs="Arial"/>
              </w:rPr>
              <w:t>3.</w:t>
            </w:r>
            <w:r w:rsidR="00EC053E">
              <w:rPr>
                <w:rFonts w:ascii="Arial" w:hAnsi="Arial" w:cs="Arial"/>
              </w:rPr>
              <w:t>73</w:t>
            </w:r>
          </w:p>
        </w:tc>
        <w:tc>
          <w:tcPr>
            <w:tcW w:w="2834" w:type="dxa"/>
          </w:tcPr>
          <w:p w:rsidR="00AA0F2B" w:rsidRPr="003F6850" w:rsidRDefault="00EC053E" w:rsidP="00AA0F2B">
            <w:pPr>
              <w:spacing w:after="200" w:line="276" w:lineRule="auto"/>
              <w:contextualSpacing/>
              <w:jc w:val="center"/>
              <w:rPr>
                <w:rFonts w:ascii="Arial" w:hAnsi="Arial" w:cs="Arial"/>
              </w:rPr>
            </w:pPr>
            <w:r>
              <w:rPr>
                <w:rFonts w:ascii="Arial" w:hAnsi="Arial" w:cs="Arial"/>
              </w:rPr>
              <w:t>9.33</w:t>
            </w:r>
            <w:r w:rsidR="00AA0F2B">
              <w:rPr>
                <w:rFonts w:ascii="Arial" w:hAnsi="Arial" w:cs="Arial"/>
              </w:rPr>
              <w:t xml:space="preserve"> (</w:t>
            </w:r>
            <w:r w:rsidR="00AA0F2B" w:rsidRPr="003F6850">
              <w:rPr>
                <w:rFonts w:ascii="Arial" w:hAnsi="Arial" w:cs="Arial"/>
              </w:rPr>
              <w:t>&lt;0.001</w:t>
            </w:r>
            <w:r w:rsidR="00AA0F2B">
              <w:rPr>
                <w:rFonts w:ascii="Arial" w:hAnsi="Arial" w:cs="Arial"/>
              </w:rPr>
              <w:t>)</w:t>
            </w:r>
          </w:p>
        </w:tc>
        <w:tc>
          <w:tcPr>
            <w:tcW w:w="1560" w:type="dxa"/>
          </w:tcPr>
          <w:p w:rsidR="00AA0F2B" w:rsidRPr="003F6850" w:rsidRDefault="00AA0F2B" w:rsidP="00FC6031">
            <w:pPr>
              <w:spacing w:line="276" w:lineRule="auto"/>
              <w:contextualSpacing/>
              <w:jc w:val="center"/>
              <w:rPr>
                <w:rFonts w:ascii="Arial" w:hAnsi="Arial" w:cs="Arial"/>
              </w:rPr>
            </w:pPr>
          </w:p>
        </w:tc>
      </w:tr>
      <w:tr w:rsidR="00AA0F2B" w:rsidRPr="003F6850" w:rsidTr="004D2955">
        <w:tc>
          <w:tcPr>
            <w:tcW w:w="2943" w:type="dxa"/>
          </w:tcPr>
          <w:p w:rsidR="00AA0F2B" w:rsidRPr="003F6850" w:rsidRDefault="00AA0F2B" w:rsidP="00FC6031">
            <w:pPr>
              <w:spacing w:after="200" w:line="276" w:lineRule="auto"/>
              <w:contextualSpacing/>
              <w:rPr>
                <w:rFonts w:ascii="Arial" w:hAnsi="Arial" w:cs="Arial"/>
              </w:rPr>
            </w:pPr>
            <w:r w:rsidRPr="003F6850">
              <w:rPr>
                <w:rFonts w:ascii="Arial" w:hAnsi="Arial" w:cs="Arial"/>
              </w:rPr>
              <w:t>MB</w:t>
            </w:r>
          </w:p>
        </w:tc>
        <w:tc>
          <w:tcPr>
            <w:tcW w:w="1560" w:type="dxa"/>
          </w:tcPr>
          <w:p w:rsidR="00AA0F2B" w:rsidRPr="003F6850" w:rsidRDefault="00AA0F2B" w:rsidP="00FC6031">
            <w:pPr>
              <w:spacing w:line="276" w:lineRule="auto"/>
              <w:contextualSpacing/>
              <w:jc w:val="center"/>
              <w:rPr>
                <w:rFonts w:ascii="Arial" w:hAnsi="Arial" w:cs="Arial"/>
              </w:rPr>
            </w:pPr>
            <w:r w:rsidRPr="003F6850">
              <w:rPr>
                <w:rFonts w:ascii="Arial" w:hAnsi="Arial" w:cs="Arial"/>
              </w:rPr>
              <w:t>4.9</w:t>
            </w:r>
            <w:r w:rsidR="00EC053E">
              <w:rPr>
                <w:rFonts w:ascii="Arial" w:hAnsi="Arial" w:cs="Arial"/>
              </w:rPr>
              <w:t>4</w:t>
            </w:r>
          </w:p>
        </w:tc>
        <w:tc>
          <w:tcPr>
            <w:tcW w:w="2834" w:type="dxa"/>
          </w:tcPr>
          <w:p w:rsidR="00AA0F2B" w:rsidRPr="003F6850" w:rsidRDefault="00AA0F2B" w:rsidP="00EC053E">
            <w:pPr>
              <w:spacing w:after="200" w:line="276" w:lineRule="auto"/>
              <w:contextualSpacing/>
              <w:jc w:val="center"/>
              <w:rPr>
                <w:rFonts w:ascii="Arial" w:hAnsi="Arial" w:cs="Arial"/>
              </w:rPr>
            </w:pPr>
            <w:r w:rsidRPr="003F6850">
              <w:rPr>
                <w:rFonts w:ascii="Arial" w:hAnsi="Arial" w:cs="Arial"/>
              </w:rPr>
              <w:t>4.</w:t>
            </w:r>
            <w:r w:rsidR="00EC053E">
              <w:rPr>
                <w:rFonts w:ascii="Arial" w:hAnsi="Arial" w:cs="Arial"/>
              </w:rPr>
              <w:t xml:space="preserve">08 </w:t>
            </w:r>
            <w:r>
              <w:rPr>
                <w:rFonts w:ascii="Arial" w:hAnsi="Arial" w:cs="Arial"/>
              </w:rPr>
              <w:t>(</w:t>
            </w:r>
            <w:r w:rsidRPr="003F6850">
              <w:rPr>
                <w:rFonts w:ascii="Arial" w:hAnsi="Arial" w:cs="Arial"/>
              </w:rPr>
              <w:t>0.</w:t>
            </w:r>
            <w:r w:rsidR="00EC053E">
              <w:rPr>
                <w:rFonts w:ascii="Arial" w:hAnsi="Arial" w:cs="Arial"/>
              </w:rPr>
              <w:t>270</w:t>
            </w:r>
            <w:r>
              <w:rPr>
                <w:rFonts w:ascii="Arial" w:hAnsi="Arial" w:cs="Arial"/>
              </w:rPr>
              <w:t>)</w:t>
            </w:r>
          </w:p>
        </w:tc>
        <w:tc>
          <w:tcPr>
            <w:tcW w:w="1560" w:type="dxa"/>
          </w:tcPr>
          <w:p w:rsidR="00AA0F2B" w:rsidRPr="003F6850" w:rsidRDefault="00AA0F2B" w:rsidP="00FC6031">
            <w:pPr>
              <w:spacing w:line="276" w:lineRule="auto"/>
              <w:contextualSpacing/>
              <w:jc w:val="center"/>
              <w:rPr>
                <w:rFonts w:ascii="Arial" w:hAnsi="Arial" w:cs="Arial"/>
              </w:rPr>
            </w:pPr>
          </w:p>
        </w:tc>
      </w:tr>
      <w:tr w:rsidR="00AA0F2B" w:rsidRPr="003F6850" w:rsidTr="004D2955">
        <w:tc>
          <w:tcPr>
            <w:tcW w:w="2943" w:type="dxa"/>
          </w:tcPr>
          <w:p w:rsidR="00AA0F2B" w:rsidRPr="003F6850" w:rsidRDefault="00AA0F2B" w:rsidP="00FC6031">
            <w:pPr>
              <w:spacing w:after="200" w:line="276" w:lineRule="auto"/>
              <w:contextualSpacing/>
              <w:rPr>
                <w:rFonts w:ascii="Arial" w:hAnsi="Arial" w:cs="Arial"/>
              </w:rPr>
            </w:pPr>
            <w:r w:rsidRPr="003F6850">
              <w:rPr>
                <w:rFonts w:ascii="Arial" w:hAnsi="Arial" w:cs="Arial"/>
              </w:rPr>
              <w:t>ROA</w:t>
            </w:r>
          </w:p>
        </w:tc>
        <w:tc>
          <w:tcPr>
            <w:tcW w:w="1560" w:type="dxa"/>
          </w:tcPr>
          <w:p w:rsidR="00AA0F2B" w:rsidRPr="003F6850" w:rsidRDefault="00AA0F2B" w:rsidP="00FC6031">
            <w:pPr>
              <w:spacing w:line="276" w:lineRule="auto"/>
              <w:contextualSpacing/>
              <w:jc w:val="center"/>
              <w:rPr>
                <w:rFonts w:ascii="Arial" w:hAnsi="Arial" w:cs="Arial"/>
              </w:rPr>
            </w:pPr>
            <w:r w:rsidRPr="003F6850">
              <w:rPr>
                <w:rFonts w:ascii="Arial" w:hAnsi="Arial" w:cs="Arial"/>
              </w:rPr>
              <w:t>-0.15</w:t>
            </w:r>
          </w:p>
        </w:tc>
        <w:tc>
          <w:tcPr>
            <w:tcW w:w="2834" w:type="dxa"/>
          </w:tcPr>
          <w:p w:rsidR="00AA0F2B" w:rsidRPr="003F6850" w:rsidRDefault="00AA0F2B" w:rsidP="00EC053E">
            <w:pPr>
              <w:spacing w:after="200" w:line="276" w:lineRule="auto"/>
              <w:contextualSpacing/>
              <w:jc w:val="center"/>
              <w:rPr>
                <w:rFonts w:ascii="Arial" w:hAnsi="Arial" w:cs="Arial"/>
              </w:rPr>
            </w:pPr>
            <w:r w:rsidRPr="003F6850">
              <w:rPr>
                <w:rFonts w:ascii="Arial" w:hAnsi="Arial" w:cs="Arial"/>
              </w:rPr>
              <w:t>-0.</w:t>
            </w:r>
            <w:r w:rsidR="00EC053E">
              <w:rPr>
                <w:rFonts w:ascii="Arial" w:hAnsi="Arial" w:cs="Arial"/>
              </w:rPr>
              <w:t xml:space="preserve">68 </w:t>
            </w:r>
            <w:r>
              <w:rPr>
                <w:rFonts w:ascii="Arial" w:hAnsi="Arial" w:cs="Arial"/>
              </w:rPr>
              <w:t>(</w:t>
            </w:r>
            <w:r w:rsidRPr="003F6850">
              <w:rPr>
                <w:rFonts w:ascii="Arial" w:hAnsi="Arial" w:cs="Arial"/>
              </w:rPr>
              <w:t>&lt;0.001</w:t>
            </w:r>
            <w:r>
              <w:rPr>
                <w:rFonts w:ascii="Arial" w:hAnsi="Arial" w:cs="Arial"/>
              </w:rPr>
              <w:t>)</w:t>
            </w:r>
          </w:p>
        </w:tc>
        <w:tc>
          <w:tcPr>
            <w:tcW w:w="1560" w:type="dxa"/>
          </w:tcPr>
          <w:p w:rsidR="00AA0F2B" w:rsidRPr="003F6850" w:rsidRDefault="00AA0F2B" w:rsidP="00FC6031">
            <w:pPr>
              <w:spacing w:line="276" w:lineRule="auto"/>
              <w:contextualSpacing/>
              <w:jc w:val="center"/>
              <w:rPr>
                <w:rFonts w:ascii="Arial" w:hAnsi="Arial" w:cs="Arial"/>
              </w:rPr>
            </w:pPr>
          </w:p>
        </w:tc>
      </w:tr>
      <w:tr w:rsidR="001926BD" w:rsidRPr="003F6850" w:rsidTr="004D2955">
        <w:tc>
          <w:tcPr>
            <w:tcW w:w="2943" w:type="dxa"/>
          </w:tcPr>
          <w:p w:rsidR="001926BD" w:rsidRPr="003F6850" w:rsidRDefault="001926BD" w:rsidP="00FC6031">
            <w:pPr>
              <w:spacing w:line="276" w:lineRule="auto"/>
              <w:contextualSpacing/>
              <w:rPr>
                <w:rFonts w:ascii="Arial" w:hAnsi="Arial" w:cs="Arial"/>
                <w:i/>
              </w:rPr>
            </w:pPr>
            <w:r w:rsidRPr="003F6850">
              <w:rPr>
                <w:rFonts w:ascii="Arial" w:hAnsi="Arial" w:cs="Arial"/>
                <w:i/>
              </w:rPr>
              <w:t>Explanatory variables</w:t>
            </w:r>
          </w:p>
        </w:tc>
        <w:tc>
          <w:tcPr>
            <w:tcW w:w="1560" w:type="dxa"/>
          </w:tcPr>
          <w:p w:rsidR="001926BD" w:rsidRPr="003F6850" w:rsidRDefault="001926BD" w:rsidP="00FC6031">
            <w:pPr>
              <w:spacing w:line="276" w:lineRule="auto"/>
              <w:contextualSpacing/>
              <w:rPr>
                <w:rFonts w:ascii="Arial" w:hAnsi="Arial" w:cs="Arial"/>
              </w:rPr>
            </w:pPr>
          </w:p>
        </w:tc>
        <w:tc>
          <w:tcPr>
            <w:tcW w:w="4394" w:type="dxa"/>
            <w:gridSpan w:val="2"/>
          </w:tcPr>
          <w:p w:rsidR="001926BD" w:rsidRPr="003F6850" w:rsidRDefault="001926BD" w:rsidP="00FC6031">
            <w:pPr>
              <w:spacing w:line="276" w:lineRule="auto"/>
              <w:contextualSpacing/>
              <w:rPr>
                <w:rFonts w:ascii="Arial" w:hAnsi="Arial" w:cs="Arial"/>
              </w:rPr>
            </w:pPr>
          </w:p>
        </w:tc>
      </w:tr>
      <w:tr w:rsidR="00E04D02" w:rsidRPr="003F6850" w:rsidTr="004D2955">
        <w:tc>
          <w:tcPr>
            <w:tcW w:w="2943" w:type="dxa"/>
          </w:tcPr>
          <w:p w:rsidR="00E04D02" w:rsidRPr="003F6850" w:rsidRDefault="00E04D02" w:rsidP="00FC6031">
            <w:pPr>
              <w:spacing w:after="200" w:line="276" w:lineRule="auto"/>
              <w:contextualSpacing/>
              <w:rPr>
                <w:rFonts w:ascii="Arial" w:hAnsi="Arial" w:cs="Arial"/>
              </w:rPr>
            </w:pPr>
            <w:r w:rsidRPr="003F6850">
              <w:rPr>
                <w:rFonts w:ascii="Arial" w:hAnsi="Arial" w:cs="Arial"/>
              </w:rPr>
              <w:t>Size</w:t>
            </w:r>
          </w:p>
        </w:tc>
        <w:tc>
          <w:tcPr>
            <w:tcW w:w="1560" w:type="dxa"/>
          </w:tcPr>
          <w:p w:rsidR="00E04D02" w:rsidRPr="003F6850" w:rsidRDefault="00E04D02" w:rsidP="0009279E">
            <w:pPr>
              <w:spacing w:line="276" w:lineRule="auto"/>
              <w:contextualSpacing/>
              <w:jc w:val="center"/>
              <w:rPr>
                <w:rFonts w:ascii="Arial" w:hAnsi="Arial" w:cs="Arial"/>
              </w:rPr>
            </w:pPr>
            <w:r w:rsidRPr="003F6850">
              <w:rPr>
                <w:rFonts w:ascii="Arial" w:hAnsi="Arial" w:cs="Arial"/>
              </w:rPr>
              <w:t>12.</w:t>
            </w:r>
            <w:r w:rsidR="0009279E">
              <w:rPr>
                <w:rFonts w:ascii="Arial" w:hAnsi="Arial" w:cs="Arial"/>
              </w:rPr>
              <w:t>02</w:t>
            </w:r>
          </w:p>
        </w:tc>
        <w:tc>
          <w:tcPr>
            <w:tcW w:w="2834" w:type="dxa"/>
          </w:tcPr>
          <w:p w:rsidR="00E04D02" w:rsidRPr="003F6850" w:rsidRDefault="00E04D02" w:rsidP="00AA0F2B">
            <w:pPr>
              <w:spacing w:after="200" w:line="276" w:lineRule="auto"/>
              <w:contextualSpacing/>
              <w:jc w:val="center"/>
              <w:rPr>
                <w:rFonts w:ascii="Arial" w:hAnsi="Arial" w:cs="Arial"/>
              </w:rPr>
            </w:pPr>
            <w:r w:rsidRPr="003F6850">
              <w:rPr>
                <w:rFonts w:ascii="Arial" w:hAnsi="Arial" w:cs="Arial"/>
              </w:rPr>
              <w:t>11.0</w:t>
            </w:r>
            <w:r w:rsidR="0009279E">
              <w:rPr>
                <w:rFonts w:ascii="Arial" w:hAnsi="Arial" w:cs="Arial"/>
              </w:rPr>
              <w:t>3</w:t>
            </w:r>
            <w:r>
              <w:rPr>
                <w:rFonts w:ascii="Arial" w:hAnsi="Arial" w:cs="Arial"/>
              </w:rPr>
              <w:t xml:space="preserve"> (</w:t>
            </w:r>
            <w:r w:rsidRPr="003F6850">
              <w:rPr>
                <w:rFonts w:ascii="Arial" w:hAnsi="Arial" w:cs="Arial"/>
              </w:rPr>
              <w:t>&lt;0.001</w:t>
            </w:r>
            <w:r>
              <w:rPr>
                <w:rFonts w:ascii="Arial" w:hAnsi="Arial" w:cs="Arial"/>
              </w:rPr>
              <w:t>)</w:t>
            </w:r>
          </w:p>
        </w:tc>
        <w:tc>
          <w:tcPr>
            <w:tcW w:w="1560" w:type="dxa"/>
          </w:tcPr>
          <w:p w:rsidR="00E04D02" w:rsidRPr="003F6850" w:rsidRDefault="0009279E" w:rsidP="00FC6031">
            <w:pPr>
              <w:spacing w:after="200" w:line="276" w:lineRule="auto"/>
              <w:contextualSpacing/>
              <w:jc w:val="center"/>
              <w:rPr>
                <w:rFonts w:ascii="Arial" w:hAnsi="Arial" w:cs="Arial"/>
              </w:rPr>
            </w:pPr>
            <w:r>
              <w:rPr>
                <w:rFonts w:ascii="Arial" w:hAnsi="Arial" w:cs="Arial"/>
              </w:rPr>
              <w:t>33.5</w:t>
            </w:r>
          </w:p>
        </w:tc>
      </w:tr>
      <w:tr w:rsidR="00E04D02" w:rsidRPr="003F6850" w:rsidTr="004D2955">
        <w:tc>
          <w:tcPr>
            <w:tcW w:w="2943" w:type="dxa"/>
          </w:tcPr>
          <w:p w:rsidR="00E04D02" w:rsidRPr="003F6850" w:rsidRDefault="00E04D02" w:rsidP="00FC6031">
            <w:pPr>
              <w:spacing w:after="200" w:line="276" w:lineRule="auto"/>
              <w:contextualSpacing/>
              <w:rPr>
                <w:rFonts w:ascii="Arial" w:hAnsi="Arial" w:cs="Arial"/>
              </w:rPr>
            </w:pPr>
            <w:r w:rsidRPr="003F6850">
              <w:rPr>
                <w:rFonts w:ascii="Arial" w:hAnsi="Arial" w:cs="Arial"/>
              </w:rPr>
              <w:t>Leverage</w:t>
            </w:r>
          </w:p>
        </w:tc>
        <w:tc>
          <w:tcPr>
            <w:tcW w:w="1560" w:type="dxa"/>
          </w:tcPr>
          <w:p w:rsidR="00E04D02" w:rsidRPr="003F6850" w:rsidRDefault="00E04D02" w:rsidP="0009279E">
            <w:pPr>
              <w:spacing w:line="276" w:lineRule="auto"/>
              <w:contextualSpacing/>
              <w:jc w:val="center"/>
              <w:rPr>
                <w:rFonts w:ascii="Arial" w:hAnsi="Arial" w:cs="Arial"/>
              </w:rPr>
            </w:pPr>
            <w:r w:rsidRPr="003F6850">
              <w:rPr>
                <w:rFonts w:ascii="Arial" w:hAnsi="Arial" w:cs="Arial"/>
              </w:rPr>
              <w:t>0.</w:t>
            </w:r>
            <w:r w:rsidR="0009279E">
              <w:rPr>
                <w:rFonts w:ascii="Arial" w:hAnsi="Arial" w:cs="Arial"/>
              </w:rPr>
              <w:t>32</w:t>
            </w:r>
          </w:p>
        </w:tc>
        <w:tc>
          <w:tcPr>
            <w:tcW w:w="2834" w:type="dxa"/>
          </w:tcPr>
          <w:p w:rsidR="00E04D02" w:rsidRPr="003F6850" w:rsidRDefault="00E04D02" w:rsidP="0009279E">
            <w:pPr>
              <w:spacing w:after="200" w:line="276" w:lineRule="auto"/>
              <w:contextualSpacing/>
              <w:jc w:val="center"/>
              <w:rPr>
                <w:rFonts w:ascii="Arial" w:hAnsi="Arial" w:cs="Arial"/>
              </w:rPr>
            </w:pPr>
            <w:r w:rsidRPr="003F6850">
              <w:rPr>
                <w:rFonts w:ascii="Arial" w:hAnsi="Arial" w:cs="Arial"/>
              </w:rPr>
              <w:t>0.</w:t>
            </w:r>
            <w:r w:rsidR="0009279E">
              <w:rPr>
                <w:rFonts w:ascii="Arial" w:hAnsi="Arial" w:cs="Arial"/>
              </w:rPr>
              <w:t xml:space="preserve">43 </w:t>
            </w:r>
            <w:r>
              <w:rPr>
                <w:rFonts w:ascii="Arial" w:hAnsi="Arial" w:cs="Arial"/>
              </w:rPr>
              <w:t>(</w:t>
            </w:r>
            <w:r w:rsidRPr="003F6850">
              <w:rPr>
                <w:rFonts w:ascii="Arial" w:hAnsi="Arial" w:cs="Arial"/>
              </w:rPr>
              <w:t>0.</w:t>
            </w:r>
            <w:r w:rsidR="0009279E">
              <w:rPr>
                <w:rFonts w:ascii="Arial" w:hAnsi="Arial" w:cs="Arial"/>
              </w:rPr>
              <w:t>091</w:t>
            </w:r>
            <w:r>
              <w:rPr>
                <w:rFonts w:ascii="Arial" w:hAnsi="Arial" w:cs="Arial"/>
              </w:rPr>
              <w:t>)</w:t>
            </w:r>
          </w:p>
        </w:tc>
        <w:tc>
          <w:tcPr>
            <w:tcW w:w="1560" w:type="dxa"/>
          </w:tcPr>
          <w:p w:rsidR="00E04D02" w:rsidRPr="003F6850" w:rsidRDefault="0009279E" w:rsidP="00FC6031">
            <w:pPr>
              <w:spacing w:after="200" w:line="276" w:lineRule="auto"/>
              <w:contextualSpacing/>
              <w:jc w:val="center"/>
              <w:rPr>
                <w:rFonts w:ascii="Arial" w:hAnsi="Arial" w:cs="Arial"/>
              </w:rPr>
            </w:pPr>
            <w:r>
              <w:rPr>
                <w:rFonts w:ascii="Arial" w:hAnsi="Arial" w:cs="Arial"/>
              </w:rPr>
              <w:t>-8.2</w:t>
            </w:r>
          </w:p>
        </w:tc>
      </w:tr>
      <w:tr w:rsidR="00E04D02" w:rsidRPr="003F6850" w:rsidTr="004D2955">
        <w:tc>
          <w:tcPr>
            <w:tcW w:w="2943" w:type="dxa"/>
          </w:tcPr>
          <w:p w:rsidR="00E04D02" w:rsidRPr="003F6850" w:rsidRDefault="00E04D02" w:rsidP="00FC6031">
            <w:pPr>
              <w:spacing w:after="200" w:line="276" w:lineRule="auto"/>
              <w:contextualSpacing/>
              <w:rPr>
                <w:rFonts w:ascii="Arial" w:hAnsi="Arial" w:cs="Arial"/>
              </w:rPr>
            </w:pPr>
            <w:r w:rsidRPr="003F6850">
              <w:rPr>
                <w:rFonts w:ascii="Arial" w:hAnsi="Arial" w:cs="Arial"/>
              </w:rPr>
              <w:t>R&amp;D/TA</w:t>
            </w:r>
          </w:p>
        </w:tc>
        <w:tc>
          <w:tcPr>
            <w:tcW w:w="1560" w:type="dxa"/>
          </w:tcPr>
          <w:p w:rsidR="00E04D02" w:rsidRPr="003F6850" w:rsidRDefault="00E04D02" w:rsidP="00FC6031">
            <w:pPr>
              <w:spacing w:line="276" w:lineRule="auto"/>
              <w:contextualSpacing/>
              <w:jc w:val="center"/>
              <w:rPr>
                <w:rFonts w:ascii="Arial" w:hAnsi="Arial" w:cs="Arial"/>
              </w:rPr>
            </w:pPr>
            <w:r w:rsidRPr="003F6850">
              <w:rPr>
                <w:rFonts w:ascii="Arial" w:hAnsi="Arial" w:cs="Arial"/>
              </w:rPr>
              <w:t>0.2</w:t>
            </w:r>
            <w:r w:rsidR="0009279E">
              <w:rPr>
                <w:rFonts w:ascii="Arial" w:hAnsi="Arial" w:cs="Arial"/>
              </w:rPr>
              <w:t>0</w:t>
            </w:r>
          </w:p>
        </w:tc>
        <w:tc>
          <w:tcPr>
            <w:tcW w:w="2834" w:type="dxa"/>
          </w:tcPr>
          <w:p w:rsidR="00E04D02" w:rsidRPr="003F6850" w:rsidRDefault="00E04D02" w:rsidP="00AA0F2B">
            <w:pPr>
              <w:spacing w:after="200" w:line="276" w:lineRule="auto"/>
              <w:contextualSpacing/>
              <w:jc w:val="center"/>
              <w:rPr>
                <w:rFonts w:ascii="Arial" w:hAnsi="Arial" w:cs="Arial"/>
              </w:rPr>
            </w:pPr>
            <w:r w:rsidRPr="003F6850">
              <w:rPr>
                <w:rFonts w:ascii="Arial" w:hAnsi="Arial" w:cs="Arial"/>
              </w:rPr>
              <w:t>0.2</w:t>
            </w:r>
            <w:r w:rsidR="0009279E">
              <w:rPr>
                <w:rFonts w:ascii="Arial" w:hAnsi="Arial" w:cs="Arial"/>
              </w:rPr>
              <w:t>6</w:t>
            </w:r>
            <w:r>
              <w:rPr>
                <w:rFonts w:ascii="Arial" w:hAnsi="Arial" w:cs="Arial"/>
              </w:rPr>
              <w:t xml:space="preserve"> (</w:t>
            </w:r>
            <w:r w:rsidRPr="003F6850">
              <w:rPr>
                <w:rFonts w:ascii="Arial" w:hAnsi="Arial" w:cs="Arial"/>
              </w:rPr>
              <w:t>0.001</w:t>
            </w:r>
            <w:r>
              <w:rPr>
                <w:rFonts w:ascii="Arial" w:hAnsi="Arial" w:cs="Arial"/>
              </w:rPr>
              <w:t>)</w:t>
            </w:r>
          </w:p>
        </w:tc>
        <w:tc>
          <w:tcPr>
            <w:tcW w:w="1560" w:type="dxa"/>
          </w:tcPr>
          <w:p w:rsidR="00E04D02" w:rsidRPr="003F6850" w:rsidRDefault="00E04D02" w:rsidP="0009279E">
            <w:pPr>
              <w:spacing w:after="200" w:line="276" w:lineRule="auto"/>
              <w:contextualSpacing/>
              <w:jc w:val="center"/>
              <w:rPr>
                <w:rFonts w:ascii="Arial" w:hAnsi="Arial" w:cs="Arial"/>
              </w:rPr>
            </w:pPr>
            <w:r w:rsidRPr="003F6850">
              <w:rPr>
                <w:rFonts w:ascii="Arial" w:hAnsi="Arial" w:cs="Arial"/>
              </w:rPr>
              <w:t>-</w:t>
            </w:r>
            <w:r w:rsidR="0009279E">
              <w:rPr>
                <w:rFonts w:ascii="Arial" w:hAnsi="Arial" w:cs="Arial"/>
              </w:rPr>
              <w:t>16.8</w:t>
            </w:r>
          </w:p>
        </w:tc>
      </w:tr>
      <w:tr w:rsidR="00E04D02" w:rsidRPr="003F6850" w:rsidTr="004D2955">
        <w:tc>
          <w:tcPr>
            <w:tcW w:w="2943" w:type="dxa"/>
          </w:tcPr>
          <w:p w:rsidR="00E04D02" w:rsidRPr="003F6850" w:rsidRDefault="00E04D02" w:rsidP="00FC6031">
            <w:pPr>
              <w:spacing w:after="200" w:line="276" w:lineRule="auto"/>
              <w:contextualSpacing/>
              <w:rPr>
                <w:rFonts w:ascii="Arial" w:hAnsi="Arial" w:cs="Arial"/>
              </w:rPr>
            </w:pPr>
            <w:r w:rsidRPr="003F6850">
              <w:rPr>
                <w:rFonts w:ascii="Arial" w:hAnsi="Arial" w:cs="Arial"/>
              </w:rPr>
              <w:t>Capex/PPE</w:t>
            </w:r>
          </w:p>
        </w:tc>
        <w:tc>
          <w:tcPr>
            <w:tcW w:w="1560" w:type="dxa"/>
          </w:tcPr>
          <w:p w:rsidR="00E04D02" w:rsidRPr="003F6850" w:rsidRDefault="00E04D02" w:rsidP="00FC6031">
            <w:pPr>
              <w:spacing w:line="276" w:lineRule="auto"/>
              <w:contextualSpacing/>
              <w:jc w:val="center"/>
              <w:rPr>
                <w:rFonts w:ascii="Arial" w:hAnsi="Arial" w:cs="Arial"/>
              </w:rPr>
            </w:pPr>
            <w:r w:rsidRPr="003F6850">
              <w:rPr>
                <w:rFonts w:ascii="Arial" w:hAnsi="Arial" w:cs="Arial"/>
              </w:rPr>
              <w:t>0.33</w:t>
            </w:r>
          </w:p>
        </w:tc>
        <w:tc>
          <w:tcPr>
            <w:tcW w:w="2834" w:type="dxa"/>
          </w:tcPr>
          <w:p w:rsidR="00E04D02" w:rsidRPr="003F6850" w:rsidRDefault="00E04D02" w:rsidP="0009279E">
            <w:pPr>
              <w:spacing w:after="200" w:line="276" w:lineRule="auto"/>
              <w:contextualSpacing/>
              <w:jc w:val="center"/>
              <w:rPr>
                <w:rFonts w:ascii="Arial" w:hAnsi="Arial" w:cs="Arial"/>
              </w:rPr>
            </w:pPr>
            <w:r w:rsidRPr="003F6850">
              <w:rPr>
                <w:rFonts w:ascii="Arial" w:hAnsi="Arial" w:cs="Arial"/>
              </w:rPr>
              <w:t>0.3</w:t>
            </w:r>
            <w:r w:rsidR="0009279E">
              <w:rPr>
                <w:rFonts w:ascii="Arial" w:hAnsi="Arial" w:cs="Arial"/>
              </w:rPr>
              <w:t>2</w:t>
            </w:r>
            <w:r>
              <w:rPr>
                <w:rFonts w:ascii="Arial" w:hAnsi="Arial" w:cs="Arial"/>
              </w:rPr>
              <w:t xml:space="preserve"> (</w:t>
            </w:r>
            <w:r w:rsidRPr="003F6850">
              <w:rPr>
                <w:rFonts w:ascii="Arial" w:hAnsi="Arial" w:cs="Arial"/>
              </w:rPr>
              <w:t>0.</w:t>
            </w:r>
            <w:r w:rsidR="0009279E">
              <w:rPr>
                <w:rFonts w:ascii="Arial" w:hAnsi="Arial" w:cs="Arial"/>
              </w:rPr>
              <w:t>527</w:t>
            </w:r>
            <w:r>
              <w:rPr>
                <w:rFonts w:ascii="Arial" w:hAnsi="Arial" w:cs="Arial"/>
              </w:rPr>
              <w:t>)</w:t>
            </w:r>
          </w:p>
        </w:tc>
        <w:tc>
          <w:tcPr>
            <w:tcW w:w="1560" w:type="dxa"/>
          </w:tcPr>
          <w:p w:rsidR="00E04D02" w:rsidRPr="003F6850" w:rsidRDefault="0009279E" w:rsidP="00FC6031">
            <w:pPr>
              <w:spacing w:after="200" w:line="276" w:lineRule="auto"/>
              <w:contextualSpacing/>
              <w:jc w:val="center"/>
              <w:rPr>
                <w:rFonts w:ascii="Arial" w:hAnsi="Arial" w:cs="Arial"/>
              </w:rPr>
            </w:pPr>
            <w:r>
              <w:rPr>
                <w:rFonts w:ascii="Arial" w:hAnsi="Arial" w:cs="Arial"/>
              </w:rPr>
              <w:t>2.8</w:t>
            </w:r>
          </w:p>
        </w:tc>
      </w:tr>
      <w:tr w:rsidR="00E04D02" w:rsidRPr="003F6850" w:rsidTr="004D2955">
        <w:tc>
          <w:tcPr>
            <w:tcW w:w="2943" w:type="dxa"/>
          </w:tcPr>
          <w:p w:rsidR="00E04D02" w:rsidRPr="003F6850" w:rsidRDefault="00E04D02" w:rsidP="00FC6031">
            <w:pPr>
              <w:spacing w:after="200" w:line="276" w:lineRule="auto"/>
              <w:contextualSpacing/>
              <w:rPr>
                <w:rFonts w:ascii="Arial" w:hAnsi="Arial" w:cs="Arial"/>
              </w:rPr>
            </w:pPr>
            <w:r w:rsidRPr="003F6850">
              <w:rPr>
                <w:rFonts w:ascii="Arial" w:hAnsi="Arial" w:cs="Arial"/>
              </w:rPr>
              <w:t>Pharma</w:t>
            </w:r>
            <w:r w:rsidR="004D2955">
              <w:rPr>
                <w:rFonts w:ascii="Arial" w:hAnsi="Arial" w:cs="Arial"/>
              </w:rPr>
              <w:t>ceutical sub-sector</w:t>
            </w:r>
          </w:p>
        </w:tc>
        <w:tc>
          <w:tcPr>
            <w:tcW w:w="1560" w:type="dxa"/>
          </w:tcPr>
          <w:p w:rsidR="00E04D02" w:rsidRPr="003F6850" w:rsidRDefault="00E04D02" w:rsidP="00FC6031">
            <w:pPr>
              <w:spacing w:after="200" w:line="276" w:lineRule="auto"/>
              <w:contextualSpacing/>
              <w:jc w:val="center"/>
              <w:rPr>
                <w:rFonts w:ascii="Arial" w:hAnsi="Arial" w:cs="Arial"/>
              </w:rPr>
            </w:pPr>
            <w:r w:rsidRPr="003F6850">
              <w:rPr>
                <w:rFonts w:ascii="Arial" w:hAnsi="Arial" w:cs="Arial"/>
              </w:rPr>
              <w:t>0.5</w:t>
            </w:r>
            <w:r w:rsidR="00210696">
              <w:rPr>
                <w:rFonts w:ascii="Arial" w:hAnsi="Arial" w:cs="Arial"/>
              </w:rPr>
              <w:t>7</w:t>
            </w:r>
          </w:p>
        </w:tc>
        <w:tc>
          <w:tcPr>
            <w:tcW w:w="2834" w:type="dxa"/>
          </w:tcPr>
          <w:p w:rsidR="00E04D02" w:rsidRPr="003F6850" w:rsidRDefault="00E04D02" w:rsidP="00210696">
            <w:pPr>
              <w:spacing w:line="276" w:lineRule="auto"/>
              <w:contextualSpacing/>
              <w:jc w:val="center"/>
              <w:rPr>
                <w:rFonts w:ascii="Arial" w:hAnsi="Arial" w:cs="Arial"/>
              </w:rPr>
            </w:pPr>
            <w:r w:rsidRPr="003F6850">
              <w:rPr>
                <w:rFonts w:ascii="Arial" w:hAnsi="Arial" w:cs="Arial"/>
              </w:rPr>
              <w:t>0.6</w:t>
            </w:r>
            <w:r w:rsidR="00210696">
              <w:rPr>
                <w:rFonts w:ascii="Arial" w:hAnsi="Arial" w:cs="Arial"/>
              </w:rPr>
              <w:t>3</w:t>
            </w:r>
            <w:r>
              <w:rPr>
                <w:rFonts w:ascii="Arial" w:hAnsi="Arial" w:cs="Arial"/>
              </w:rPr>
              <w:t xml:space="preserve"> (</w:t>
            </w:r>
            <w:r w:rsidRPr="003F6850">
              <w:rPr>
                <w:rFonts w:ascii="Arial" w:hAnsi="Arial" w:cs="Arial"/>
              </w:rPr>
              <w:t>0.00</w:t>
            </w:r>
            <w:r w:rsidR="00210696">
              <w:rPr>
                <w:rFonts w:ascii="Arial" w:hAnsi="Arial" w:cs="Arial"/>
              </w:rPr>
              <w:t>9</w:t>
            </w:r>
            <w:r>
              <w:rPr>
                <w:rFonts w:ascii="Arial" w:hAnsi="Arial" w:cs="Arial"/>
              </w:rPr>
              <w:t>)</w:t>
            </w:r>
          </w:p>
        </w:tc>
        <w:tc>
          <w:tcPr>
            <w:tcW w:w="1560" w:type="dxa"/>
          </w:tcPr>
          <w:p w:rsidR="00E04D02" w:rsidRPr="003F6850" w:rsidRDefault="00E04D02" w:rsidP="00210696">
            <w:pPr>
              <w:spacing w:after="200" w:line="276" w:lineRule="auto"/>
              <w:contextualSpacing/>
              <w:jc w:val="center"/>
              <w:rPr>
                <w:rFonts w:ascii="Arial" w:hAnsi="Arial" w:cs="Arial"/>
              </w:rPr>
            </w:pPr>
            <w:r w:rsidRPr="003F6850">
              <w:rPr>
                <w:rFonts w:ascii="Arial" w:hAnsi="Arial" w:cs="Arial"/>
              </w:rPr>
              <w:t>-</w:t>
            </w:r>
            <w:r w:rsidR="00210696">
              <w:rPr>
                <w:rFonts w:ascii="Arial" w:hAnsi="Arial" w:cs="Arial"/>
              </w:rPr>
              <w:t>11.1</w:t>
            </w:r>
          </w:p>
        </w:tc>
      </w:tr>
      <w:tr w:rsidR="00AA0F2B" w:rsidRPr="003F6850" w:rsidTr="004D2955">
        <w:trPr>
          <w:trHeight w:val="57"/>
        </w:trPr>
        <w:tc>
          <w:tcPr>
            <w:tcW w:w="2943" w:type="dxa"/>
          </w:tcPr>
          <w:p w:rsidR="00AA0F2B" w:rsidRPr="003F6850" w:rsidRDefault="00AA0F2B" w:rsidP="00FC6031">
            <w:pPr>
              <w:spacing w:line="276" w:lineRule="auto"/>
              <w:contextualSpacing/>
              <w:rPr>
                <w:rFonts w:ascii="Arial" w:hAnsi="Arial" w:cs="Arial"/>
                <w:i/>
              </w:rPr>
            </w:pPr>
          </w:p>
        </w:tc>
        <w:tc>
          <w:tcPr>
            <w:tcW w:w="1560" w:type="dxa"/>
          </w:tcPr>
          <w:p w:rsidR="00AA0F2B" w:rsidRPr="003F6850" w:rsidRDefault="00AA0F2B" w:rsidP="00FC6031">
            <w:pPr>
              <w:spacing w:line="276" w:lineRule="auto"/>
              <w:contextualSpacing/>
              <w:jc w:val="center"/>
              <w:rPr>
                <w:rFonts w:ascii="Arial" w:hAnsi="Arial" w:cs="Arial"/>
                <w:i/>
              </w:rPr>
            </w:pPr>
          </w:p>
        </w:tc>
        <w:tc>
          <w:tcPr>
            <w:tcW w:w="2834" w:type="dxa"/>
          </w:tcPr>
          <w:p w:rsidR="00AA0F2B" w:rsidRPr="003F6850" w:rsidRDefault="00AA0F2B" w:rsidP="00FC6031">
            <w:pPr>
              <w:spacing w:line="276" w:lineRule="auto"/>
              <w:contextualSpacing/>
              <w:jc w:val="center"/>
              <w:rPr>
                <w:rFonts w:ascii="Arial" w:hAnsi="Arial" w:cs="Arial"/>
              </w:rPr>
            </w:pPr>
          </w:p>
        </w:tc>
        <w:tc>
          <w:tcPr>
            <w:tcW w:w="1560" w:type="dxa"/>
          </w:tcPr>
          <w:p w:rsidR="00AA0F2B" w:rsidRPr="003F6850" w:rsidRDefault="00AA0F2B" w:rsidP="00FC6031">
            <w:pPr>
              <w:spacing w:line="276" w:lineRule="auto"/>
              <w:contextualSpacing/>
              <w:jc w:val="center"/>
              <w:rPr>
                <w:rFonts w:ascii="Arial" w:hAnsi="Arial" w:cs="Arial"/>
              </w:rPr>
            </w:pPr>
          </w:p>
        </w:tc>
      </w:tr>
      <w:tr w:rsidR="00AA0F2B" w:rsidRPr="003F6850" w:rsidTr="004D2955">
        <w:tc>
          <w:tcPr>
            <w:tcW w:w="2943" w:type="dxa"/>
          </w:tcPr>
          <w:p w:rsidR="00AA0F2B" w:rsidRPr="003F6850" w:rsidRDefault="00AA0F2B" w:rsidP="00FC6031">
            <w:pPr>
              <w:spacing w:after="200" w:line="276" w:lineRule="auto"/>
              <w:contextualSpacing/>
              <w:rPr>
                <w:rFonts w:ascii="Arial" w:hAnsi="Arial" w:cs="Arial"/>
              </w:rPr>
            </w:pPr>
            <w:r w:rsidRPr="003F6850">
              <w:rPr>
                <w:rFonts w:ascii="Arial" w:hAnsi="Arial" w:cs="Arial"/>
              </w:rPr>
              <w:t>Mean bias (%)</w:t>
            </w:r>
          </w:p>
        </w:tc>
        <w:tc>
          <w:tcPr>
            <w:tcW w:w="1560" w:type="dxa"/>
          </w:tcPr>
          <w:p w:rsidR="00AA0F2B" w:rsidRPr="003F6850" w:rsidRDefault="00AA0F2B" w:rsidP="00FC6031">
            <w:pPr>
              <w:spacing w:after="200" w:line="276" w:lineRule="auto"/>
              <w:contextualSpacing/>
              <w:jc w:val="center"/>
              <w:rPr>
                <w:rFonts w:ascii="Arial" w:hAnsi="Arial" w:cs="Arial"/>
              </w:rPr>
            </w:pPr>
          </w:p>
        </w:tc>
        <w:tc>
          <w:tcPr>
            <w:tcW w:w="2834" w:type="dxa"/>
          </w:tcPr>
          <w:p w:rsidR="00AA0F2B" w:rsidRPr="003F6850" w:rsidRDefault="00AA0F2B" w:rsidP="00FC6031">
            <w:pPr>
              <w:spacing w:after="200" w:line="276" w:lineRule="auto"/>
              <w:contextualSpacing/>
              <w:jc w:val="center"/>
              <w:rPr>
                <w:rFonts w:ascii="Arial" w:hAnsi="Arial" w:cs="Arial"/>
              </w:rPr>
            </w:pPr>
          </w:p>
        </w:tc>
        <w:tc>
          <w:tcPr>
            <w:tcW w:w="1560" w:type="dxa"/>
          </w:tcPr>
          <w:p w:rsidR="00AA0F2B" w:rsidRPr="003F6850" w:rsidRDefault="00210696" w:rsidP="00FC6031">
            <w:pPr>
              <w:spacing w:after="200" w:line="276" w:lineRule="auto"/>
              <w:contextualSpacing/>
              <w:jc w:val="center"/>
              <w:rPr>
                <w:rFonts w:ascii="Arial" w:hAnsi="Arial" w:cs="Arial"/>
              </w:rPr>
            </w:pPr>
            <w:r>
              <w:rPr>
                <w:rFonts w:ascii="Arial" w:hAnsi="Arial" w:cs="Arial"/>
              </w:rPr>
              <w:t>14.5</w:t>
            </w:r>
          </w:p>
        </w:tc>
      </w:tr>
      <w:tr w:rsidR="00AA0F2B" w:rsidRPr="003F6850" w:rsidTr="004D2955">
        <w:tc>
          <w:tcPr>
            <w:tcW w:w="2943" w:type="dxa"/>
          </w:tcPr>
          <w:p w:rsidR="00AA0F2B" w:rsidRPr="003F6850" w:rsidRDefault="00AA0F2B" w:rsidP="00FC6031">
            <w:pPr>
              <w:spacing w:after="200" w:line="276" w:lineRule="auto"/>
              <w:contextualSpacing/>
              <w:rPr>
                <w:rFonts w:ascii="Arial" w:hAnsi="Arial" w:cs="Arial"/>
              </w:rPr>
            </w:pPr>
            <w:r w:rsidRPr="003F6850">
              <w:rPr>
                <w:rFonts w:ascii="Arial" w:hAnsi="Arial" w:cs="Arial"/>
              </w:rPr>
              <w:t>Median bias (%)</w:t>
            </w:r>
          </w:p>
        </w:tc>
        <w:tc>
          <w:tcPr>
            <w:tcW w:w="1560" w:type="dxa"/>
          </w:tcPr>
          <w:p w:rsidR="00AA0F2B" w:rsidRPr="003F6850" w:rsidRDefault="00AA0F2B" w:rsidP="00FC6031">
            <w:pPr>
              <w:spacing w:after="200" w:line="276" w:lineRule="auto"/>
              <w:contextualSpacing/>
              <w:jc w:val="center"/>
              <w:rPr>
                <w:rFonts w:ascii="Arial" w:hAnsi="Arial" w:cs="Arial"/>
              </w:rPr>
            </w:pPr>
          </w:p>
        </w:tc>
        <w:tc>
          <w:tcPr>
            <w:tcW w:w="2834" w:type="dxa"/>
          </w:tcPr>
          <w:p w:rsidR="00AA0F2B" w:rsidRPr="003F6850" w:rsidRDefault="00AA0F2B" w:rsidP="00FC6031">
            <w:pPr>
              <w:spacing w:after="200" w:line="276" w:lineRule="auto"/>
              <w:contextualSpacing/>
              <w:jc w:val="center"/>
              <w:rPr>
                <w:rFonts w:ascii="Arial" w:hAnsi="Arial" w:cs="Arial"/>
              </w:rPr>
            </w:pPr>
          </w:p>
        </w:tc>
        <w:tc>
          <w:tcPr>
            <w:tcW w:w="1560" w:type="dxa"/>
          </w:tcPr>
          <w:p w:rsidR="00AA0F2B" w:rsidRPr="003F6850" w:rsidRDefault="00210696" w:rsidP="00FC6031">
            <w:pPr>
              <w:spacing w:after="200" w:line="276" w:lineRule="auto"/>
              <w:contextualSpacing/>
              <w:jc w:val="center"/>
              <w:rPr>
                <w:rFonts w:ascii="Arial" w:hAnsi="Arial" w:cs="Arial"/>
              </w:rPr>
            </w:pPr>
            <w:r>
              <w:rPr>
                <w:rFonts w:ascii="Arial" w:hAnsi="Arial" w:cs="Arial"/>
              </w:rPr>
              <w:t>11.1</w:t>
            </w:r>
          </w:p>
        </w:tc>
      </w:tr>
    </w:tbl>
    <w:p w:rsidR="003F6850" w:rsidRPr="003F6850" w:rsidRDefault="003F6850" w:rsidP="00FC6031">
      <w:pPr>
        <w:rPr>
          <w:rFonts w:ascii="Arial" w:hAnsi="Arial" w:cs="Arial"/>
        </w:rPr>
      </w:pPr>
    </w:p>
    <w:p w:rsidR="00165604" w:rsidRDefault="000459EB" w:rsidP="00FC6031">
      <w:pPr>
        <w:rPr>
          <w:rFonts w:ascii="Arial" w:hAnsi="Arial" w:cs="Arial"/>
        </w:rPr>
      </w:pPr>
      <w:r w:rsidRPr="000459EB">
        <w:rPr>
          <w:rFonts w:ascii="Arial" w:hAnsi="Arial" w:cs="Arial"/>
        </w:rPr>
        <w:t>P values indicate the significance of the difference in means between controls and the sample of orphan drug companies. The standardised percentage bias is shown before and after matching. This is the difference of the means between the case and control samples, expressed as a percentage of the square root of the average of the sample variances in the case and control groups.</w:t>
      </w:r>
    </w:p>
    <w:p w:rsidR="00165604" w:rsidRDefault="00165604" w:rsidP="00FC6031">
      <w:pPr>
        <w:rPr>
          <w:rFonts w:ascii="Arial" w:hAnsi="Arial" w:cs="Arial"/>
        </w:rPr>
      </w:pPr>
    </w:p>
    <w:sectPr w:rsidR="00165604" w:rsidSect="003F68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50"/>
    <w:rsid w:val="00000673"/>
    <w:rsid w:val="00004559"/>
    <w:rsid w:val="00006C11"/>
    <w:rsid w:val="00006D91"/>
    <w:rsid w:val="00006ECA"/>
    <w:rsid w:val="00007561"/>
    <w:rsid w:val="00013337"/>
    <w:rsid w:val="00013842"/>
    <w:rsid w:val="000232A1"/>
    <w:rsid w:val="0002411D"/>
    <w:rsid w:val="000266B3"/>
    <w:rsid w:val="00031CAA"/>
    <w:rsid w:val="00036FCB"/>
    <w:rsid w:val="00040FD6"/>
    <w:rsid w:val="0004334C"/>
    <w:rsid w:val="000438DD"/>
    <w:rsid w:val="000452E4"/>
    <w:rsid w:val="000459EB"/>
    <w:rsid w:val="00046332"/>
    <w:rsid w:val="0006072E"/>
    <w:rsid w:val="0006150B"/>
    <w:rsid w:val="00067B3C"/>
    <w:rsid w:val="00071CA5"/>
    <w:rsid w:val="00074075"/>
    <w:rsid w:val="000805FA"/>
    <w:rsid w:val="00083D66"/>
    <w:rsid w:val="00085875"/>
    <w:rsid w:val="0009279E"/>
    <w:rsid w:val="00094365"/>
    <w:rsid w:val="000A2C92"/>
    <w:rsid w:val="000B4C4B"/>
    <w:rsid w:val="000B553D"/>
    <w:rsid w:val="000C193A"/>
    <w:rsid w:val="000C6F82"/>
    <w:rsid w:val="000C7686"/>
    <w:rsid w:val="000D16BD"/>
    <w:rsid w:val="000D33BB"/>
    <w:rsid w:val="000D64B5"/>
    <w:rsid w:val="000E12B1"/>
    <w:rsid w:val="000E1D8A"/>
    <w:rsid w:val="000F149C"/>
    <w:rsid w:val="000F691F"/>
    <w:rsid w:val="00100EC7"/>
    <w:rsid w:val="00101732"/>
    <w:rsid w:val="00102B38"/>
    <w:rsid w:val="001031F6"/>
    <w:rsid w:val="001053C3"/>
    <w:rsid w:val="00105FE2"/>
    <w:rsid w:val="00111E6B"/>
    <w:rsid w:val="00115045"/>
    <w:rsid w:val="00115A85"/>
    <w:rsid w:val="00126A08"/>
    <w:rsid w:val="001370AF"/>
    <w:rsid w:val="001401E4"/>
    <w:rsid w:val="00143C32"/>
    <w:rsid w:val="00146965"/>
    <w:rsid w:val="00150FF9"/>
    <w:rsid w:val="00153E90"/>
    <w:rsid w:val="0015726E"/>
    <w:rsid w:val="00157DF5"/>
    <w:rsid w:val="0016148D"/>
    <w:rsid w:val="00165604"/>
    <w:rsid w:val="00165F1C"/>
    <w:rsid w:val="00176DEB"/>
    <w:rsid w:val="00184570"/>
    <w:rsid w:val="001926BD"/>
    <w:rsid w:val="00196188"/>
    <w:rsid w:val="001A50D8"/>
    <w:rsid w:val="001B2486"/>
    <w:rsid w:val="001B6410"/>
    <w:rsid w:val="001C2901"/>
    <w:rsid w:val="001C411E"/>
    <w:rsid w:val="001C62F9"/>
    <w:rsid w:val="001D2F67"/>
    <w:rsid w:val="001D42BE"/>
    <w:rsid w:val="001F1DD1"/>
    <w:rsid w:val="001F3765"/>
    <w:rsid w:val="001F66DF"/>
    <w:rsid w:val="00210696"/>
    <w:rsid w:val="00211F4B"/>
    <w:rsid w:val="00222B5E"/>
    <w:rsid w:val="00236701"/>
    <w:rsid w:val="00243A8B"/>
    <w:rsid w:val="00244ACE"/>
    <w:rsid w:val="00245166"/>
    <w:rsid w:val="002537A8"/>
    <w:rsid w:val="002549F6"/>
    <w:rsid w:val="002601C6"/>
    <w:rsid w:val="00263551"/>
    <w:rsid w:val="0026559E"/>
    <w:rsid w:val="00272F72"/>
    <w:rsid w:val="0027328B"/>
    <w:rsid w:val="00274570"/>
    <w:rsid w:val="002753A7"/>
    <w:rsid w:val="00277EF1"/>
    <w:rsid w:val="00280D13"/>
    <w:rsid w:val="00281007"/>
    <w:rsid w:val="00282E36"/>
    <w:rsid w:val="0028411F"/>
    <w:rsid w:val="00286C77"/>
    <w:rsid w:val="002928DE"/>
    <w:rsid w:val="002A010C"/>
    <w:rsid w:val="002A795F"/>
    <w:rsid w:val="002A7A18"/>
    <w:rsid w:val="002B1547"/>
    <w:rsid w:val="002B67F9"/>
    <w:rsid w:val="002B7EBD"/>
    <w:rsid w:val="002C147B"/>
    <w:rsid w:val="002C4A8D"/>
    <w:rsid w:val="002C72B2"/>
    <w:rsid w:val="002E0386"/>
    <w:rsid w:val="002F4155"/>
    <w:rsid w:val="00305000"/>
    <w:rsid w:val="00315B6F"/>
    <w:rsid w:val="0031771D"/>
    <w:rsid w:val="003204A2"/>
    <w:rsid w:val="003221FD"/>
    <w:rsid w:val="00323E1F"/>
    <w:rsid w:val="003271CB"/>
    <w:rsid w:val="00327C59"/>
    <w:rsid w:val="00331176"/>
    <w:rsid w:val="0033442E"/>
    <w:rsid w:val="0033760F"/>
    <w:rsid w:val="00351107"/>
    <w:rsid w:val="0036017F"/>
    <w:rsid w:val="00363CE5"/>
    <w:rsid w:val="003670CD"/>
    <w:rsid w:val="00391262"/>
    <w:rsid w:val="00394984"/>
    <w:rsid w:val="00397EB1"/>
    <w:rsid w:val="003A2EEC"/>
    <w:rsid w:val="003A4C29"/>
    <w:rsid w:val="003B158C"/>
    <w:rsid w:val="003B22B1"/>
    <w:rsid w:val="003B55F3"/>
    <w:rsid w:val="003B7C99"/>
    <w:rsid w:val="003C1599"/>
    <w:rsid w:val="003C732E"/>
    <w:rsid w:val="003D7262"/>
    <w:rsid w:val="003F2EC8"/>
    <w:rsid w:val="003F6850"/>
    <w:rsid w:val="004006A7"/>
    <w:rsid w:val="00404051"/>
    <w:rsid w:val="0041568A"/>
    <w:rsid w:val="004168DD"/>
    <w:rsid w:val="004249C8"/>
    <w:rsid w:val="00435AEB"/>
    <w:rsid w:val="00443022"/>
    <w:rsid w:val="0045108E"/>
    <w:rsid w:val="00453373"/>
    <w:rsid w:val="00454374"/>
    <w:rsid w:val="00455F8F"/>
    <w:rsid w:val="0046309C"/>
    <w:rsid w:val="00463AC4"/>
    <w:rsid w:val="00464735"/>
    <w:rsid w:val="004651E7"/>
    <w:rsid w:val="004654E7"/>
    <w:rsid w:val="004764EE"/>
    <w:rsid w:val="00480412"/>
    <w:rsid w:val="00484BBB"/>
    <w:rsid w:val="00495733"/>
    <w:rsid w:val="00495DCF"/>
    <w:rsid w:val="004A3297"/>
    <w:rsid w:val="004B6F6D"/>
    <w:rsid w:val="004C04E5"/>
    <w:rsid w:val="004C270F"/>
    <w:rsid w:val="004C30FC"/>
    <w:rsid w:val="004C4636"/>
    <w:rsid w:val="004D2955"/>
    <w:rsid w:val="004E222F"/>
    <w:rsid w:val="004E38BE"/>
    <w:rsid w:val="004E6662"/>
    <w:rsid w:val="004E6AE9"/>
    <w:rsid w:val="004E7B12"/>
    <w:rsid w:val="004F4044"/>
    <w:rsid w:val="00507C0A"/>
    <w:rsid w:val="005111DF"/>
    <w:rsid w:val="00513789"/>
    <w:rsid w:val="005166B6"/>
    <w:rsid w:val="005169A2"/>
    <w:rsid w:val="00524DC3"/>
    <w:rsid w:val="00527552"/>
    <w:rsid w:val="005315E9"/>
    <w:rsid w:val="00537190"/>
    <w:rsid w:val="00544292"/>
    <w:rsid w:val="00547C08"/>
    <w:rsid w:val="00547DFE"/>
    <w:rsid w:val="00555929"/>
    <w:rsid w:val="0055695A"/>
    <w:rsid w:val="005575B4"/>
    <w:rsid w:val="00561DEA"/>
    <w:rsid w:val="00564B9E"/>
    <w:rsid w:val="00571FFD"/>
    <w:rsid w:val="0057597A"/>
    <w:rsid w:val="005800F9"/>
    <w:rsid w:val="00585D53"/>
    <w:rsid w:val="00586C63"/>
    <w:rsid w:val="00587358"/>
    <w:rsid w:val="00592BD6"/>
    <w:rsid w:val="00596704"/>
    <w:rsid w:val="005A5119"/>
    <w:rsid w:val="005B5265"/>
    <w:rsid w:val="005B55A4"/>
    <w:rsid w:val="005B68CE"/>
    <w:rsid w:val="005C4544"/>
    <w:rsid w:val="005D4F65"/>
    <w:rsid w:val="005E5C79"/>
    <w:rsid w:val="005E686F"/>
    <w:rsid w:val="005F125F"/>
    <w:rsid w:val="005F221F"/>
    <w:rsid w:val="005F4530"/>
    <w:rsid w:val="005F6AA3"/>
    <w:rsid w:val="006004C6"/>
    <w:rsid w:val="00601393"/>
    <w:rsid w:val="00603F83"/>
    <w:rsid w:val="00606776"/>
    <w:rsid w:val="00611CB1"/>
    <w:rsid w:val="00616B3D"/>
    <w:rsid w:val="006278EF"/>
    <w:rsid w:val="00630E39"/>
    <w:rsid w:val="00632DC6"/>
    <w:rsid w:val="00635E3D"/>
    <w:rsid w:val="006418BE"/>
    <w:rsid w:val="006430DC"/>
    <w:rsid w:val="0065011B"/>
    <w:rsid w:val="00651A5E"/>
    <w:rsid w:val="00653D2F"/>
    <w:rsid w:val="00656D6F"/>
    <w:rsid w:val="00657B68"/>
    <w:rsid w:val="00664263"/>
    <w:rsid w:val="0066537A"/>
    <w:rsid w:val="00666C2D"/>
    <w:rsid w:val="00672A0B"/>
    <w:rsid w:val="006902D9"/>
    <w:rsid w:val="006954FF"/>
    <w:rsid w:val="00695C35"/>
    <w:rsid w:val="006A1A26"/>
    <w:rsid w:val="006B353D"/>
    <w:rsid w:val="006B52CA"/>
    <w:rsid w:val="006C3464"/>
    <w:rsid w:val="006D1789"/>
    <w:rsid w:val="006E380A"/>
    <w:rsid w:val="006F3533"/>
    <w:rsid w:val="00702DDF"/>
    <w:rsid w:val="00705FA5"/>
    <w:rsid w:val="00712BFE"/>
    <w:rsid w:val="007247A2"/>
    <w:rsid w:val="00731C08"/>
    <w:rsid w:val="007334C8"/>
    <w:rsid w:val="00736108"/>
    <w:rsid w:val="00737286"/>
    <w:rsid w:val="00743D60"/>
    <w:rsid w:val="00747B5F"/>
    <w:rsid w:val="00752A97"/>
    <w:rsid w:val="00753AB1"/>
    <w:rsid w:val="0076495C"/>
    <w:rsid w:val="00774C77"/>
    <w:rsid w:val="007957BE"/>
    <w:rsid w:val="007978E5"/>
    <w:rsid w:val="007A0ABA"/>
    <w:rsid w:val="007A64B3"/>
    <w:rsid w:val="007A759F"/>
    <w:rsid w:val="007C5220"/>
    <w:rsid w:val="007C69CF"/>
    <w:rsid w:val="007D7FAE"/>
    <w:rsid w:val="007E3956"/>
    <w:rsid w:val="00802C7E"/>
    <w:rsid w:val="00811591"/>
    <w:rsid w:val="00817B7D"/>
    <w:rsid w:val="008201DE"/>
    <w:rsid w:val="008207CB"/>
    <w:rsid w:val="00821001"/>
    <w:rsid w:val="008256FC"/>
    <w:rsid w:val="0082655E"/>
    <w:rsid w:val="00826892"/>
    <w:rsid w:val="00835846"/>
    <w:rsid w:val="00835D4A"/>
    <w:rsid w:val="00841518"/>
    <w:rsid w:val="0084359C"/>
    <w:rsid w:val="0084768A"/>
    <w:rsid w:val="00855709"/>
    <w:rsid w:val="00855C0D"/>
    <w:rsid w:val="008720F3"/>
    <w:rsid w:val="00877C9B"/>
    <w:rsid w:val="008834DD"/>
    <w:rsid w:val="00886503"/>
    <w:rsid w:val="00886E32"/>
    <w:rsid w:val="008945EA"/>
    <w:rsid w:val="008A0784"/>
    <w:rsid w:val="008A2DF5"/>
    <w:rsid w:val="008A47B8"/>
    <w:rsid w:val="008A563B"/>
    <w:rsid w:val="008A716E"/>
    <w:rsid w:val="008B1408"/>
    <w:rsid w:val="008B6780"/>
    <w:rsid w:val="008C1CF5"/>
    <w:rsid w:val="008C20D5"/>
    <w:rsid w:val="008D31AB"/>
    <w:rsid w:val="008E00BE"/>
    <w:rsid w:val="008E1D67"/>
    <w:rsid w:val="008E273D"/>
    <w:rsid w:val="008E7EAD"/>
    <w:rsid w:val="008F4224"/>
    <w:rsid w:val="008F515E"/>
    <w:rsid w:val="009131BF"/>
    <w:rsid w:val="00914E4B"/>
    <w:rsid w:val="0092425B"/>
    <w:rsid w:val="00924CC5"/>
    <w:rsid w:val="00924DA2"/>
    <w:rsid w:val="0092598D"/>
    <w:rsid w:val="0092753E"/>
    <w:rsid w:val="0093269D"/>
    <w:rsid w:val="00932D63"/>
    <w:rsid w:val="00935A69"/>
    <w:rsid w:val="0094162A"/>
    <w:rsid w:val="00944B64"/>
    <w:rsid w:val="00955B92"/>
    <w:rsid w:val="00960670"/>
    <w:rsid w:val="00961BE5"/>
    <w:rsid w:val="009646DA"/>
    <w:rsid w:val="00964F53"/>
    <w:rsid w:val="00965D3B"/>
    <w:rsid w:val="00972BBA"/>
    <w:rsid w:val="00974F82"/>
    <w:rsid w:val="0097567D"/>
    <w:rsid w:val="00976DCF"/>
    <w:rsid w:val="009A19A6"/>
    <w:rsid w:val="009B6C3B"/>
    <w:rsid w:val="009C19E6"/>
    <w:rsid w:val="009C7ED8"/>
    <w:rsid w:val="009D097A"/>
    <w:rsid w:val="009D7E33"/>
    <w:rsid w:val="009E0CBE"/>
    <w:rsid w:val="009E26BD"/>
    <w:rsid w:val="009E5CF6"/>
    <w:rsid w:val="009F4566"/>
    <w:rsid w:val="009F4FEB"/>
    <w:rsid w:val="009F57CC"/>
    <w:rsid w:val="009F638E"/>
    <w:rsid w:val="00A04811"/>
    <w:rsid w:val="00A04B09"/>
    <w:rsid w:val="00A05215"/>
    <w:rsid w:val="00A12D3B"/>
    <w:rsid w:val="00A13280"/>
    <w:rsid w:val="00A135AC"/>
    <w:rsid w:val="00A14382"/>
    <w:rsid w:val="00A15EB8"/>
    <w:rsid w:val="00A17DCB"/>
    <w:rsid w:val="00A25508"/>
    <w:rsid w:val="00A3524E"/>
    <w:rsid w:val="00A43EBA"/>
    <w:rsid w:val="00A56828"/>
    <w:rsid w:val="00A57383"/>
    <w:rsid w:val="00A624A7"/>
    <w:rsid w:val="00A6333E"/>
    <w:rsid w:val="00A65157"/>
    <w:rsid w:val="00A652C5"/>
    <w:rsid w:val="00A712C3"/>
    <w:rsid w:val="00A72BB5"/>
    <w:rsid w:val="00A7787C"/>
    <w:rsid w:val="00A84BFA"/>
    <w:rsid w:val="00A84F7B"/>
    <w:rsid w:val="00A87513"/>
    <w:rsid w:val="00A92D67"/>
    <w:rsid w:val="00A9764B"/>
    <w:rsid w:val="00AA0F2B"/>
    <w:rsid w:val="00AA0F40"/>
    <w:rsid w:val="00AA128B"/>
    <w:rsid w:val="00AA4552"/>
    <w:rsid w:val="00AB0092"/>
    <w:rsid w:val="00AB0349"/>
    <w:rsid w:val="00AB0D8F"/>
    <w:rsid w:val="00AB6305"/>
    <w:rsid w:val="00AC3515"/>
    <w:rsid w:val="00AC4E4F"/>
    <w:rsid w:val="00AC6E44"/>
    <w:rsid w:val="00AF5E9D"/>
    <w:rsid w:val="00B01501"/>
    <w:rsid w:val="00B0376F"/>
    <w:rsid w:val="00B04AA1"/>
    <w:rsid w:val="00B11EF0"/>
    <w:rsid w:val="00B12EDF"/>
    <w:rsid w:val="00B15010"/>
    <w:rsid w:val="00B216FA"/>
    <w:rsid w:val="00B24B93"/>
    <w:rsid w:val="00B3095E"/>
    <w:rsid w:val="00B30D24"/>
    <w:rsid w:val="00B3446E"/>
    <w:rsid w:val="00B37AD0"/>
    <w:rsid w:val="00B40FE2"/>
    <w:rsid w:val="00B4117C"/>
    <w:rsid w:val="00B4724A"/>
    <w:rsid w:val="00B52DCE"/>
    <w:rsid w:val="00B5326A"/>
    <w:rsid w:val="00B700AC"/>
    <w:rsid w:val="00B808B5"/>
    <w:rsid w:val="00B820C7"/>
    <w:rsid w:val="00B863AE"/>
    <w:rsid w:val="00BB2B06"/>
    <w:rsid w:val="00BB373B"/>
    <w:rsid w:val="00BB3F1A"/>
    <w:rsid w:val="00BB53B3"/>
    <w:rsid w:val="00BD0E21"/>
    <w:rsid w:val="00BD1EA6"/>
    <w:rsid w:val="00BD25B5"/>
    <w:rsid w:val="00BD5BCA"/>
    <w:rsid w:val="00BE253C"/>
    <w:rsid w:val="00C00E09"/>
    <w:rsid w:val="00C0298E"/>
    <w:rsid w:val="00C03235"/>
    <w:rsid w:val="00C167C4"/>
    <w:rsid w:val="00C168B4"/>
    <w:rsid w:val="00C216FA"/>
    <w:rsid w:val="00C27378"/>
    <w:rsid w:val="00C27385"/>
    <w:rsid w:val="00C37377"/>
    <w:rsid w:val="00C37964"/>
    <w:rsid w:val="00C40A33"/>
    <w:rsid w:val="00C50A09"/>
    <w:rsid w:val="00C51608"/>
    <w:rsid w:val="00C52F2A"/>
    <w:rsid w:val="00C54289"/>
    <w:rsid w:val="00C623F4"/>
    <w:rsid w:val="00C75C7C"/>
    <w:rsid w:val="00C82611"/>
    <w:rsid w:val="00C92C22"/>
    <w:rsid w:val="00C946FD"/>
    <w:rsid w:val="00C9735F"/>
    <w:rsid w:val="00CA3BC5"/>
    <w:rsid w:val="00CB6087"/>
    <w:rsid w:val="00CC10B3"/>
    <w:rsid w:val="00CC4328"/>
    <w:rsid w:val="00CC73E1"/>
    <w:rsid w:val="00CD30CF"/>
    <w:rsid w:val="00CD3EA5"/>
    <w:rsid w:val="00CD5AA2"/>
    <w:rsid w:val="00CE717C"/>
    <w:rsid w:val="00CE7219"/>
    <w:rsid w:val="00CF0B2F"/>
    <w:rsid w:val="00CF2CBC"/>
    <w:rsid w:val="00CF439D"/>
    <w:rsid w:val="00D0150E"/>
    <w:rsid w:val="00D02857"/>
    <w:rsid w:val="00D02EE1"/>
    <w:rsid w:val="00D06B86"/>
    <w:rsid w:val="00D12A51"/>
    <w:rsid w:val="00D16589"/>
    <w:rsid w:val="00D21B40"/>
    <w:rsid w:val="00D23F13"/>
    <w:rsid w:val="00D24918"/>
    <w:rsid w:val="00D24B85"/>
    <w:rsid w:val="00D335D2"/>
    <w:rsid w:val="00D342CF"/>
    <w:rsid w:val="00D35040"/>
    <w:rsid w:val="00D36DFC"/>
    <w:rsid w:val="00D45173"/>
    <w:rsid w:val="00D55933"/>
    <w:rsid w:val="00D66A79"/>
    <w:rsid w:val="00D66FD7"/>
    <w:rsid w:val="00D710C7"/>
    <w:rsid w:val="00D74777"/>
    <w:rsid w:val="00D8549F"/>
    <w:rsid w:val="00DA3805"/>
    <w:rsid w:val="00DB2389"/>
    <w:rsid w:val="00DC2728"/>
    <w:rsid w:val="00DC719A"/>
    <w:rsid w:val="00DC73C9"/>
    <w:rsid w:val="00DD0E46"/>
    <w:rsid w:val="00DD2AF2"/>
    <w:rsid w:val="00DD2B4E"/>
    <w:rsid w:val="00DD7739"/>
    <w:rsid w:val="00DE181A"/>
    <w:rsid w:val="00DE3A05"/>
    <w:rsid w:val="00DE4C12"/>
    <w:rsid w:val="00DE587B"/>
    <w:rsid w:val="00DF0E6A"/>
    <w:rsid w:val="00DF5978"/>
    <w:rsid w:val="00E04D02"/>
    <w:rsid w:val="00E13C7E"/>
    <w:rsid w:val="00E14AB2"/>
    <w:rsid w:val="00E24B6B"/>
    <w:rsid w:val="00E37322"/>
    <w:rsid w:val="00E60F38"/>
    <w:rsid w:val="00E613B7"/>
    <w:rsid w:val="00E67BDF"/>
    <w:rsid w:val="00E71BA8"/>
    <w:rsid w:val="00E7275E"/>
    <w:rsid w:val="00E74EFF"/>
    <w:rsid w:val="00E755A2"/>
    <w:rsid w:val="00E75A83"/>
    <w:rsid w:val="00E82C4D"/>
    <w:rsid w:val="00E8351E"/>
    <w:rsid w:val="00E8432E"/>
    <w:rsid w:val="00E85CCF"/>
    <w:rsid w:val="00E9241B"/>
    <w:rsid w:val="00E96801"/>
    <w:rsid w:val="00EA43BA"/>
    <w:rsid w:val="00EA4F35"/>
    <w:rsid w:val="00EB6ADB"/>
    <w:rsid w:val="00EC024C"/>
    <w:rsid w:val="00EC053E"/>
    <w:rsid w:val="00EC188D"/>
    <w:rsid w:val="00EC39F6"/>
    <w:rsid w:val="00ED4576"/>
    <w:rsid w:val="00EE01F4"/>
    <w:rsid w:val="00EE0F8E"/>
    <w:rsid w:val="00EF2779"/>
    <w:rsid w:val="00F017D1"/>
    <w:rsid w:val="00F10309"/>
    <w:rsid w:val="00F11EA7"/>
    <w:rsid w:val="00F123B6"/>
    <w:rsid w:val="00F13457"/>
    <w:rsid w:val="00F16D28"/>
    <w:rsid w:val="00F26253"/>
    <w:rsid w:val="00F37005"/>
    <w:rsid w:val="00F37809"/>
    <w:rsid w:val="00F423CE"/>
    <w:rsid w:val="00F42F99"/>
    <w:rsid w:val="00F53472"/>
    <w:rsid w:val="00F569B3"/>
    <w:rsid w:val="00F575FD"/>
    <w:rsid w:val="00F672ED"/>
    <w:rsid w:val="00F704A5"/>
    <w:rsid w:val="00F722CE"/>
    <w:rsid w:val="00F7319B"/>
    <w:rsid w:val="00F817DF"/>
    <w:rsid w:val="00F82947"/>
    <w:rsid w:val="00F86388"/>
    <w:rsid w:val="00F928CA"/>
    <w:rsid w:val="00FA23C9"/>
    <w:rsid w:val="00FB272D"/>
    <w:rsid w:val="00FB3E3F"/>
    <w:rsid w:val="00FB6F19"/>
    <w:rsid w:val="00FC6031"/>
    <w:rsid w:val="00FC66BF"/>
    <w:rsid w:val="00FD1041"/>
    <w:rsid w:val="00FD4070"/>
    <w:rsid w:val="00FE3733"/>
    <w:rsid w:val="00FF137F"/>
    <w:rsid w:val="00FF2CBE"/>
    <w:rsid w:val="00FF59D5"/>
    <w:rsid w:val="00FF65E2"/>
    <w:rsid w:val="00FF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8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F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8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F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Dyfrig Hughes</dc:creator>
  <cp:lastModifiedBy>Dyfrig Hughes</cp:lastModifiedBy>
  <cp:revision>3</cp:revision>
  <dcterms:created xsi:type="dcterms:W3CDTF">2016-05-25T13:30:00Z</dcterms:created>
  <dcterms:modified xsi:type="dcterms:W3CDTF">2016-05-25T13:30:00Z</dcterms:modified>
</cp:coreProperties>
</file>