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22" w:rsidRDefault="004115DE" w:rsidP="00D37711">
      <w:pPr>
        <w:spacing w:after="0" w:line="240" w:lineRule="auto"/>
        <w:rPr>
          <w:lang w:val="en-US"/>
        </w:rPr>
      </w:pPr>
      <w:r>
        <w:rPr>
          <w:b/>
          <w:lang w:val="en-US"/>
        </w:rPr>
        <w:t>Supplementary Table 2.</w:t>
      </w:r>
      <w:r w:rsidR="00D37711" w:rsidRPr="00D37711">
        <w:rPr>
          <w:lang w:val="en-US"/>
        </w:rPr>
        <w:t xml:space="preserve"> Association between menstrual and reproductive characteristics and colorectal cancer risk by educational </w:t>
      </w:r>
      <w:proofErr w:type="gramStart"/>
      <w:r w:rsidR="00D37711" w:rsidRPr="00D37711">
        <w:rPr>
          <w:lang w:val="en-US"/>
        </w:rPr>
        <w:t>level</w:t>
      </w:r>
      <w:r w:rsidR="00F11A22">
        <w:rPr>
          <w:lang w:val="en-US"/>
        </w:rPr>
        <w:t>,</w:t>
      </w:r>
      <w:proofErr w:type="gramEnd"/>
      <w:r w:rsidR="00F11A22">
        <w:rPr>
          <w:lang w:val="en-US"/>
        </w:rPr>
        <w:t xml:space="preserve"> additionally adjusted for</w:t>
      </w:r>
      <w:bookmarkStart w:id="0" w:name="_GoBack"/>
      <w:bookmarkEnd w:id="0"/>
      <w:r w:rsidR="00F11A22">
        <w:rPr>
          <w:lang w:val="en-US"/>
        </w:rPr>
        <w:t xml:space="preserve"> dietary factors</w:t>
      </w:r>
      <w:r w:rsidR="00F11A22">
        <w:rPr>
          <w:lang w:val="en-US"/>
        </w:rPr>
        <w:t>.</w:t>
      </w:r>
    </w:p>
    <w:tbl>
      <w:tblPr>
        <w:tblW w:w="102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540"/>
        <w:gridCol w:w="904"/>
        <w:gridCol w:w="649"/>
        <w:gridCol w:w="467"/>
        <w:gridCol w:w="467"/>
        <w:gridCol w:w="194"/>
        <w:gridCol w:w="467"/>
        <w:gridCol w:w="716"/>
        <w:gridCol w:w="185"/>
        <w:gridCol w:w="904"/>
        <w:gridCol w:w="649"/>
        <w:gridCol w:w="467"/>
        <w:gridCol w:w="467"/>
        <w:gridCol w:w="194"/>
        <w:gridCol w:w="467"/>
        <w:gridCol w:w="589"/>
        <w:gridCol w:w="716"/>
      </w:tblGrid>
      <w:tr w:rsidR="00D37711" w:rsidRPr="004115DE" w:rsidTr="00D37711">
        <w:trPr>
          <w:trHeight w:val="225"/>
        </w:trPr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04084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D0408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04084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D0408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850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4115DE" w:rsidRDefault="00D37711" w:rsidP="00D37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411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ES"/>
              </w:rPr>
              <w:t>COLORECTAL CANCER</w:t>
            </w:r>
          </w:p>
        </w:tc>
      </w:tr>
      <w:tr w:rsidR="00D37711" w:rsidRPr="004115DE" w:rsidTr="00D37711">
        <w:trPr>
          <w:trHeight w:val="22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4115DE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4115DE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38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4115DE" w:rsidRDefault="00D37711" w:rsidP="00D37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411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ES"/>
              </w:rPr>
              <w:t>Primary school or less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4115DE" w:rsidRDefault="00D37711" w:rsidP="00D37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44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4115DE" w:rsidRDefault="00D37711" w:rsidP="00D37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411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ES"/>
              </w:rPr>
              <w:t>Secondary school or University</w:t>
            </w:r>
          </w:p>
        </w:tc>
      </w:tr>
      <w:tr w:rsidR="00D37711" w:rsidRPr="00D37711" w:rsidTr="00D37711">
        <w:trPr>
          <w:trHeight w:val="225"/>
        </w:trPr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4115DE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proofErr w:type="spellStart"/>
            <w:r w:rsidRPr="004115D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Variable</w:t>
            </w:r>
            <w:r w:rsidRPr="004115D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 w:eastAsia="es-ES"/>
              </w:rPr>
              <w:t>a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4115DE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4115D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controls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4115DE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4115D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cases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4115DE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proofErr w:type="spellStart"/>
            <w:r w:rsidRPr="004115D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OR</w:t>
            </w:r>
            <w:r w:rsidRPr="004115DE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val="en-US" w:eastAsia="es-ES"/>
              </w:rPr>
              <w:t>b</w:t>
            </w:r>
            <w:proofErr w:type="spellEnd"/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4115DE" w:rsidRDefault="00D37711" w:rsidP="00D37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4115D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95% CI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4115DE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4115D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p-</w:t>
            </w:r>
            <w:proofErr w:type="spellStart"/>
            <w:r w:rsidRPr="004115D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val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4115DE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115D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co</w:t>
            </w:r>
            <w:proofErr w:type="spellStart"/>
            <w:r w:rsidRPr="00D377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ntrols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cases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D377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OR</w:t>
            </w:r>
            <w:r w:rsidRPr="00D37711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es-ES"/>
              </w:rPr>
              <w:t>b</w:t>
            </w:r>
            <w:proofErr w:type="spellEnd"/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95% CI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p-val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P-</w:t>
            </w:r>
            <w:proofErr w:type="spellStart"/>
            <w:r w:rsidRPr="00D377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int.</w:t>
            </w:r>
            <w:r w:rsidRPr="00D377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s-ES"/>
              </w:rPr>
              <w:t>c</w:t>
            </w:r>
            <w:proofErr w:type="spellEnd"/>
          </w:p>
        </w:tc>
      </w:tr>
      <w:tr w:rsidR="00D37711" w:rsidRPr="00D37711" w:rsidTr="00D37711">
        <w:trPr>
          <w:trHeight w:val="225"/>
        </w:trPr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Premenopausal</w:t>
            </w:r>
            <w:proofErr w:type="spellEnd"/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status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0.72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0.40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1.32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0.289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316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36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0.65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0.40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0.080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0.750</w:t>
            </w:r>
          </w:p>
        </w:tc>
      </w:tr>
      <w:tr w:rsidR="00D37711" w:rsidRPr="00D37711" w:rsidTr="00D37711">
        <w:trPr>
          <w:trHeight w:val="225"/>
        </w:trPr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Nulliparity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0.31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0.96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0.035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183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0.92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0.59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1.43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0.708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0.148</w:t>
            </w:r>
          </w:p>
        </w:tc>
      </w:tr>
      <w:tr w:rsidR="00D37711" w:rsidRPr="00D37711" w:rsidTr="00D37711">
        <w:trPr>
          <w:trHeight w:val="225"/>
        </w:trPr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Parous</w:t>
            </w:r>
            <w:proofErr w:type="spellEnd"/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women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D37711" w:rsidRPr="002C5839" w:rsidTr="00D37711">
        <w:trPr>
          <w:trHeight w:val="22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Age at first birth (years)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</w:p>
        </w:tc>
      </w:tr>
      <w:tr w:rsidR="00D37711" w:rsidRPr="00D37711" w:rsidTr="00D37711">
        <w:trPr>
          <w:trHeight w:val="22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  </w:t>
            </w: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&lt;25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233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145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D37711" w:rsidRPr="00D37711" w:rsidTr="00D37711">
        <w:trPr>
          <w:trHeight w:val="22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25-29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231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0.76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0.54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0.101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230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0.73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0.43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1.23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0.237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D37711" w:rsidRPr="00D37711" w:rsidTr="00D37711">
        <w:trPr>
          <w:trHeight w:val="22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&gt;29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0.88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0.58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1.34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0.557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203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0.72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0.42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1.26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0.249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D37711" w:rsidRPr="00D37711" w:rsidTr="00D37711">
        <w:trPr>
          <w:trHeight w:val="22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 </w:t>
            </w:r>
            <w:proofErr w:type="spellStart"/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Five-year</w:t>
            </w:r>
            <w:proofErr w:type="spellEnd"/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trend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1.02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0.86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1.21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0.822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0.94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0.75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1.17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0.566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0.551</w:t>
            </w:r>
          </w:p>
        </w:tc>
      </w:tr>
      <w:tr w:rsidR="00D37711" w:rsidRPr="00D37711" w:rsidTr="00D37711">
        <w:trPr>
          <w:trHeight w:val="22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No. of </w:t>
            </w:r>
            <w:proofErr w:type="spellStart"/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children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D37711" w:rsidRPr="00D37711" w:rsidTr="00D37711">
        <w:trPr>
          <w:trHeight w:val="22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1-2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357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163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428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D37711" w:rsidRPr="00D37711" w:rsidTr="00D37711">
        <w:trPr>
          <w:trHeight w:val="22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3-4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173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1.20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0.87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1.66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0.260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0.28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0.88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0.018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D37711" w:rsidRPr="00D37711" w:rsidTr="00D37711">
        <w:trPr>
          <w:trHeight w:val="22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&gt; 4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1.29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0.73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2.27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0.387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0.20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0.04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0.94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0.042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D37711" w:rsidRPr="00D37711" w:rsidTr="00D37711">
        <w:trPr>
          <w:trHeight w:val="22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 </w:t>
            </w:r>
            <w:proofErr w:type="spellStart"/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Trend</w:t>
            </w:r>
            <w:proofErr w:type="spellEnd"/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per </w:t>
            </w:r>
            <w:proofErr w:type="spellStart"/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child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1.08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0.96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1.21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0.202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0.68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0.54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0.86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0.002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&lt;0.001</w:t>
            </w:r>
          </w:p>
        </w:tc>
      </w:tr>
      <w:tr w:rsidR="00D37711" w:rsidRPr="00D37711" w:rsidTr="00D37711">
        <w:trPr>
          <w:trHeight w:val="22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Lactation</w:t>
            </w:r>
            <w:proofErr w:type="spellEnd"/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first</w:t>
            </w:r>
            <w:proofErr w:type="spellEnd"/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child</w:t>
            </w:r>
            <w:proofErr w:type="spellEnd"/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(</w:t>
            </w:r>
            <w:proofErr w:type="spellStart"/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months</w:t>
            </w:r>
            <w:proofErr w:type="spellEnd"/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D37711" w:rsidRPr="00D37711" w:rsidTr="00D37711">
        <w:trPr>
          <w:trHeight w:val="22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 </w:t>
            </w:r>
            <w:proofErr w:type="spellStart"/>
            <w:r w:rsidRPr="00D377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None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1.21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0.79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1.83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0.381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1.18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0.68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2.05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0.553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D37711" w:rsidRPr="00D37711" w:rsidTr="00D37711">
        <w:trPr>
          <w:trHeight w:val="22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1-6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273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321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D37711" w:rsidRPr="00D37711" w:rsidTr="00D37711">
        <w:trPr>
          <w:trHeight w:val="22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 &gt;6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1.83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1.26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2.68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0.002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0.71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0.33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1.52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0.380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D37711" w:rsidRPr="00D37711" w:rsidTr="00D37711">
        <w:trPr>
          <w:trHeight w:val="22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 xml:space="preserve">  </w:t>
            </w:r>
            <w:proofErr w:type="spellStart"/>
            <w:r w:rsidRPr="00D3771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Six-month</w:t>
            </w:r>
            <w:proofErr w:type="spellEnd"/>
            <w:r w:rsidRPr="00D3771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D3771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trend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1.19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1.02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1.40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0.028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0.83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0.57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1.19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0.311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0.051</w:t>
            </w:r>
          </w:p>
        </w:tc>
      </w:tr>
      <w:tr w:rsidR="00D37711" w:rsidRPr="00D37711" w:rsidTr="00D37711">
        <w:trPr>
          <w:trHeight w:val="225"/>
        </w:trPr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No. of </w:t>
            </w:r>
            <w:proofErr w:type="spellStart"/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miscarriages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D37711" w:rsidRPr="00D37711" w:rsidTr="00D37711">
        <w:trPr>
          <w:trHeight w:val="22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D377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none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488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271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567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D37711" w:rsidRPr="00D37711" w:rsidTr="00D37711">
        <w:trPr>
          <w:trHeight w:val="22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16"/>
                <w:szCs w:val="16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D377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One</w:t>
            </w:r>
            <w:proofErr w:type="spellEnd"/>
            <w:r w:rsidRPr="00D377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D377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</w:t>
            </w:r>
            <w:proofErr w:type="spellEnd"/>
            <w:r w:rsidRPr="00D377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more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140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0.83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0.58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1.18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0.300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183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0.95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0.61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1.48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0.830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0.889</w:t>
            </w:r>
          </w:p>
        </w:tc>
      </w:tr>
      <w:tr w:rsidR="00D37711" w:rsidRPr="00D37711" w:rsidTr="00D37711">
        <w:trPr>
          <w:trHeight w:val="225"/>
        </w:trPr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Age</w:t>
            </w:r>
            <w:proofErr w:type="spellEnd"/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at </w:t>
            </w:r>
            <w:proofErr w:type="spellStart"/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menarche</w:t>
            </w:r>
            <w:proofErr w:type="spellEnd"/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(</w:t>
            </w:r>
            <w:proofErr w:type="spellStart"/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years</w:t>
            </w:r>
            <w:proofErr w:type="spellEnd"/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D37711" w:rsidRPr="00D37711" w:rsidTr="00D37711">
        <w:trPr>
          <w:trHeight w:val="22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&lt;12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0.84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0.56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1.28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0.417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164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1.66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1.04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2.66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0.034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D37711" w:rsidRPr="00D37711" w:rsidTr="00D37711">
        <w:trPr>
          <w:trHeight w:val="22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12-13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260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140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377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D37711" w:rsidRPr="00D37711" w:rsidTr="00D37711">
        <w:trPr>
          <w:trHeight w:val="22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&gt;13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248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140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0.90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0.66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1.24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0.526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205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1.63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1.05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2.51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0.029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D37711" w:rsidRPr="00D37711" w:rsidTr="00D37711">
        <w:trPr>
          <w:trHeight w:val="22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Trend</w:t>
            </w:r>
            <w:proofErr w:type="spellEnd"/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per </w:t>
            </w:r>
            <w:proofErr w:type="spellStart"/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year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1.01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0.93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1.10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0.835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1.03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0.91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1.16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0.659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0.809</w:t>
            </w:r>
          </w:p>
        </w:tc>
      </w:tr>
      <w:tr w:rsidR="00D37711" w:rsidRPr="00D37711" w:rsidTr="00D37711">
        <w:trPr>
          <w:trHeight w:val="225"/>
        </w:trPr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hormonal </w:t>
            </w:r>
            <w:proofErr w:type="spellStart"/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contraception</w:t>
            </w:r>
            <w:proofErr w:type="spellEnd"/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use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D37711" w:rsidRPr="00D37711" w:rsidTr="00D37711">
        <w:trPr>
          <w:trHeight w:val="22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Never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398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266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289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D37711" w:rsidRPr="00D37711" w:rsidTr="00D37711">
        <w:trPr>
          <w:trHeight w:val="22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Ever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230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0.38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0.76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&lt;0.001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461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0.80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0.55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1.18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0.265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0.103</w:t>
            </w:r>
          </w:p>
        </w:tc>
      </w:tr>
      <w:tr w:rsidR="00D37711" w:rsidRPr="00D37711" w:rsidTr="00D37711">
        <w:trPr>
          <w:trHeight w:val="22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&lt;=5 </w:t>
            </w:r>
            <w:proofErr w:type="spellStart"/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years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0.60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0.37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0.97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0.037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185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36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0.86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0.53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1.38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D37711" w:rsidRPr="00D37711" w:rsidTr="00D37711">
        <w:trPr>
          <w:trHeight w:val="22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&gt;5 </w:t>
            </w:r>
            <w:proofErr w:type="spellStart"/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years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0.62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0.35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0.099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152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0.32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0.053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D37711" w:rsidRPr="00D37711" w:rsidTr="00D37711">
        <w:trPr>
          <w:trHeight w:val="22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</w:t>
            </w:r>
            <w:proofErr w:type="spellStart"/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Not</w:t>
            </w:r>
            <w:proofErr w:type="spellEnd"/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known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0.40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0.22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0.71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0.002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0.61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1.79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0.886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D37711" w:rsidRPr="00D37711" w:rsidTr="00D37711">
        <w:trPr>
          <w:trHeight w:val="225"/>
        </w:trPr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Postmenopausal</w:t>
            </w:r>
            <w:proofErr w:type="spellEnd"/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women</w:t>
            </w:r>
            <w:proofErr w:type="spellEnd"/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D37711" w:rsidRPr="00D37711" w:rsidTr="00D37711">
        <w:trPr>
          <w:trHeight w:val="225"/>
        </w:trPr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</w:t>
            </w:r>
            <w:proofErr w:type="spellStart"/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Age</w:t>
            </w:r>
            <w:proofErr w:type="spellEnd"/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at </w:t>
            </w:r>
            <w:proofErr w:type="spellStart"/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menopause</w:t>
            </w:r>
            <w:proofErr w:type="spellEnd"/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(</w:t>
            </w:r>
            <w:proofErr w:type="spellStart"/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years</w:t>
            </w:r>
            <w:proofErr w:type="spellEnd"/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D37711" w:rsidRPr="00D37711" w:rsidTr="00D37711">
        <w:trPr>
          <w:trHeight w:val="22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&lt;=45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56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0.81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0.52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1.27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0.365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1.33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0.72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2.43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0.363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D37711" w:rsidRPr="00D37711" w:rsidTr="00D37711">
        <w:trPr>
          <w:trHeight w:val="22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46-49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0.79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0.51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1.22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0.285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0.84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0.44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1.59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0.587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D37711" w:rsidRPr="00D37711" w:rsidTr="00D37711">
        <w:trPr>
          <w:trHeight w:val="22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50-52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138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D37711" w:rsidRPr="00D37711" w:rsidTr="00D37711">
        <w:trPr>
          <w:trHeight w:val="22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&gt;52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0.86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0.56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1.32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0.80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0.39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1.62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0.536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D37711" w:rsidRPr="00D37711" w:rsidTr="00D37711">
        <w:trPr>
          <w:trHeight w:val="22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Five-year</w:t>
            </w:r>
            <w:proofErr w:type="spellEnd"/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trend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1.12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0.97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1.30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0.130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0.95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0.76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1.19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0.652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0.222</w:t>
            </w:r>
          </w:p>
        </w:tc>
      </w:tr>
      <w:tr w:rsidR="00D37711" w:rsidRPr="00D37711" w:rsidTr="00D37711">
        <w:trPr>
          <w:trHeight w:val="225"/>
        </w:trPr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</w:t>
            </w:r>
            <w:proofErr w:type="spellStart"/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Fertility</w:t>
            </w:r>
            <w:proofErr w:type="spellEnd"/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time (</w:t>
            </w:r>
            <w:proofErr w:type="spellStart"/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years</w:t>
            </w:r>
            <w:proofErr w:type="spellEnd"/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D37711" w:rsidRPr="00D37711" w:rsidTr="00D37711">
        <w:trPr>
          <w:trHeight w:val="22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&lt;33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146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251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D37711" w:rsidRPr="00D37711" w:rsidTr="00D37711">
        <w:trPr>
          <w:trHeight w:val="22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33-36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163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1.13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0.72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1.75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0.596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178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1.24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0.65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2.36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0.510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D37711" w:rsidRPr="00D37711" w:rsidTr="00D37711">
        <w:trPr>
          <w:trHeight w:val="22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37-39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133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0.99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0.62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1.57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0.968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146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0.81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0.41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1.58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0.531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D37711" w:rsidRPr="00D37711" w:rsidTr="00D37711">
        <w:trPr>
          <w:trHeight w:val="22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&gt;39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0.66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1.67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0.841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0.80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0.39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1.63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0.540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D37711" w:rsidRPr="00D37711" w:rsidTr="00D37711">
        <w:trPr>
          <w:trHeight w:val="22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Five-year</w:t>
            </w:r>
            <w:proofErr w:type="spellEnd"/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trend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1.09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0.94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1.27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0.233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0.95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0.76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1.19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0.641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0.294</w:t>
            </w:r>
          </w:p>
        </w:tc>
      </w:tr>
      <w:tr w:rsidR="00D37711" w:rsidRPr="00D37711" w:rsidTr="00D37711">
        <w:trPr>
          <w:trHeight w:val="225"/>
        </w:trPr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Hormone </w:t>
            </w:r>
            <w:proofErr w:type="spellStart"/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therapy</w:t>
            </w:r>
            <w:proofErr w:type="spellEnd"/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use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D37711" w:rsidRPr="00D37711" w:rsidTr="00D37711">
        <w:trPr>
          <w:trHeight w:val="22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Never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574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324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698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141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D37711" w:rsidRPr="00D37711" w:rsidTr="00D37711">
        <w:trPr>
          <w:trHeight w:val="225"/>
        </w:trPr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Ever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0.35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0.17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0.004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0.81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0.39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1.66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711" w:rsidRPr="00D37711" w:rsidRDefault="00D37711" w:rsidP="00D3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37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0.104</w:t>
            </w:r>
          </w:p>
        </w:tc>
      </w:tr>
    </w:tbl>
    <w:p w:rsidR="00D37711" w:rsidRPr="00195F74" w:rsidRDefault="00D37711" w:rsidP="002C5839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5A1290">
        <w:rPr>
          <w:rFonts w:ascii="Arial" w:hAnsi="Arial" w:cs="Arial"/>
          <w:sz w:val="18"/>
          <w:szCs w:val="18"/>
          <w:vertAlign w:val="superscript"/>
          <w:lang w:val="en-US"/>
        </w:rPr>
        <w:t>a</w:t>
      </w:r>
      <w:r w:rsidRPr="005A1290">
        <w:rPr>
          <w:rFonts w:ascii="Arial" w:hAnsi="Arial" w:cs="Arial"/>
          <w:sz w:val="18"/>
          <w:szCs w:val="18"/>
          <w:lang w:val="en-US"/>
        </w:rPr>
        <w:t xml:space="preserve"> Totals do not add up because of missing values</w:t>
      </w:r>
      <w:r>
        <w:rPr>
          <w:rFonts w:ascii="Arial" w:hAnsi="Arial" w:cs="Arial"/>
          <w:sz w:val="18"/>
          <w:szCs w:val="18"/>
          <w:lang w:val="en-US"/>
        </w:rPr>
        <w:t>.</w:t>
      </w:r>
    </w:p>
    <w:p w:rsidR="00D04084" w:rsidRPr="00195F74" w:rsidRDefault="00D37711" w:rsidP="002C5839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195F74">
        <w:rPr>
          <w:rFonts w:ascii="Arial" w:hAnsi="Arial" w:cs="Arial"/>
          <w:sz w:val="18"/>
          <w:szCs w:val="18"/>
          <w:vertAlign w:val="superscript"/>
          <w:lang w:val="en-US"/>
        </w:rPr>
        <w:t>b</w:t>
      </w:r>
      <w:r w:rsidRPr="00195F74">
        <w:rPr>
          <w:rFonts w:ascii="Arial" w:hAnsi="Arial" w:cs="Arial"/>
          <w:sz w:val="18"/>
          <w:szCs w:val="18"/>
          <w:lang w:val="en-US"/>
        </w:rPr>
        <w:t xml:space="preserve"> </w:t>
      </w:r>
      <w:r w:rsidR="00D04084" w:rsidRPr="00195F74">
        <w:rPr>
          <w:rFonts w:ascii="Arial" w:hAnsi="Arial" w:cs="Arial"/>
          <w:sz w:val="18"/>
          <w:szCs w:val="18"/>
          <w:lang w:val="en-US"/>
        </w:rPr>
        <w:t>Odds ratios (ORs) and 95% confidence intervals (95% CI) adjusted for age, educational level, BMI 1-year before the inter</w:t>
      </w:r>
      <w:r w:rsidR="00D04084">
        <w:rPr>
          <w:rFonts w:ascii="Arial" w:hAnsi="Arial" w:cs="Arial"/>
          <w:sz w:val="18"/>
          <w:szCs w:val="18"/>
          <w:lang w:val="en-US"/>
        </w:rPr>
        <w:t xml:space="preserve">view, family history of </w:t>
      </w:r>
      <w:r w:rsidR="00D04084" w:rsidRPr="00195F74">
        <w:rPr>
          <w:rFonts w:ascii="Arial" w:hAnsi="Arial" w:cs="Arial"/>
          <w:sz w:val="18"/>
          <w:szCs w:val="18"/>
          <w:lang w:val="en-US"/>
        </w:rPr>
        <w:t>colorectal cancer, tobacco</w:t>
      </w:r>
      <w:r w:rsidR="00D04084">
        <w:rPr>
          <w:rFonts w:ascii="Arial" w:hAnsi="Arial" w:cs="Arial"/>
          <w:sz w:val="18"/>
          <w:szCs w:val="18"/>
          <w:lang w:val="en-US"/>
        </w:rPr>
        <w:t xml:space="preserve">, </w:t>
      </w:r>
      <w:r w:rsidR="00D04084" w:rsidRPr="00F8459E">
        <w:rPr>
          <w:rFonts w:ascii="Arial" w:hAnsi="Arial" w:cs="Arial"/>
          <w:sz w:val="18"/>
          <w:szCs w:val="18"/>
          <w:lang w:val="en-US"/>
        </w:rPr>
        <w:t>calorie intake, red meat, processed meat, fruits, vegetables and alcohol consumption</w:t>
      </w:r>
      <w:r w:rsidR="00D04084">
        <w:rPr>
          <w:rFonts w:ascii="Arial" w:hAnsi="Arial" w:cs="Arial"/>
          <w:sz w:val="18"/>
          <w:szCs w:val="18"/>
          <w:lang w:val="en-US"/>
        </w:rPr>
        <w:t>,</w:t>
      </w:r>
      <w:r w:rsidR="00D04084" w:rsidRPr="0050658C">
        <w:rPr>
          <w:rFonts w:ascii="Arial" w:hAnsi="Arial" w:cs="Arial"/>
          <w:sz w:val="18"/>
          <w:szCs w:val="18"/>
          <w:lang w:val="en-US"/>
        </w:rPr>
        <w:t xml:space="preserve"> </w:t>
      </w:r>
      <w:r w:rsidR="00D04084" w:rsidRPr="00195F74">
        <w:rPr>
          <w:rFonts w:ascii="Arial" w:hAnsi="Arial" w:cs="Arial"/>
          <w:sz w:val="18"/>
          <w:szCs w:val="18"/>
          <w:lang w:val="en-US"/>
        </w:rPr>
        <w:t>hormone therapy use</w:t>
      </w:r>
      <w:r w:rsidR="00D04084" w:rsidRPr="0050658C">
        <w:rPr>
          <w:rFonts w:ascii="Arial" w:hAnsi="Arial" w:cs="Arial"/>
          <w:sz w:val="18"/>
          <w:szCs w:val="18"/>
          <w:lang w:val="en-US"/>
        </w:rPr>
        <w:t xml:space="preserve"> </w:t>
      </w:r>
      <w:r w:rsidR="00D04084">
        <w:rPr>
          <w:rFonts w:ascii="Arial" w:hAnsi="Arial" w:cs="Arial"/>
          <w:sz w:val="18"/>
          <w:szCs w:val="18"/>
          <w:lang w:val="en-US"/>
        </w:rPr>
        <w:t xml:space="preserve">and hormonal contraception use </w:t>
      </w:r>
      <w:r w:rsidR="00D04084" w:rsidRPr="00174595">
        <w:rPr>
          <w:rFonts w:ascii="Arial" w:hAnsi="Arial" w:cs="Arial"/>
          <w:sz w:val="18"/>
          <w:szCs w:val="18"/>
          <w:lang w:val="en-US"/>
        </w:rPr>
        <w:t>(the latter two variables were excluded as confounders when analyzing their association with gastric and colorectal cancer risk).</w:t>
      </w:r>
      <w:r w:rsidR="002C5839">
        <w:rPr>
          <w:rFonts w:ascii="Arial" w:hAnsi="Arial" w:cs="Arial"/>
          <w:sz w:val="18"/>
          <w:szCs w:val="18"/>
          <w:lang w:val="en-US"/>
        </w:rPr>
        <w:t xml:space="preserve"> </w:t>
      </w:r>
      <w:r w:rsidR="002C5839" w:rsidRPr="002E33C4">
        <w:rPr>
          <w:rFonts w:ascii="Arial" w:hAnsi="Arial" w:cs="Arial"/>
          <w:sz w:val="18"/>
          <w:szCs w:val="18"/>
          <w:lang w:val="en-US"/>
        </w:rPr>
        <w:t>Province was included as a random effect term.</w:t>
      </w:r>
    </w:p>
    <w:p w:rsidR="00D37711" w:rsidRPr="00195F74" w:rsidRDefault="00D37711" w:rsidP="002C5839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195F74">
        <w:rPr>
          <w:rFonts w:ascii="Arial" w:hAnsi="Arial" w:cs="Arial"/>
          <w:sz w:val="18"/>
          <w:szCs w:val="18"/>
          <w:vertAlign w:val="superscript"/>
          <w:lang w:val="en-US"/>
        </w:rPr>
        <w:t>c</w:t>
      </w:r>
      <w:proofErr w:type="gramEnd"/>
      <w:r w:rsidRPr="00195F74">
        <w:rPr>
          <w:rFonts w:ascii="Arial" w:hAnsi="Arial" w:cs="Arial"/>
          <w:sz w:val="18"/>
          <w:szCs w:val="18"/>
          <w:lang w:val="en-US"/>
        </w:rPr>
        <w:t xml:space="preserve"> P-int.:  P value of the interaction term between </w:t>
      </w:r>
      <w:r w:rsidRPr="005A1290">
        <w:rPr>
          <w:rFonts w:ascii="Arial" w:hAnsi="Arial" w:cs="Arial"/>
          <w:sz w:val="18"/>
          <w:szCs w:val="18"/>
          <w:lang w:val="en-US"/>
        </w:rPr>
        <w:t>educational level and the corresponding variable</w:t>
      </w:r>
      <w:r>
        <w:rPr>
          <w:rFonts w:ascii="Arial" w:hAnsi="Arial" w:cs="Arial"/>
          <w:sz w:val="18"/>
          <w:szCs w:val="18"/>
          <w:lang w:val="en-US"/>
        </w:rPr>
        <w:t>.</w:t>
      </w:r>
    </w:p>
    <w:p w:rsidR="00D37711" w:rsidRDefault="00D37711" w:rsidP="002C5839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195F74">
        <w:rPr>
          <w:rFonts w:ascii="Arial" w:hAnsi="Arial" w:cs="Arial"/>
          <w:sz w:val="18"/>
          <w:szCs w:val="18"/>
          <w:lang w:val="en-US"/>
        </w:rPr>
        <w:t>* In italics: ORs, 95% CI and P values obtained with the corresponding variable as a continuous term</w:t>
      </w:r>
      <w:r>
        <w:rPr>
          <w:rFonts w:ascii="Arial" w:hAnsi="Arial" w:cs="Arial"/>
          <w:sz w:val="18"/>
          <w:szCs w:val="18"/>
          <w:lang w:val="en-US"/>
        </w:rPr>
        <w:t>.</w:t>
      </w:r>
    </w:p>
    <w:p w:rsidR="00D37711" w:rsidRPr="00D37711" w:rsidRDefault="00D37711" w:rsidP="00D37711">
      <w:pPr>
        <w:spacing w:after="0" w:line="240" w:lineRule="auto"/>
        <w:rPr>
          <w:lang w:val="en-US"/>
        </w:rPr>
      </w:pPr>
    </w:p>
    <w:sectPr w:rsidR="00D37711" w:rsidRPr="00D37711" w:rsidSect="00D37711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11"/>
    <w:rsid w:val="00174595"/>
    <w:rsid w:val="002C5839"/>
    <w:rsid w:val="004115DE"/>
    <w:rsid w:val="00C24722"/>
    <w:rsid w:val="00D04084"/>
    <w:rsid w:val="00D37711"/>
    <w:rsid w:val="00F1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LOPE CARVAJAL</dc:creator>
  <cp:lastModifiedBy>VIRGINIA LOPE CARVAJAL</cp:lastModifiedBy>
  <cp:revision>6</cp:revision>
  <dcterms:created xsi:type="dcterms:W3CDTF">2016-02-09T10:27:00Z</dcterms:created>
  <dcterms:modified xsi:type="dcterms:W3CDTF">2016-06-06T10:25:00Z</dcterms:modified>
</cp:coreProperties>
</file>