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BD" w:rsidRPr="004243F7" w:rsidRDefault="00250EA8" w:rsidP="003C5D69">
      <w:pPr>
        <w:pStyle w:val="Figureandtablelegend"/>
        <w:rPr>
          <w:rFonts w:ascii="Arial" w:hAnsi="Arial" w:cs="Arial"/>
          <w:lang w:val="en-US"/>
        </w:rPr>
      </w:pPr>
      <w:bookmarkStart w:id="0" w:name="_GoBack"/>
      <w:bookmarkEnd w:id="0"/>
      <w:proofErr w:type="gramStart"/>
      <w:r w:rsidRPr="004243F7">
        <w:rPr>
          <w:rFonts w:ascii="Arial" w:hAnsi="Arial" w:cs="Arial"/>
          <w:lang w:val="en-US"/>
        </w:rPr>
        <w:t>S</w:t>
      </w:r>
      <w:r w:rsidR="002A58C4">
        <w:rPr>
          <w:rFonts w:ascii="Arial" w:hAnsi="Arial" w:cs="Arial"/>
          <w:lang w:val="en-US"/>
        </w:rPr>
        <w:t>1</w:t>
      </w:r>
      <w:r w:rsidRPr="004243F7">
        <w:rPr>
          <w:rFonts w:ascii="Arial" w:hAnsi="Arial" w:cs="Arial"/>
          <w:lang w:val="en-US"/>
        </w:rPr>
        <w:t xml:space="preserve"> Table.</w:t>
      </w:r>
      <w:proofErr w:type="gramEnd"/>
      <w:r w:rsidRPr="004243F7">
        <w:rPr>
          <w:rFonts w:ascii="Arial" w:hAnsi="Arial" w:cs="Arial"/>
          <w:lang w:val="en-US"/>
        </w:rPr>
        <w:t xml:space="preserve"> Experimental designs</w:t>
      </w:r>
      <w:r w:rsidR="002A58C4">
        <w:rPr>
          <w:rFonts w:ascii="Arial" w:hAnsi="Arial" w:cs="Arial"/>
          <w:lang w:val="en-US"/>
        </w:rPr>
        <w:t>.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4383"/>
        <w:gridCol w:w="1135"/>
        <w:gridCol w:w="1196"/>
      </w:tblGrid>
      <w:tr w:rsidR="00605EAC" w:rsidRPr="004243F7" w:rsidTr="00BC6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</w:tcPr>
          <w:p w:rsidR="00605EAC" w:rsidRPr="004243F7" w:rsidRDefault="00250EA8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605EAC" w:rsidRPr="004243F7">
              <w:rPr>
                <w:rFonts w:ascii="Arial" w:hAnsi="Arial" w:cs="Arial"/>
                <w:sz w:val="20"/>
                <w:lang w:val="en-US"/>
              </w:rPr>
              <w:t xml:space="preserve">Group </w:t>
            </w:r>
          </w:p>
        </w:tc>
        <w:tc>
          <w:tcPr>
            <w:tcW w:w="2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Treatment regimen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Sacrifice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N (n</w:t>
            </w:r>
            <w:r w:rsidRPr="004243F7">
              <w:rPr>
                <w:rFonts w:ascii="Arial" w:hAnsi="Arial" w:cs="Arial"/>
                <w:sz w:val="20"/>
                <w:vertAlign w:val="subscript"/>
                <w:lang w:val="en-US"/>
              </w:rPr>
              <w:t>final</w:t>
            </w:r>
            <w:r w:rsidRPr="004243F7">
              <w:rPr>
                <w:rFonts w:ascii="Arial" w:hAnsi="Arial" w:cs="Arial"/>
                <w:sz w:val="20"/>
                <w:lang w:val="en-US"/>
              </w:rPr>
              <w:t>)</w:t>
            </w:r>
            <w:r w:rsidRPr="004243F7">
              <w:rPr>
                <w:rFonts w:ascii="Arial" w:hAnsi="Arial" w:cs="Arial"/>
                <w:sz w:val="20"/>
                <w:vertAlign w:val="superscript"/>
                <w:lang w:val="en-US"/>
              </w:rPr>
              <w:t>a</w:t>
            </w:r>
          </w:p>
        </w:tc>
      </w:tr>
      <w:tr w:rsidR="007A777A" w:rsidRPr="004243F7" w:rsidTr="00BC683D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4243F7">
              <w:rPr>
                <w:rFonts w:ascii="Arial" w:hAnsi="Arial" w:cs="Arial"/>
                <w:b/>
                <w:sz w:val="20"/>
                <w:lang w:val="en-US"/>
              </w:rPr>
              <w:t>Effect of CVC in the TG-induced peritonitis model in mice</w:t>
            </w:r>
          </w:p>
        </w:tc>
      </w:tr>
      <w:tr w:rsidR="00605EAC" w:rsidRPr="004243F7" w:rsidTr="00BC683D">
        <w:trPr>
          <w:trHeight w:val="283"/>
        </w:trPr>
        <w:tc>
          <w:tcPr>
            <w:tcW w:w="1368" w:type="pct"/>
            <w:tcBorders>
              <w:top w:val="single" w:sz="4" w:space="0" w:color="auto"/>
              <w:bottom w:val="nil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Non-TG </w:t>
            </w:r>
            <w:r w:rsidR="00615F7B" w:rsidRPr="004243F7">
              <w:rPr>
                <w:rFonts w:ascii="Arial" w:hAnsi="Arial" w:cs="Arial"/>
                <w:sz w:val="20"/>
                <w:lang w:val="en-US"/>
              </w:rPr>
              <w:t xml:space="preserve">+ vehicle </w:t>
            </w:r>
            <w:r w:rsidRPr="004243F7">
              <w:rPr>
                <w:rFonts w:ascii="Arial" w:hAnsi="Arial" w:cs="Arial"/>
                <w:sz w:val="20"/>
                <w:lang w:val="en-US"/>
              </w:rPr>
              <w:t>control</w:t>
            </w:r>
          </w:p>
        </w:tc>
        <w:tc>
          <w:tcPr>
            <w:tcW w:w="2371" w:type="pct"/>
            <w:tcBorders>
              <w:top w:val="single" w:sz="4" w:space="0" w:color="auto"/>
              <w:bottom w:val="nil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Days 1–5: vehicle control</w:t>
            </w:r>
            <w:r w:rsidRPr="004243F7">
              <w:rPr>
                <w:rFonts w:ascii="Arial" w:hAnsi="Arial" w:cs="Arial"/>
                <w:sz w:val="20"/>
                <w:vertAlign w:val="superscript"/>
                <w:lang w:val="en-US"/>
              </w:rPr>
              <w:t>b</w:t>
            </w:r>
            <w:r w:rsidRPr="004243F7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PO</w:t>
            </w:r>
          </w:p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4: PBS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IP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</w:t>
            </w:r>
            <w:r w:rsidR="000F7D52" w:rsidRPr="004243F7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647" w:type="pct"/>
            <w:tcBorders>
              <w:top w:val="single" w:sz="4" w:space="0" w:color="auto"/>
              <w:bottom w:val="nil"/>
            </w:tcBorders>
          </w:tcPr>
          <w:p w:rsidR="00605EAC" w:rsidRPr="004243F7" w:rsidRDefault="00605EAC" w:rsidP="003F15DC">
            <w:pPr>
              <w:spacing w:before="40" w:after="4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6 (6)</w:t>
            </w:r>
          </w:p>
        </w:tc>
      </w:tr>
      <w:tr w:rsidR="00605EAC" w:rsidRPr="004243F7" w:rsidTr="00BC683D">
        <w:trPr>
          <w:trHeight w:val="283"/>
        </w:trPr>
        <w:tc>
          <w:tcPr>
            <w:tcW w:w="1368" w:type="pct"/>
            <w:tcBorders>
              <w:top w:val="nil"/>
              <w:bottom w:val="nil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TG </w:t>
            </w:r>
            <w:r w:rsidR="00615F7B" w:rsidRPr="004243F7">
              <w:rPr>
                <w:rFonts w:ascii="Arial" w:hAnsi="Arial" w:cs="Arial"/>
                <w:sz w:val="20"/>
                <w:lang w:val="en-US"/>
              </w:rPr>
              <w:t xml:space="preserve">+ </w:t>
            </w:r>
            <w:r w:rsidRPr="004243F7">
              <w:rPr>
                <w:rFonts w:ascii="Arial" w:hAnsi="Arial" w:cs="Arial"/>
                <w:sz w:val="20"/>
                <w:lang w:val="en-US"/>
              </w:rPr>
              <w:t xml:space="preserve">vehicle control </w:t>
            </w:r>
          </w:p>
        </w:tc>
        <w:tc>
          <w:tcPr>
            <w:tcW w:w="2371" w:type="pct"/>
            <w:tcBorders>
              <w:top w:val="nil"/>
              <w:bottom w:val="nil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Days 1–5: vehicle control</w:t>
            </w:r>
            <w:r w:rsidRPr="004243F7">
              <w:rPr>
                <w:rFonts w:ascii="Arial" w:hAnsi="Arial" w:cs="Arial"/>
                <w:sz w:val="20"/>
                <w:vertAlign w:val="superscript"/>
                <w:lang w:val="en-US"/>
              </w:rPr>
              <w:t>b</w:t>
            </w:r>
            <w:r w:rsidRPr="004243F7">
              <w:rPr>
                <w:rFonts w:ascii="Arial" w:hAnsi="Arial" w:cs="Arial"/>
                <w:sz w:val="20"/>
                <w:lang w:val="en-US"/>
              </w:rPr>
              <w:t xml:space="preserve"> BID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PO</w:t>
            </w:r>
          </w:p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4: 3.85% TG 1 mL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IP</w:t>
            </w:r>
          </w:p>
        </w:tc>
        <w:tc>
          <w:tcPr>
            <w:tcW w:w="614" w:type="pct"/>
            <w:tcBorders>
              <w:top w:val="nil"/>
              <w:bottom w:val="nil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</w:t>
            </w:r>
            <w:r w:rsidR="000F7D52" w:rsidRPr="004243F7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:rsidR="00605EAC" w:rsidRPr="004243F7" w:rsidRDefault="00605EAC" w:rsidP="003F15DC">
            <w:pPr>
              <w:spacing w:before="40" w:after="4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8</w:t>
            </w:r>
            <w:r w:rsidR="007A777A" w:rsidRPr="004243F7">
              <w:rPr>
                <w:rFonts w:ascii="Arial" w:hAnsi="Arial" w:cs="Arial"/>
                <w:sz w:val="20"/>
                <w:lang w:val="en-US"/>
              </w:rPr>
              <w:t xml:space="preserve"> (8)</w:t>
            </w:r>
          </w:p>
        </w:tc>
      </w:tr>
      <w:tr w:rsidR="00605EAC" w:rsidRPr="004243F7" w:rsidTr="00BC683D">
        <w:trPr>
          <w:trHeight w:val="283"/>
        </w:trPr>
        <w:tc>
          <w:tcPr>
            <w:tcW w:w="1368" w:type="pct"/>
            <w:tcBorders>
              <w:top w:val="nil"/>
              <w:bottom w:val="nil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TG + CVC 5 mg/kg/day </w:t>
            </w:r>
          </w:p>
        </w:tc>
        <w:tc>
          <w:tcPr>
            <w:tcW w:w="2371" w:type="pct"/>
            <w:tcBorders>
              <w:top w:val="nil"/>
              <w:bottom w:val="nil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Days 1–5: CVC 2.5 mg/kg/dose BID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PO</w:t>
            </w:r>
          </w:p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4: 3.85% TG 1 mL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IP</w:t>
            </w:r>
          </w:p>
        </w:tc>
        <w:tc>
          <w:tcPr>
            <w:tcW w:w="614" w:type="pct"/>
            <w:tcBorders>
              <w:top w:val="nil"/>
              <w:bottom w:val="nil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</w:t>
            </w:r>
            <w:r w:rsidR="000F7D52" w:rsidRPr="004243F7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:rsidR="00605EAC" w:rsidRPr="004243F7" w:rsidRDefault="007A777A" w:rsidP="003F15DC">
            <w:pPr>
              <w:spacing w:before="40" w:after="4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6 (6)</w:t>
            </w:r>
          </w:p>
        </w:tc>
      </w:tr>
      <w:tr w:rsidR="00605EAC" w:rsidRPr="004243F7" w:rsidTr="00BC683D">
        <w:trPr>
          <w:trHeight w:val="283"/>
        </w:trPr>
        <w:tc>
          <w:tcPr>
            <w:tcW w:w="1368" w:type="pct"/>
            <w:tcBorders>
              <w:top w:val="nil"/>
              <w:bottom w:val="nil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TG + CVC 20 mg/kg/day </w:t>
            </w:r>
          </w:p>
        </w:tc>
        <w:tc>
          <w:tcPr>
            <w:tcW w:w="2371" w:type="pct"/>
            <w:tcBorders>
              <w:top w:val="nil"/>
              <w:bottom w:val="nil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Days 1–5: CVC 10 mg/kg/dose BID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PO</w:t>
            </w:r>
          </w:p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4: 3.85% TG 1 mL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IP</w:t>
            </w:r>
            <w:r w:rsidRPr="004243F7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bottom w:val="nil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</w:t>
            </w:r>
            <w:r w:rsidR="000F7D52" w:rsidRPr="004243F7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:rsidR="00605EAC" w:rsidRPr="004243F7" w:rsidRDefault="007A777A" w:rsidP="003F15DC">
            <w:pPr>
              <w:spacing w:before="40" w:after="4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6 (6)</w:t>
            </w:r>
          </w:p>
        </w:tc>
      </w:tr>
      <w:tr w:rsidR="00605EAC" w:rsidRPr="004243F7" w:rsidTr="00BC683D">
        <w:trPr>
          <w:trHeight w:val="283"/>
        </w:trPr>
        <w:tc>
          <w:tcPr>
            <w:tcW w:w="1368" w:type="pct"/>
            <w:tcBorders>
              <w:top w:val="nil"/>
              <w:bottom w:val="nil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TG + CVC 100 mg/kg/day </w:t>
            </w:r>
          </w:p>
        </w:tc>
        <w:tc>
          <w:tcPr>
            <w:tcW w:w="2371" w:type="pct"/>
            <w:tcBorders>
              <w:top w:val="nil"/>
              <w:bottom w:val="nil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Days 1–5: CVC 50 mg/kg/dose BID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PO</w:t>
            </w:r>
          </w:p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4: 3.85% TG 1 mL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IP</w:t>
            </w:r>
          </w:p>
        </w:tc>
        <w:tc>
          <w:tcPr>
            <w:tcW w:w="614" w:type="pct"/>
            <w:tcBorders>
              <w:top w:val="nil"/>
              <w:bottom w:val="nil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</w:t>
            </w:r>
            <w:r w:rsidR="000F7D52" w:rsidRPr="004243F7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:rsidR="00605EAC" w:rsidRPr="004243F7" w:rsidRDefault="007A777A" w:rsidP="003F15DC">
            <w:pPr>
              <w:spacing w:before="40" w:after="4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6 (6)</w:t>
            </w:r>
          </w:p>
        </w:tc>
      </w:tr>
      <w:tr w:rsidR="00605EAC" w:rsidRPr="004243F7" w:rsidTr="00BC683D">
        <w:trPr>
          <w:trHeight w:val="283"/>
        </w:trPr>
        <w:tc>
          <w:tcPr>
            <w:tcW w:w="1368" w:type="pct"/>
            <w:tcBorders>
              <w:top w:val="nil"/>
              <w:bottom w:val="nil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TG + CVC 20 mg/kg/day </w:t>
            </w:r>
          </w:p>
        </w:tc>
        <w:tc>
          <w:tcPr>
            <w:tcW w:w="2371" w:type="pct"/>
            <w:tcBorders>
              <w:top w:val="nil"/>
              <w:bottom w:val="nil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Days 1–5: CVC 20 mg/kg/dose QD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PO</w:t>
            </w:r>
          </w:p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4: 3.85% TG 1 mL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IP</w:t>
            </w:r>
            <w:r w:rsidRPr="004243F7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bottom w:val="nil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</w:t>
            </w:r>
            <w:r w:rsidR="000F7D52" w:rsidRPr="004243F7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:rsidR="00605EAC" w:rsidRPr="004243F7" w:rsidRDefault="007A777A" w:rsidP="003F15DC">
            <w:pPr>
              <w:spacing w:before="40" w:after="4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6 (6)</w:t>
            </w:r>
          </w:p>
        </w:tc>
      </w:tr>
      <w:tr w:rsidR="00605EAC" w:rsidRPr="004243F7" w:rsidTr="00BC683D">
        <w:trPr>
          <w:trHeight w:val="283"/>
        </w:trPr>
        <w:tc>
          <w:tcPr>
            <w:tcW w:w="1368" w:type="pct"/>
            <w:tcBorders>
              <w:top w:val="nil"/>
              <w:bottom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TG + DEX 1 mg/kg/day </w:t>
            </w:r>
          </w:p>
        </w:tc>
        <w:tc>
          <w:tcPr>
            <w:tcW w:w="2371" w:type="pct"/>
            <w:tcBorders>
              <w:top w:val="nil"/>
              <w:bottom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Days 1–5: DEX 1 mg/kg/dose QD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PO</w:t>
            </w:r>
          </w:p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4: 3.85% TG 1 mL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IP</w:t>
            </w:r>
            <w:r w:rsidRPr="004243F7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</w:t>
            </w:r>
            <w:r w:rsidR="000F7D52" w:rsidRPr="004243F7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647" w:type="pct"/>
            <w:tcBorders>
              <w:top w:val="nil"/>
              <w:bottom w:val="single" w:sz="4" w:space="0" w:color="auto"/>
            </w:tcBorders>
          </w:tcPr>
          <w:p w:rsidR="00605EAC" w:rsidRPr="004243F7" w:rsidRDefault="007A777A" w:rsidP="003F15DC">
            <w:pPr>
              <w:spacing w:before="40" w:after="4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6 (6)</w:t>
            </w:r>
          </w:p>
        </w:tc>
      </w:tr>
      <w:tr w:rsidR="007A777A" w:rsidRPr="004243F7" w:rsidTr="00BC683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4243F7">
              <w:rPr>
                <w:rFonts w:ascii="Arial" w:hAnsi="Arial" w:cs="Arial"/>
                <w:b/>
                <w:sz w:val="20"/>
                <w:lang w:val="en-US"/>
              </w:rPr>
              <w:t>Activity of CVC in a rat model of TAA-induced liver fibrosis and cirrhosis</w:t>
            </w:r>
          </w:p>
        </w:tc>
      </w:tr>
      <w:tr w:rsidR="007A777A" w:rsidRPr="004243F7" w:rsidTr="00BC683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4243F7">
              <w:rPr>
                <w:rFonts w:ascii="Arial" w:hAnsi="Arial" w:cs="Arial"/>
                <w:i/>
                <w:sz w:val="20"/>
                <w:lang w:val="en-US"/>
              </w:rPr>
              <w:t>Group 1: Early intervention</w:t>
            </w:r>
          </w:p>
        </w:tc>
      </w:tr>
      <w:tr w:rsidR="00605EAC" w:rsidRPr="004243F7" w:rsidTr="00BC683D">
        <w:trPr>
          <w:trHeight w:val="283"/>
        </w:trPr>
        <w:tc>
          <w:tcPr>
            <w:tcW w:w="1368" w:type="pct"/>
            <w:tcBorders>
              <w:top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Vehicle control </w:t>
            </w:r>
          </w:p>
        </w:tc>
        <w:tc>
          <w:tcPr>
            <w:tcW w:w="2371" w:type="pct"/>
            <w:tcBorders>
              <w:top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Weeks 0–8: TAA 150 mg/kg 3 times/week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IP</w:t>
            </w:r>
            <w:r w:rsidRPr="004243F7">
              <w:rPr>
                <w:rFonts w:ascii="Arial" w:hAnsi="Arial" w:cs="Arial"/>
                <w:sz w:val="20"/>
                <w:lang w:val="en-US"/>
              </w:rPr>
              <w:t xml:space="preserve"> Weeks 0–8: vehicle control</w:t>
            </w:r>
            <w:r w:rsidRPr="004243F7">
              <w:rPr>
                <w:rFonts w:ascii="Arial" w:hAnsi="Arial" w:cs="Arial"/>
                <w:sz w:val="20"/>
                <w:vertAlign w:val="superscript"/>
                <w:lang w:val="en-US"/>
              </w:rPr>
              <w:t>b</w:t>
            </w:r>
            <w:r w:rsidRPr="004243F7">
              <w:rPr>
                <w:rFonts w:ascii="Arial" w:hAnsi="Arial" w:cs="Arial"/>
                <w:sz w:val="20"/>
                <w:lang w:val="en-US"/>
              </w:rPr>
              <w:t xml:space="preserve"> QD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PO</w:t>
            </w: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Week 8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:rsidR="00605EAC" w:rsidRPr="004243F7" w:rsidRDefault="007A777A" w:rsidP="003F15DC">
            <w:pPr>
              <w:spacing w:before="40" w:after="4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8 (</w:t>
            </w:r>
            <w:r w:rsidR="00605EAC" w:rsidRPr="004243F7">
              <w:rPr>
                <w:rFonts w:ascii="Arial" w:hAnsi="Arial" w:cs="Arial"/>
                <w:sz w:val="20"/>
                <w:lang w:val="en-US"/>
              </w:rPr>
              <w:t>8</w:t>
            </w:r>
            <w:r w:rsidRPr="004243F7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  <w:tr w:rsidR="00605EAC" w:rsidRPr="004243F7" w:rsidTr="00BC683D">
        <w:trPr>
          <w:trHeight w:val="283"/>
        </w:trPr>
        <w:tc>
          <w:tcPr>
            <w:tcW w:w="1368" w:type="pct"/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CVC 30 mg/kg/day </w:t>
            </w:r>
          </w:p>
        </w:tc>
        <w:tc>
          <w:tcPr>
            <w:tcW w:w="2371" w:type="pct"/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Weeks 0–8: TAA 150 mg/kg 3 times/week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IP</w:t>
            </w:r>
          </w:p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Weeks 0–8: CVC 30 mg/kg/dose QD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PO</w:t>
            </w:r>
          </w:p>
        </w:tc>
        <w:tc>
          <w:tcPr>
            <w:tcW w:w="614" w:type="pct"/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Week 8</w:t>
            </w:r>
          </w:p>
        </w:tc>
        <w:tc>
          <w:tcPr>
            <w:tcW w:w="647" w:type="pct"/>
          </w:tcPr>
          <w:p w:rsidR="00605EAC" w:rsidRPr="004243F7" w:rsidRDefault="007A777A" w:rsidP="003F15DC">
            <w:pPr>
              <w:spacing w:before="40" w:after="4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8 (</w:t>
            </w:r>
            <w:r w:rsidR="00605EAC" w:rsidRPr="004243F7">
              <w:rPr>
                <w:rFonts w:ascii="Arial" w:hAnsi="Arial" w:cs="Arial"/>
                <w:sz w:val="20"/>
                <w:lang w:val="en-US"/>
              </w:rPr>
              <w:t>7</w:t>
            </w:r>
            <w:r w:rsidRPr="004243F7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  <w:tr w:rsidR="00605EAC" w:rsidRPr="004243F7" w:rsidTr="00BC683D">
        <w:trPr>
          <w:trHeight w:val="283"/>
        </w:trPr>
        <w:tc>
          <w:tcPr>
            <w:tcW w:w="1368" w:type="pct"/>
            <w:tcBorders>
              <w:bottom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CVC 100 mg/kg/day </w:t>
            </w:r>
          </w:p>
        </w:tc>
        <w:tc>
          <w:tcPr>
            <w:tcW w:w="2371" w:type="pct"/>
            <w:tcBorders>
              <w:bottom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Weeks 0–8: TAA 150 mg/kg 3 times/week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IP</w:t>
            </w:r>
          </w:p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Weeks 0–8: CVC 100 mg/kg/dose QD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PO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Week 8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605EAC" w:rsidRPr="004243F7" w:rsidRDefault="007A777A" w:rsidP="003F15DC">
            <w:pPr>
              <w:spacing w:before="40" w:after="4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8 (</w:t>
            </w:r>
            <w:r w:rsidR="00605EAC" w:rsidRPr="004243F7">
              <w:rPr>
                <w:rFonts w:ascii="Arial" w:hAnsi="Arial" w:cs="Arial"/>
                <w:sz w:val="20"/>
                <w:lang w:val="en-US"/>
              </w:rPr>
              <w:t>5</w:t>
            </w:r>
            <w:r w:rsidRPr="004243F7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  <w:tr w:rsidR="007A777A" w:rsidRPr="004243F7" w:rsidTr="00BC683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777A" w:rsidRPr="004243F7" w:rsidRDefault="007F1FA1" w:rsidP="003F15DC">
            <w:pPr>
              <w:spacing w:before="40" w:after="40" w:line="312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4243F7">
              <w:rPr>
                <w:rFonts w:ascii="Arial" w:hAnsi="Arial" w:cs="Arial"/>
                <w:i/>
                <w:sz w:val="20"/>
                <w:lang w:val="en-US"/>
              </w:rPr>
              <w:t xml:space="preserve">Group 2: Established </w:t>
            </w:r>
            <w:r w:rsidR="007A777A" w:rsidRPr="004243F7">
              <w:rPr>
                <w:rFonts w:ascii="Arial" w:hAnsi="Arial" w:cs="Arial"/>
                <w:i/>
                <w:sz w:val="20"/>
                <w:lang w:val="en-US"/>
              </w:rPr>
              <w:t>fibrosis</w:t>
            </w:r>
          </w:p>
        </w:tc>
      </w:tr>
      <w:tr w:rsidR="00605EAC" w:rsidRPr="004243F7" w:rsidTr="00BC683D">
        <w:trPr>
          <w:trHeight w:val="283"/>
        </w:trPr>
        <w:tc>
          <w:tcPr>
            <w:tcW w:w="1368" w:type="pct"/>
            <w:tcBorders>
              <w:top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Vehicle control </w:t>
            </w:r>
          </w:p>
        </w:tc>
        <w:tc>
          <w:tcPr>
            <w:tcW w:w="2371" w:type="pct"/>
            <w:tcBorders>
              <w:top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Weeks 0–8: TAA 150 mg/kg 3 times/week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IP</w:t>
            </w:r>
          </w:p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Weeks 4–8: vehicle control</w:t>
            </w:r>
            <w:r w:rsidRPr="004243F7">
              <w:rPr>
                <w:rFonts w:ascii="Arial" w:hAnsi="Arial" w:cs="Arial"/>
                <w:sz w:val="20"/>
                <w:vertAlign w:val="superscript"/>
                <w:lang w:val="en-US"/>
              </w:rPr>
              <w:t>b</w:t>
            </w:r>
            <w:r w:rsidRPr="004243F7">
              <w:rPr>
                <w:rFonts w:ascii="Arial" w:hAnsi="Arial" w:cs="Arial"/>
                <w:sz w:val="20"/>
                <w:lang w:val="en-US"/>
              </w:rPr>
              <w:t xml:space="preserve"> QD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PO</w:t>
            </w: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Week 8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:rsidR="00605EAC" w:rsidRPr="004243F7" w:rsidRDefault="007A777A" w:rsidP="003F15DC">
            <w:pPr>
              <w:spacing w:before="40" w:after="4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8 (</w:t>
            </w:r>
            <w:r w:rsidR="00605EAC" w:rsidRPr="004243F7">
              <w:rPr>
                <w:rFonts w:ascii="Arial" w:hAnsi="Arial" w:cs="Arial"/>
                <w:sz w:val="20"/>
                <w:lang w:val="en-US"/>
              </w:rPr>
              <w:t>6</w:t>
            </w:r>
            <w:r w:rsidRPr="004243F7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  <w:tr w:rsidR="00605EAC" w:rsidRPr="004243F7" w:rsidTr="00BC683D">
        <w:trPr>
          <w:trHeight w:val="283"/>
        </w:trPr>
        <w:tc>
          <w:tcPr>
            <w:tcW w:w="1368" w:type="pct"/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CVC 30 mg/kg/day </w:t>
            </w:r>
          </w:p>
        </w:tc>
        <w:tc>
          <w:tcPr>
            <w:tcW w:w="2371" w:type="pct"/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Weeks 0–8: TAA 150 mg/kg 3 times/week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IP</w:t>
            </w:r>
          </w:p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Weeks 4–8: CVC 30 mg/kg/dose QD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PO</w:t>
            </w:r>
          </w:p>
        </w:tc>
        <w:tc>
          <w:tcPr>
            <w:tcW w:w="614" w:type="pct"/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Week 8</w:t>
            </w:r>
          </w:p>
        </w:tc>
        <w:tc>
          <w:tcPr>
            <w:tcW w:w="647" w:type="pct"/>
          </w:tcPr>
          <w:p w:rsidR="00605EAC" w:rsidRPr="004243F7" w:rsidRDefault="007A777A" w:rsidP="003F15DC">
            <w:pPr>
              <w:spacing w:before="40" w:after="4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8 (</w:t>
            </w:r>
            <w:r w:rsidR="00605EAC" w:rsidRPr="004243F7">
              <w:rPr>
                <w:rFonts w:ascii="Arial" w:hAnsi="Arial" w:cs="Arial"/>
                <w:sz w:val="20"/>
                <w:lang w:val="en-US"/>
              </w:rPr>
              <w:t>6</w:t>
            </w:r>
            <w:r w:rsidRPr="004243F7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  <w:tr w:rsidR="00605EAC" w:rsidRPr="004243F7" w:rsidTr="00BC683D">
        <w:trPr>
          <w:trHeight w:val="283"/>
        </w:trPr>
        <w:tc>
          <w:tcPr>
            <w:tcW w:w="1368" w:type="pct"/>
            <w:tcBorders>
              <w:bottom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CVC 100 mg/kg/day </w:t>
            </w:r>
          </w:p>
        </w:tc>
        <w:tc>
          <w:tcPr>
            <w:tcW w:w="2371" w:type="pct"/>
            <w:tcBorders>
              <w:bottom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Weeks 0–8: TAA 150 mg/kg 3 times/week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IP</w:t>
            </w:r>
          </w:p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Weeks 4–8: CVC 100 mg/kg/dose QD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PO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Week 8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605EAC" w:rsidRPr="004243F7" w:rsidRDefault="007A777A" w:rsidP="003F15DC">
            <w:pPr>
              <w:spacing w:before="40" w:after="4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8 (</w:t>
            </w:r>
            <w:r w:rsidR="00605EAC" w:rsidRPr="004243F7">
              <w:rPr>
                <w:rFonts w:ascii="Arial" w:hAnsi="Arial" w:cs="Arial"/>
                <w:sz w:val="20"/>
                <w:lang w:val="en-US"/>
              </w:rPr>
              <w:t>4</w:t>
            </w:r>
            <w:r w:rsidRPr="004243F7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  <w:tr w:rsidR="007A777A" w:rsidRPr="004243F7" w:rsidTr="00BC683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777A" w:rsidRPr="004243F7" w:rsidRDefault="007A777A" w:rsidP="003F15DC">
            <w:pPr>
              <w:keepNext/>
              <w:spacing w:before="40" w:after="40" w:line="312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4243F7">
              <w:rPr>
                <w:rFonts w:ascii="Arial" w:hAnsi="Arial" w:cs="Arial"/>
                <w:i/>
                <w:sz w:val="20"/>
                <w:lang w:val="en-US"/>
              </w:rPr>
              <w:t>Group 3: Cirrhosis reversal</w:t>
            </w:r>
          </w:p>
        </w:tc>
      </w:tr>
      <w:tr w:rsidR="00605EAC" w:rsidRPr="004243F7" w:rsidTr="00BC683D">
        <w:trPr>
          <w:trHeight w:val="283"/>
        </w:trPr>
        <w:tc>
          <w:tcPr>
            <w:tcW w:w="1368" w:type="pct"/>
            <w:tcBorders>
              <w:top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Vehicle control </w:t>
            </w:r>
          </w:p>
        </w:tc>
        <w:tc>
          <w:tcPr>
            <w:tcW w:w="2371" w:type="pct"/>
            <w:tcBorders>
              <w:top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Weeks 0–8: TAA 150 mg/kg 3 times/week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IP</w:t>
            </w:r>
          </w:p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Weeks 8–12: vehicle control</w:t>
            </w:r>
            <w:r w:rsidRPr="004243F7">
              <w:rPr>
                <w:rFonts w:ascii="Arial" w:hAnsi="Arial" w:cs="Arial"/>
                <w:sz w:val="20"/>
                <w:vertAlign w:val="superscript"/>
                <w:lang w:val="en-US"/>
              </w:rPr>
              <w:t xml:space="preserve">b </w:t>
            </w:r>
            <w:r w:rsidRPr="004243F7">
              <w:rPr>
                <w:rFonts w:ascii="Arial" w:hAnsi="Arial" w:cs="Arial"/>
                <w:sz w:val="20"/>
                <w:lang w:val="en-US"/>
              </w:rPr>
              <w:t xml:space="preserve">QD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PO</w:t>
            </w: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Week 12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:rsidR="00605EAC" w:rsidRPr="004243F7" w:rsidRDefault="007A777A" w:rsidP="003F15DC">
            <w:pPr>
              <w:spacing w:before="40" w:after="4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8 (</w:t>
            </w:r>
            <w:r w:rsidR="00605EAC" w:rsidRPr="004243F7">
              <w:rPr>
                <w:rFonts w:ascii="Arial" w:hAnsi="Arial" w:cs="Arial"/>
                <w:sz w:val="20"/>
                <w:lang w:val="en-US"/>
              </w:rPr>
              <w:t>7</w:t>
            </w:r>
            <w:r w:rsidRPr="004243F7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  <w:tr w:rsidR="00605EAC" w:rsidRPr="004243F7" w:rsidTr="00BC683D">
        <w:trPr>
          <w:trHeight w:val="283"/>
        </w:trPr>
        <w:tc>
          <w:tcPr>
            <w:tcW w:w="1368" w:type="pct"/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CVC 30 mg/kg/day </w:t>
            </w:r>
          </w:p>
        </w:tc>
        <w:tc>
          <w:tcPr>
            <w:tcW w:w="2371" w:type="pct"/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Weeks 0–8: TAA 150 mg/kg 3 times/week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IP</w:t>
            </w:r>
          </w:p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Weeks 8–12: CVC 30 mg/kg/dose QD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PO</w:t>
            </w:r>
          </w:p>
        </w:tc>
        <w:tc>
          <w:tcPr>
            <w:tcW w:w="614" w:type="pct"/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Week 12</w:t>
            </w:r>
          </w:p>
        </w:tc>
        <w:tc>
          <w:tcPr>
            <w:tcW w:w="647" w:type="pct"/>
          </w:tcPr>
          <w:p w:rsidR="00605EAC" w:rsidRPr="004243F7" w:rsidRDefault="007A777A" w:rsidP="003F15DC">
            <w:pPr>
              <w:spacing w:before="40" w:after="4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8 (</w:t>
            </w:r>
            <w:r w:rsidR="00605EAC" w:rsidRPr="004243F7">
              <w:rPr>
                <w:rFonts w:ascii="Arial" w:hAnsi="Arial" w:cs="Arial"/>
                <w:sz w:val="20"/>
                <w:lang w:val="en-US"/>
              </w:rPr>
              <w:t>7</w:t>
            </w:r>
            <w:r w:rsidRPr="004243F7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  <w:tr w:rsidR="00605EAC" w:rsidRPr="004243F7" w:rsidTr="00BC683D">
        <w:trPr>
          <w:trHeight w:val="283"/>
        </w:trPr>
        <w:tc>
          <w:tcPr>
            <w:tcW w:w="1368" w:type="pct"/>
            <w:tcBorders>
              <w:bottom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lastRenderedPageBreak/>
              <w:t xml:space="preserve">CVC 100 mg/kg/day </w:t>
            </w:r>
          </w:p>
        </w:tc>
        <w:tc>
          <w:tcPr>
            <w:tcW w:w="2371" w:type="pct"/>
            <w:tcBorders>
              <w:bottom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Weeks 0–8: TAA 150 mg/kg 3 times/week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IP</w:t>
            </w:r>
          </w:p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Weeks 8–12: CVC 100 mg/kg/dose QD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PO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Week 12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8</w:t>
            </w:r>
            <w:r w:rsidR="007A777A" w:rsidRPr="004243F7">
              <w:rPr>
                <w:rFonts w:ascii="Arial" w:hAnsi="Arial" w:cs="Arial"/>
                <w:sz w:val="20"/>
                <w:lang w:val="en-US"/>
              </w:rPr>
              <w:t xml:space="preserve"> (8)</w:t>
            </w:r>
          </w:p>
        </w:tc>
      </w:tr>
      <w:tr w:rsidR="007A777A" w:rsidRPr="004243F7" w:rsidTr="00BC683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A777A" w:rsidRPr="00136B05" w:rsidRDefault="007A777A" w:rsidP="003F15DC">
            <w:pPr>
              <w:keepNext/>
              <w:spacing w:before="40" w:after="40" w:line="312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136B05">
              <w:rPr>
                <w:rFonts w:ascii="Arial" w:hAnsi="Arial" w:cs="Arial"/>
                <w:b/>
                <w:i/>
                <w:sz w:val="20"/>
                <w:lang w:val="en-US"/>
              </w:rPr>
              <w:t>In vivo</w:t>
            </w:r>
            <w:r w:rsidRPr="00136B05">
              <w:rPr>
                <w:rFonts w:ascii="Arial" w:hAnsi="Arial" w:cs="Arial"/>
                <w:b/>
                <w:sz w:val="20"/>
                <w:lang w:val="en-US"/>
              </w:rPr>
              <w:t xml:space="preserve"> efficacy study of CVC in STAM model of NASH</w:t>
            </w:r>
          </w:p>
        </w:tc>
      </w:tr>
      <w:tr w:rsidR="00605EAC" w:rsidRPr="004243F7" w:rsidTr="00BC683D">
        <w:trPr>
          <w:trHeight w:val="283"/>
        </w:trPr>
        <w:tc>
          <w:tcPr>
            <w:tcW w:w="1368" w:type="pct"/>
            <w:tcBorders>
              <w:top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Vehicle control</w:t>
            </w:r>
          </w:p>
        </w:tc>
        <w:tc>
          <w:tcPr>
            <w:tcW w:w="2371" w:type="pct"/>
            <w:tcBorders>
              <w:top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2: </w:t>
            </w:r>
            <w:r w:rsidR="00AA30C7" w:rsidRPr="004243F7">
              <w:rPr>
                <w:rFonts w:ascii="Arial" w:hAnsi="Arial" w:cs="Arial"/>
                <w:sz w:val="20"/>
                <w:lang w:val="en-US"/>
              </w:rPr>
              <w:t>s</w:t>
            </w:r>
            <w:r w:rsidRPr="004243F7">
              <w:rPr>
                <w:rFonts w:ascii="Arial" w:hAnsi="Arial" w:cs="Arial"/>
                <w:sz w:val="20"/>
                <w:lang w:val="en-US"/>
              </w:rPr>
              <w:t>treptozotocin 200 µg SC</w:t>
            </w:r>
          </w:p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Weeks 6</w:t>
            </w:r>
            <w:r w:rsidRPr="004243F7">
              <w:rPr>
                <w:rFonts w:ascii="Arial" w:hAnsi="Arial" w:cs="Arial"/>
                <w:sz w:val="20"/>
                <w:lang w:val="en-US"/>
              </w:rPr>
              <w:softHyphen/>
              <w:t>–9: vehicle control</w:t>
            </w:r>
            <w:r w:rsidRPr="004243F7">
              <w:rPr>
                <w:rFonts w:ascii="Arial" w:hAnsi="Arial" w:cs="Arial"/>
                <w:sz w:val="20"/>
                <w:vertAlign w:val="superscript"/>
                <w:lang w:val="en-US"/>
              </w:rPr>
              <w:t xml:space="preserve">b </w:t>
            </w:r>
            <w:r w:rsidRPr="004243F7">
              <w:rPr>
                <w:rFonts w:ascii="Arial" w:hAnsi="Arial" w:cs="Arial"/>
                <w:sz w:val="20"/>
                <w:lang w:val="en-US"/>
              </w:rPr>
              <w:t xml:space="preserve">BID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PO</w:t>
            </w:r>
            <w:r w:rsidRPr="004243F7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Week 9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:rsidR="00605EAC" w:rsidRPr="004243F7" w:rsidRDefault="00DE3992" w:rsidP="003F15DC">
            <w:pPr>
              <w:spacing w:before="40" w:after="4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9</w:t>
            </w:r>
            <w:r w:rsidR="007A777A" w:rsidRPr="004243F7">
              <w:rPr>
                <w:rFonts w:ascii="Arial" w:hAnsi="Arial" w:cs="Arial"/>
                <w:sz w:val="20"/>
                <w:lang w:val="en-US"/>
              </w:rPr>
              <w:t xml:space="preserve"> (</w:t>
            </w:r>
            <w:r w:rsidR="003205AA" w:rsidRPr="004243F7">
              <w:rPr>
                <w:rFonts w:ascii="Arial" w:hAnsi="Arial" w:cs="Arial"/>
                <w:sz w:val="20"/>
                <w:lang w:val="en-US"/>
              </w:rPr>
              <w:t>6</w:t>
            </w:r>
            <w:r w:rsidR="007A777A" w:rsidRPr="004243F7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  <w:tr w:rsidR="00605EAC" w:rsidRPr="004243F7" w:rsidTr="00BC683D">
        <w:trPr>
          <w:trHeight w:val="283"/>
        </w:trPr>
        <w:tc>
          <w:tcPr>
            <w:tcW w:w="1368" w:type="pct"/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CVC 20 mg/kg/day </w:t>
            </w:r>
          </w:p>
        </w:tc>
        <w:tc>
          <w:tcPr>
            <w:tcW w:w="2371" w:type="pct"/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2: </w:t>
            </w:r>
            <w:r w:rsidR="00AA30C7" w:rsidRPr="004243F7">
              <w:rPr>
                <w:rFonts w:ascii="Arial" w:hAnsi="Arial" w:cs="Arial"/>
                <w:sz w:val="20"/>
                <w:lang w:val="en-US"/>
              </w:rPr>
              <w:t>s</w:t>
            </w:r>
            <w:r w:rsidRPr="004243F7">
              <w:rPr>
                <w:rFonts w:ascii="Arial" w:hAnsi="Arial" w:cs="Arial"/>
                <w:sz w:val="20"/>
                <w:lang w:val="en-US"/>
              </w:rPr>
              <w:t>treptozotocin 200 µg SC</w:t>
            </w:r>
          </w:p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Weeks 6</w:t>
            </w:r>
            <w:r w:rsidRPr="004243F7">
              <w:rPr>
                <w:rFonts w:ascii="Arial" w:hAnsi="Arial" w:cs="Arial"/>
                <w:sz w:val="20"/>
                <w:lang w:val="en-US"/>
              </w:rPr>
              <w:softHyphen/>
              <w:t xml:space="preserve">–9: CVC 10 mg/kg/dose BID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PO</w:t>
            </w:r>
          </w:p>
        </w:tc>
        <w:tc>
          <w:tcPr>
            <w:tcW w:w="614" w:type="pct"/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Week 9 </w:t>
            </w:r>
          </w:p>
        </w:tc>
        <w:tc>
          <w:tcPr>
            <w:tcW w:w="647" w:type="pct"/>
          </w:tcPr>
          <w:p w:rsidR="00605EAC" w:rsidRPr="004243F7" w:rsidRDefault="00DE3992" w:rsidP="003F15DC">
            <w:pPr>
              <w:spacing w:before="40" w:after="4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9</w:t>
            </w:r>
            <w:r w:rsidR="007A777A" w:rsidRPr="004243F7">
              <w:rPr>
                <w:rFonts w:ascii="Arial" w:hAnsi="Arial" w:cs="Arial"/>
                <w:sz w:val="20"/>
                <w:lang w:val="en-US"/>
              </w:rPr>
              <w:t xml:space="preserve"> (</w:t>
            </w:r>
            <w:r w:rsidR="003205AA" w:rsidRPr="004243F7">
              <w:rPr>
                <w:rFonts w:ascii="Arial" w:hAnsi="Arial" w:cs="Arial"/>
                <w:sz w:val="20"/>
                <w:lang w:val="en-US"/>
              </w:rPr>
              <w:t>6</w:t>
            </w:r>
            <w:r w:rsidR="007A777A" w:rsidRPr="004243F7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  <w:tr w:rsidR="00605EAC" w:rsidRPr="004243F7" w:rsidTr="00BC683D">
        <w:trPr>
          <w:trHeight w:val="283"/>
        </w:trPr>
        <w:tc>
          <w:tcPr>
            <w:tcW w:w="1368" w:type="pct"/>
            <w:tcBorders>
              <w:bottom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CVC 100 mg/kg/day</w:t>
            </w:r>
          </w:p>
        </w:tc>
        <w:tc>
          <w:tcPr>
            <w:tcW w:w="2371" w:type="pct"/>
            <w:tcBorders>
              <w:bottom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2: </w:t>
            </w:r>
            <w:r w:rsidR="00AA30C7" w:rsidRPr="004243F7">
              <w:rPr>
                <w:rFonts w:ascii="Arial" w:hAnsi="Arial" w:cs="Arial"/>
                <w:sz w:val="20"/>
                <w:lang w:val="en-US"/>
              </w:rPr>
              <w:t>s</w:t>
            </w:r>
            <w:r w:rsidRPr="004243F7">
              <w:rPr>
                <w:rFonts w:ascii="Arial" w:hAnsi="Arial" w:cs="Arial"/>
                <w:sz w:val="20"/>
                <w:lang w:val="en-US"/>
              </w:rPr>
              <w:t>treptozotocin 200 µg SC</w:t>
            </w:r>
          </w:p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Weeks 6</w:t>
            </w:r>
            <w:r w:rsidRPr="004243F7">
              <w:rPr>
                <w:rFonts w:ascii="Arial" w:hAnsi="Arial" w:cs="Arial"/>
                <w:sz w:val="20"/>
                <w:lang w:val="en-US"/>
              </w:rPr>
              <w:softHyphen/>
              <w:t xml:space="preserve">–9: CVC 50 mg/kg/dose BID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PO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605EAC" w:rsidRPr="004243F7" w:rsidRDefault="00605EAC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Week 9 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605EAC" w:rsidRPr="004243F7" w:rsidRDefault="00DE3992" w:rsidP="003F15DC">
            <w:pPr>
              <w:spacing w:before="40" w:after="4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9</w:t>
            </w:r>
            <w:r w:rsidR="007A777A" w:rsidRPr="004243F7">
              <w:rPr>
                <w:rFonts w:ascii="Arial" w:hAnsi="Arial" w:cs="Arial"/>
                <w:sz w:val="20"/>
                <w:lang w:val="en-US"/>
              </w:rPr>
              <w:t xml:space="preserve"> (</w:t>
            </w:r>
            <w:r w:rsidR="003205AA" w:rsidRPr="004243F7">
              <w:rPr>
                <w:rFonts w:ascii="Arial" w:hAnsi="Arial" w:cs="Arial"/>
                <w:sz w:val="20"/>
                <w:lang w:val="en-US"/>
              </w:rPr>
              <w:t>6</w:t>
            </w:r>
            <w:r w:rsidR="007A777A" w:rsidRPr="004243F7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  <w:tr w:rsidR="007A777A" w:rsidRPr="004243F7" w:rsidTr="00BC683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4243F7">
              <w:rPr>
                <w:rFonts w:ascii="Arial" w:hAnsi="Arial" w:cs="Arial"/>
                <w:b/>
                <w:sz w:val="20"/>
                <w:lang w:val="en-US"/>
              </w:rPr>
              <w:t>Dose-dependent effects of CVC on renal biomarkers and fibrosis in UUO mice</w:t>
            </w:r>
          </w:p>
        </w:tc>
      </w:tr>
      <w:tr w:rsidR="007A777A" w:rsidRPr="004243F7" w:rsidTr="00BC683D">
        <w:trPr>
          <w:trHeight w:val="283"/>
        </w:trPr>
        <w:tc>
          <w:tcPr>
            <w:tcW w:w="1368" w:type="pct"/>
            <w:tcBorders>
              <w:top w:val="single" w:sz="4" w:space="0" w:color="auto"/>
            </w:tcBorders>
          </w:tcPr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Vehicle control</w:t>
            </w:r>
            <w:r w:rsidRPr="004243F7">
              <w:rPr>
                <w:rFonts w:ascii="Arial" w:hAnsi="Arial" w:cs="Arial"/>
                <w:sz w:val="20"/>
                <w:lang w:val="en-US"/>
              </w:rPr>
              <w:br/>
              <w:t>(Sham surgery)</w:t>
            </w:r>
          </w:p>
        </w:tc>
        <w:tc>
          <w:tcPr>
            <w:tcW w:w="2371" w:type="pct"/>
            <w:tcBorders>
              <w:top w:val="single" w:sz="4" w:space="0" w:color="auto"/>
            </w:tcBorders>
          </w:tcPr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0: </w:t>
            </w:r>
            <w:r w:rsidR="00AA30C7" w:rsidRPr="004243F7">
              <w:rPr>
                <w:rFonts w:ascii="Arial" w:hAnsi="Arial" w:cs="Arial"/>
                <w:sz w:val="20"/>
                <w:lang w:val="en-US"/>
              </w:rPr>
              <w:t>s</w:t>
            </w:r>
            <w:r w:rsidRPr="004243F7">
              <w:rPr>
                <w:rFonts w:ascii="Arial" w:hAnsi="Arial" w:cs="Arial"/>
                <w:sz w:val="20"/>
                <w:lang w:val="en-US"/>
              </w:rPr>
              <w:t>ham surgery</w:t>
            </w:r>
          </w:p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Days 0–5: vehicle control</w:t>
            </w:r>
            <w:r w:rsidRPr="004243F7">
              <w:rPr>
                <w:rFonts w:ascii="Arial" w:hAnsi="Arial" w:cs="Arial"/>
                <w:sz w:val="20"/>
                <w:vertAlign w:val="superscript"/>
                <w:lang w:val="en-US"/>
              </w:rPr>
              <w:t xml:space="preserve">b </w:t>
            </w:r>
            <w:r w:rsidRPr="004243F7">
              <w:rPr>
                <w:rFonts w:ascii="Arial" w:hAnsi="Arial" w:cs="Arial"/>
                <w:sz w:val="20"/>
                <w:lang w:val="en-US"/>
              </w:rPr>
              <w:t xml:space="preserve">10 mL/kg BID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PO</w:t>
            </w:r>
            <w:r w:rsidRPr="004243F7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-1–4: PBS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IP</w:t>
            </w: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Day 5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:rsidR="007A777A" w:rsidRPr="004243F7" w:rsidRDefault="007A777A" w:rsidP="003F15DC">
            <w:pPr>
              <w:spacing w:before="40" w:after="4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6 (6)</w:t>
            </w:r>
          </w:p>
        </w:tc>
      </w:tr>
      <w:tr w:rsidR="007A777A" w:rsidRPr="004243F7" w:rsidTr="00BC683D">
        <w:trPr>
          <w:trHeight w:val="283"/>
        </w:trPr>
        <w:tc>
          <w:tcPr>
            <w:tcW w:w="1368" w:type="pct"/>
          </w:tcPr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Vehicle control </w:t>
            </w:r>
            <w:r w:rsidRPr="004243F7">
              <w:rPr>
                <w:rFonts w:ascii="Arial" w:hAnsi="Arial" w:cs="Arial"/>
                <w:sz w:val="20"/>
                <w:lang w:val="en-US"/>
              </w:rPr>
              <w:br/>
              <w:t>(Permanent UUO)</w:t>
            </w:r>
          </w:p>
        </w:tc>
        <w:tc>
          <w:tcPr>
            <w:tcW w:w="2371" w:type="pct"/>
          </w:tcPr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0: </w:t>
            </w:r>
            <w:r w:rsidR="00AA30C7" w:rsidRPr="004243F7">
              <w:rPr>
                <w:rFonts w:ascii="Arial" w:hAnsi="Arial" w:cs="Arial"/>
                <w:sz w:val="20"/>
                <w:lang w:val="en-US"/>
              </w:rPr>
              <w:t>p</w:t>
            </w:r>
            <w:r w:rsidRPr="004243F7">
              <w:rPr>
                <w:rFonts w:ascii="Arial" w:hAnsi="Arial" w:cs="Arial"/>
                <w:sz w:val="20"/>
                <w:lang w:val="en-US"/>
              </w:rPr>
              <w:t>ermanent UUO</w:t>
            </w:r>
          </w:p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Days 0–5: vehicle control</w:t>
            </w:r>
            <w:r w:rsidRPr="004243F7">
              <w:rPr>
                <w:rFonts w:ascii="Arial" w:hAnsi="Arial" w:cs="Arial"/>
                <w:sz w:val="20"/>
                <w:vertAlign w:val="superscript"/>
                <w:lang w:val="en-US"/>
              </w:rPr>
              <w:t xml:space="preserve">b </w:t>
            </w:r>
            <w:r w:rsidRPr="004243F7">
              <w:rPr>
                <w:rFonts w:ascii="Arial" w:hAnsi="Arial" w:cs="Arial"/>
                <w:sz w:val="20"/>
                <w:lang w:val="en-US"/>
              </w:rPr>
              <w:t xml:space="preserve">10 mL/kg BID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PO</w:t>
            </w:r>
            <w:r w:rsidRPr="004243F7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-1–4: PBS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IP</w:t>
            </w:r>
          </w:p>
        </w:tc>
        <w:tc>
          <w:tcPr>
            <w:tcW w:w="614" w:type="pct"/>
          </w:tcPr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Day 5</w:t>
            </w:r>
          </w:p>
        </w:tc>
        <w:tc>
          <w:tcPr>
            <w:tcW w:w="647" w:type="pct"/>
          </w:tcPr>
          <w:p w:rsidR="007A777A" w:rsidRPr="004243F7" w:rsidRDefault="007A777A" w:rsidP="003F15DC">
            <w:pPr>
              <w:spacing w:before="40" w:after="4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9 (9)</w:t>
            </w:r>
          </w:p>
        </w:tc>
      </w:tr>
      <w:tr w:rsidR="007A777A" w:rsidRPr="004243F7" w:rsidTr="00BC683D">
        <w:trPr>
          <w:trHeight w:val="283"/>
        </w:trPr>
        <w:tc>
          <w:tcPr>
            <w:tcW w:w="1368" w:type="pct"/>
          </w:tcPr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CVC 7 mg/kg/day </w:t>
            </w:r>
          </w:p>
        </w:tc>
        <w:tc>
          <w:tcPr>
            <w:tcW w:w="2371" w:type="pct"/>
          </w:tcPr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0: </w:t>
            </w:r>
            <w:r w:rsidR="00AA30C7" w:rsidRPr="004243F7">
              <w:rPr>
                <w:rFonts w:ascii="Arial" w:hAnsi="Arial" w:cs="Arial"/>
                <w:sz w:val="20"/>
                <w:lang w:val="en-US"/>
              </w:rPr>
              <w:t>p</w:t>
            </w:r>
            <w:r w:rsidRPr="004243F7">
              <w:rPr>
                <w:rFonts w:ascii="Arial" w:hAnsi="Arial" w:cs="Arial"/>
                <w:sz w:val="20"/>
                <w:lang w:val="en-US"/>
              </w:rPr>
              <w:t>ermanent UUO</w:t>
            </w:r>
          </w:p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Days 0–5: CVC 3.5 mg/kg/dose BID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PO</w:t>
            </w:r>
          </w:p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-1–4: PBS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IP</w:t>
            </w:r>
          </w:p>
        </w:tc>
        <w:tc>
          <w:tcPr>
            <w:tcW w:w="614" w:type="pct"/>
          </w:tcPr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Day 5</w:t>
            </w:r>
          </w:p>
        </w:tc>
        <w:tc>
          <w:tcPr>
            <w:tcW w:w="647" w:type="pct"/>
          </w:tcPr>
          <w:p w:rsidR="007A777A" w:rsidRPr="004243F7" w:rsidRDefault="007A777A" w:rsidP="003F15DC">
            <w:pPr>
              <w:spacing w:before="40" w:after="4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9 (</w:t>
            </w:r>
            <w:r w:rsidR="005F7054" w:rsidRPr="004243F7">
              <w:rPr>
                <w:rFonts w:ascii="Arial" w:hAnsi="Arial" w:cs="Arial"/>
                <w:sz w:val="20"/>
                <w:lang w:val="en-US"/>
              </w:rPr>
              <w:t>8</w:t>
            </w:r>
            <w:r w:rsidRPr="004243F7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  <w:tr w:rsidR="007A777A" w:rsidRPr="004243F7" w:rsidTr="00BC683D">
        <w:trPr>
          <w:trHeight w:val="283"/>
        </w:trPr>
        <w:tc>
          <w:tcPr>
            <w:tcW w:w="1368" w:type="pct"/>
          </w:tcPr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CVC 20 mg/kg/day </w:t>
            </w:r>
          </w:p>
        </w:tc>
        <w:tc>
          <w:tcPr>
            <w:tcW w:w="2371" w:type="pct"/>
          </w:tcPr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0: </w:t>
            </w:r>
            <w:r w:rsidR="00AA30C7" w:rsidRPr="004243F7">
              <w:rPr>
                <w:rFonts w:ascii="Arial" w:hAnsi="Arial" w:cs="Arial"/>
                <w:sz w:val="20"/>
                <w:lang w:val="en-US"/>
              </w:rPr>
              <w:t>p</w:t>
            </w:r>
            <w:r w:rsidRPr="004243F7">
              <w:rPr>
                <w:rFonts w:ascii="Arial" w:hAnsi="Arial" w:cs="Arial"/>
                <w:sz w:val="20"/>
                <w:lang w:val="en-US"/>
              </w:rPr>
              <w:t>ermanent UUO</w:t>
            </w:r>
          </w:p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Days 0–5: CVC 10 mg/kg/dose BID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PO</w:t>
            </w:r>
            <w:r w:rsidRPr="004243F7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-1–4: PBS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IP</w:t>
            </w:r>
          </w:p>
        </w:tc>
        <w:tc>
          <w:tcPr>
            <w:tcW w:w="614" w:type="pct"/>
          </w:tcPr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Day 5</w:t>
            </w:r>
          </w:p>
        </w:tc>
        <w:tc>
          <w:tcPr>
            <w:tcW w:w="647" w:type="pct"/>
          </w:tcPr>
          <w:p w:rsidR="007A777A" w:rsidRPr="004243F7" w:rsidRDefault="007A777A" w:rsidP="003F15DC">
            <w:pPr>
              <w:spacing w:before="40" w:after="4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9 (</w:t>
            </w:r>
            <w:r w:rsidR="005F7054" w:rsidRPr="004243F7">
              <w:rPr>
                <w:rFonts w:ascii="Arial" w:hAnsi="Arial" w:cs="Arial"/>
                <w:sz w:val="20"/>
                <w:lang w:val="en-US"/>
              </w:rPr>
              <w:t>8</w:t>
            </w:r>
            <w:r w:rsidRPr="004243F7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  <w:tr w:rsidR="007A777A" w:rsidRPr="004243F7" w:rsidTr="00BC683D">
        <w:trPr>
          <w:trHeight w:val="283"/>
        </w:trPr>
        <w:tc>
          <w:tcPr>
            <w:tcW w:w="1368" w:type="pct"/>
          </w:tcPr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CVC 100 mg/kg/day</w:t>
            </w:r>
          </w:p>
        </w:tc>
        <w:tc>
          <w:tcPr>
            <w:tcW w:w="2371" w:type="pct"/>
          </w:tcPr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0: </w:t>
            </w:r>
            <w:r w:rsidR="00AA30C7" w:rsidRPr="004243F7">
              <w:rPr>
                <w:rFonts w:ascii="Arial" w:hAnsi="Arial" w:cs="Arial"/>
                <w:sz w:val="20"/>
                <w:lang w:val="en-US"/>
              </w:rPr>
              <w:t>p</w:t>
            </w:r>
            <w:r w:rsidRPr="004243F7">
              <w:rPr>
                <w:rFonts w:ascii="Arial" w:hAnsi="Arial" w:cs="Arial"/>
                <w:sz w:val="20"/>
                <w:lang w:val="en-US"/>
              </w:rPr>
              <w:t>ermanent UUO</w:t>
            </w:r>
          </w:p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Days 0–5: CVC 50 mg/kg/dose BID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PO</w:t>
            </w:r>
            <w:r w:rsidRPr="004243F7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-1–4: PBS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IP</w:t>
            </w:r>
          </w:p>
        </w:tc>
        <w:tc>
          <w:tcPr>
            <w:tcW w:w="614" w:type="pct"/>
          </w:tcPr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Day 5</w:t>
            </w:r>
          </w:p>
        </w:tc>
        <w:tc>
          <w:tcPr>
            <w:tcW w:w="647" w:type="pct"/>
          </w:tcPr>
          <w:p w:rsidR="007A777A" w:rsidRPr="004243F7" w:rsidRDefault="007A777A" w:rsidP="003F15DC">
            <w:pPr>
              <w:spacing w:before="40" w:after="4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9 (</w:t>
            </w:r>
            <w:r w:rsidR="005F7054" w:rsidRPr="004243F7">
              <w:rPr>
                <w:rFonts w:ascii="Arial" w:hAnsi="Arial" w:cs="Arial"/>
                <w:sz w:val="20"/>
                <w:lang w:val="en-US"/>
              </w:rPr>
              <w:t>0</w:t>
            </w:r>
            <w:r w:rsidRPr="004243F7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  <w:tr w:rsidR="007A777A" w:rsidRPr="004243F7" w:rsidTr="00BC683D">
        <w:trPr>
          <w:trHeight w:val="283"/>
        </w:trPr>
        <w:tc>
          <w:tcPr>
            <w:tcW w:w="1368" w:type="pct"/>
          </w:tcPr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1D11 3 mg/kg/day </w:t>
            </w:r>
          </w:p>
        </w:tc>
        <w:tc>
          <w:tcPr>
            <w:tcW w:w="2371" w:type="pct"/>
          </w:tcPr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0: </w:t>
            </w:r>
            <w:r w:rsidR="00AA30C7" w:rsidRPr="004243F7">
              <w:rPr>
                <w:rFonts w:ascii="Arial" w:hAnsi="Arial" w:cs="Arial"/>
                <w:sz w:val="20"/>
                <w:lang w:val="en-US"/>
              </w:rPr>
              <w:t>p</w:t>
            </w:r>
            <w:r w:rsidRPr="004243F7">
              <w:rPr>
                <w:rFonts w:ascii="Arial" w:hAnsi="Arial" w:cs="Arial"/>
                <w:sz w:val="20"/>
                <w:lang w:val="en-US"/>
              </w:rPr>
              <w:t>ermanent UUO</w:t>
            </w:r>
          </w:p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Days 0–5: vehicle control</w:t>
            </w:r>
            <w:r w:rsidRPr="004243F7">
              <w:rPr>
                <w:rFonts w:ascii="Arial" w:hAnsi="Arial" w:cs="Arial"/>
                <w:sz w:val="20"/>
                <w:vertAlign w:val="superscript"/>
                <w:lang w:val="en-US"/>
              </w:rPr>
              <w:t xml:space="preserve">b </w:t>
            </w:r>
            <w:r w:rsidRPr="004243F7">
              <w:rPr>
                <w:rFonts w:ascii="Arial" w:hAnsi="Arial" w:cs="Arial"/>
                <w:sz w:val="20"/>
                <w:lang w:val="en-US"/>
              </w:rPr>
              <w:t xml:space="preserve">10 mL/kg BID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PO</w:t>
            </w:r>
            <w:r w:rsidRPr="004243F7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Day -1–4: 1D11 3 mg/kg </w:t>
            </w:r>
            <w:r w:rsidR="00B12B6B" w:rsidRPr="004243F7">
              <w:rPr>
                <w:rFonts w:ascii="Arial" w:hAnsi="Arial" w:cs="Arial"/>
                <w:sz w:val="20"/>
                <w:lang w:val="en-US"/>
              </w:rPr>
              <w:t>IP</w:t>
            </w:r>
            <w:r w:rsidRPr="004243F7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614" w:type="pct"/>
          </w:tcPr>
          <w:p w:rsidR="007A777A" w:rsidRPr="004243F7" w:rsidRDefault="007A777A" w:rsidP="003F15DC">
            <w:pPr>
              <w:spacing w:before="40" w:after="4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Day 5</w:t>
            </w:r>
          </w:p>
        </w:tc>
        <w:tc>
          <w:tcPr>
            <w:tcW w:w="647" w:type="pct"/>
          </w:tcPr>
          <w:p w:rsidR="007A777A" w:rsidRPr="004243F7" w:rsidRDefault="007A777A" w:rsidP="003F15DC">
            <w:pPr>
              <w:spacing w:before="40" w:after="4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9 (9)</w:t>
            </w:r>
          </w:p>
        </w:tc>
      </w:tr>
    </w:tbl>
    <w:p w:rsidR="00250EA8" w:rsidRPr="004243F7" w:rsidRDefault="00EC5A6C" w:rsidP="003C5D69">
      <w:pPr>
        <w:pStyle w:val="Tablefootnote"/>
        <w:spacing w:line="480" w:lineRule="auto"/>
        <w:rPr>
          <w:rFonts w:ascii="Arial" w:hAnsi="Arial" w:cs="Arial"/>
          <w:lang w:val="en-US"/>
        </w:rPr>
      </w:pPr>
      <w:proofErr w:type="gramStart"/>
      <w:r w:rsidRPr="004243F7">
        <w:rPr>
          <w:rFonts w:ascii="Arial" w:hAnsi="Arial" w:cs="Arial"/>
          <w:vertAlign w:val="superscript"/>
          <w:lang w:val="en-US"/>
        </w:rPr>
        <w:t>a</w:t>
      </w:r>
      <w:r w:rsidR="00605EAC" w:rsidRPr="004243F7">
        <w:rPr>
          <w:rFonts w:ascii="Arial" w:hAnsi="Arial" w:cs="Arial"/>
          <w:lang w:val="en-US"/>
        </w:rPr>
        <w:t>The</w:t>
      </w:r>
      <w:proofErr w:type="gramEnd"/>
      <w:r w:rsidR="00605EAC" w:rsidRPr="004243F7">
        <w:rPr>
          <w:rFonts w:ascii="Arial" w:hAnsi="Arial" w:cs="Arial"/>
          <w:lang w:val="en-US"/>
        </w:rPr>
        <w:t xml:space="preserve"> number of animals at the start of the study is indicated, with the number of animals at the end of the study on which analyses were conducted indicated in bracket</w:t>
      </w:r>
      <w:r w:rsidR="00D221BC" w:rsidRPr="004243F7">
        <w:rPr>
          <w:rFonts w:ascii="Arial" w:hAnsi="Arial" w:cs="Arial"/>
          <w:lang w:val="en-US"/>
        </w:rPr>
        <w:t>s</w:t>
      </w:r>
      <w:r w:rsidR="00605EAC" w:rsidRPr="004243F7">
        <w:rPr>
          <w:rFonts w:ascii="Arial" w:hAnsi="Arial" w:cs="Arial"/>
          <w:lang w:val="en-US"/>
        </w:rPr>
        <w:t xml:space="preserve">; </w:t>
      </w:r>
      <w:r w:rsidR="00605EAC" w:rsidRPr="004243F7">
        <w:rPr>
          <w:rFonts w:ascii="Arial" w:hAnsi="Arial" w:cs="Arial"/>
          <w:vertAlign w:val="superscript"/>
          <w:lang w:val="en-US"/>
        </w:rPr>
        <w:t>b</w:t>
      </w:r>
      <w:r w:rsidR="00250EA8" w:rsidRPr="004243F7">
        <w:rPr>
          <w:rFonts w:ascii="Arial" w:hAnsi="Arial" w:cs="Arial"/>
          <w:lang w:val="en-US"/>
        </w:rPr>
        <w:t>Vehicle control</w:t>
      </w:r>
      <w:r w:rsidRPr="004243F7">
        <w:rPr>
          <w:rFonts w:ascii="Arial" w:hAnsi="Arial" w:cs="Arial"/>
          <w:lang w:val="en-US"/>
        </w:rPr>
        <w:t xml:space="preserve">: </w:t>
      </w:r>
      <w:r w:rsidR="00250EA8" w:rsidRPr="004243F7">
        <w:rPr>
          <w:rFonts w:ascii="Arial" w:hAnsi="Arial" w:cs="Arial"/>
        </w:rPr>
        <w:t>0.5% [w/v] methylcellulose + 1% Tween</w:t>
      </w:r>
      <w:r w:rsidR="00250EA8" w:rsidRPr="004243F7">
        <w:rPr>
          <w:rFonts w:ascii="Arial" w:hAnsi="Arial" w:cs="Arial"/>
          <w:vertAlign w:val="superscript"/>
        </w:rPr>
        <w:t>®</w:t>
      </w:r>
      <w:r w:rsidRPr="004243F7">
        <w:rPr>
          <w:rFonts w:ascii="Arial" w:hAnsi="Arial" w:cs="Arial"/>
        </w:rPr>
        <w:t>-80</w:t>
      </w:r>
      <w:r w:rsidR="00AA30C7" w:rsidRPr="004243F7">
        <w:rPr>
          <w:rFonts w:ascii="Arial" w:hAnsi="Arial" w:cs="Arial"/>
        </w:rPr>
        <w:t xml:space="preserve">. </w:t>
      </w:r>
      <w:r w:rsidR="00AA30C7" w:rsidRPr="004243F7">
        <w:rPr>
          <w:rFonts w:ascii="Arial" w:hAnsi="Arial" w:cs="Arial"/>
          <w:lang w:val="en-US"/>
        </w:rPr>
        <w:t>BID, twice daily; CVC, cenicriviroc; DEX, dexamethasone; IP,</w:t>
      </w:r>
      <w:r w:rsidR="003B340E">
        <w:rPr>
          <w:rFonts w:ascii="Arial" w:hAnsi="Arial" w:cs="Arial"/>
          <w:lang w:val="en-US"/>
        </w:rPr>
        <w:t> </w:t>
      </w:r>
      <w:r w:rsidR="00AA30C7" w:rsidRPr="004243F7">
        <w:rPr>
          <w:rFonts w:ascii="Arial" w:hAnsi="Arial" w:cs="Arial"/>
          <w:lang w:val="en-US"/>
        </w:rPr>
        <w:t>intraperitoneal; NASH,</w:t>
      </w:r>
      <w:r w:rsidR="00AA30C7" w:rsidRPr="004243F7">
        <w:rPr>
          <w:rFonts w:ascii="Arial" w:hAnsi="Arial" w:cs="Arial"/>
        </w:rPr>
        <w:t xml:space="preserve"> </w:t>
      </w:r>
      <w:r w:rsidR="00AA30C7" w:rsidRPr="004243F7">
        <w:rPr>
          <w:rFonts w:ascii="Arial" w:hAnsi="Arial" w:cs="Arial"/>
          <w:lang w:val="en-US"/>
        </w:rPr>
        <w:t>non-alcoholic steatohepatitis; PBS, phosphate buffer saline; PO,</w:t>
      </w:r>
      <w:r w:rsidR="003B340E">
        <w:rPr>
          <w:rFonts w:ascii="Arial" w:hAnsi="Arial" w:cs="Arial"/>
          <w:lang w:val="en-US"/>
        </w:rPr>
        <w:t> </w:t>
      </w:r>
      <w:r w:rsidR="00AA30C7" w:rsidRPr="004243F7">
        <w:rPr>
          <w:rFonts w:ascii="Arial" w:hAnsi="Arial" w:cs="Arial"/>
          <w:lang w:val="en-US"/>
        </w:rPr>
        <w:t>oral</w:t>
      </w:r>
      <w:r w:rsidR="003B340E">
        <w:rPr>
          <w:rFonts w:ascii="Arial" w:hAnsi="Arial" w:cs="Arial"/>
          <w:lang w:val="en-US"/>
        </w:rPr>
        <w:t> </w:t>
      </w:r>
      <w:r w:rsidR="00AA30C7" w:rsidRPr="004243F7">
        <w:rPr>
          <w:rFonts w:ascii="Arial" w:hAnsi="Arial" w:cs="Arial"/>
          <w:lang w:val="en-US"/>
        </w:rPr>
        <w:t>gavage;</w:t>
      </w:r>
      <w:r w:rsidR="00475964" w:rsidRPr="004243F7">
        <w:rPr>
          <w:rFonts w:ascii="Arial" w:hAnsi="Arial" w:cs="Arial"/>
          <w:lang w:val="en-US"/>
        </w:rPr>
        <w:t xml:space="preserve"> </w:t>
      </w:r>
      <w:r w:rsidR="003F5CD8" w:rsidRPr="004243F7">
        <w:rPr>
          <w:rFonts w:ascii="Arial" w:hAnsi="Arial" w:cs="Arial"/>
          <w:lang w:val="en-US"/>
        </w:rPr>
        <w:t>QD, once daily;</w:t>
      </w:r>
      <w:r w:rsidR="00AA30C7" w:rsidRPr="004243F7">
        <w:rPr>
          <w:rFonts w:ascii="Arial" w:hAnsi="Arial" w:cs="Arial"/>
          <w:lang w:val="en-US"/>
        </w:rPr>
        <w:t xml:space="preserve"> SC, subcutaneous; STAM, stelic animal model; TAA, thioacetamide; TG, thioglycollate; UUO, unilateral ureter</w:t>
      </w:r>
      <w:r w:rsidR="000C3BF8" w:rsidRPr="004243F7">
        <w:rPr>
          <w:rFonts w:ascii="Arial" w:hAnsi="Arial" w:cs="Arial"/>
          <w:lang w:val="en-US"/>
        </w:rPr>
        <w:t xml:space="preserve"> obstruction</w:t>
      </w:r>
      <w:r w:rsidR="00AA30C7" w:rsidRPr="004243F7">
        <w:rPr>
          <w:rFonts w:ascii="Arial" w:hAnsi="Arial" w:cs="Arial"/>
          <w:lang w:val="en-US"/>
        </w:rPr>
        <w:t>.</w:t>
      </w:r>
    </w:p>
    <w:sectPr w:rsidR="00250EA8" w:rsidRPr="004243F7" w:rsidSect="00B12D35">
      <w:footerReference w:type="default" r:id="rId8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F9" w:rsidRDefault="00125AF9" w:rsidP="00B12D35">
      <w:pPr>
        <w:spacing w:before="0" w:after="0" w:line="240" w:lineRule="auto"/>
      </w:pPr>
      <w:r>
        <w:separator/>
      </w:r>
    </w:p>
  </w:endnote>
  <w:endnote w:type="continuationSeparator" w:id="0">
    <w:p w:rsidR="00125AF9" w:rsidRDefault="00125AF9" w:rsidP="00B12D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F9" w:rsidRDefault="00125AF9" w:rsidP="00B12D35">
    <w:pPr>
      <w:pStyle w:val="Footer"/>
      <w:tabs>
        <w:tab w:val="clear" w:pos="8306"/>
        <w:tab w:val="right" w:pos="9214"/>
      </w:tabs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F9" w:rsidRDefault="00125AF9" w:rsidP="00B12D35">
      <w:pPr>
        <w:spacing w:before="0" w:after="0" w:line="240" w:lineRule="auto"/>
      </w:pPr>
      <w:r>
        <w:separator/>
      </w:r>
    </w:p>
  </w:footnote>
  <w:footnote w:type="continuationSeparator" w:id="0">
    <w:p w:rsidR="00125AF9" w:rsidRDefault="00125AF9" w:rsidP="00B12D3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179"/>
    <w:multiLevelType w:val="hybridMultilevel"/>
    <w:tmpl w:val="1DA6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405"/>
    <w:multiLevelType w:val="hybridMultilevel"/>
    <w:tmpl w:val="7654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42A0A"/>
    <w:multiLevelType w:val="hybridMultilevel"/>
    <w:tmpl w:val="1B468B66"/>
    <w:lvl w:ilvl="0" w:tplc="0EC02CAC">
      <w:start w:val="1"/>
      <w:numFmt w:val="none"/>
      <w:pStyle w:val="Bullet2"/>
      <w:lvlText w:val="–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35"/>
        </w:tabs>
        <w:ind w:left="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55"/>
        </w:tabs>
        <w:ind w:left="1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75"/>
        </w:tabs>
        <w:ind w:left="1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</w:abstractNum>
  <w:abstractNum w:abstractNumId="3">
    <w:nsid w:val="1F3B6348"/>
    <w:multiLevelType w:val="hybridMultilevel"/>
    <w:tmpl w:val="4B16E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A664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8F033D"/>
    <w:multiLevelType w:val="hybridMultilevel"/>
    <w:tmpl w:val="D81EA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ACFD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F4121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6FC5E4E"/>
    <w:multiLevelType w:val="multilevel"/>
    <w:tmpl w:val="429CA6E2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150EFA"/>
    <w:multiLevelType w:val="hybridMultilevel"/>
    <w:tmpl w:val="A4BE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5DC"/>
    <w:multiLevelType w:val="hybridMultilevel"/>
    <w:tmpl w:val="084CAA5C"/>
    <w:lvl w:ilvl="0" w:tplc="F3F8F0B2">
      <w:start w:val="1"/>
      <w:numFmt w:val="none"/>
      <w:pStyle w:val="Tablebullet2"/>
      <w:lvlText w:val="–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238FE"/>
    <w:multiLevelType w:val="hybridMultilevel"/>
    <w:tmpl w:val="390AC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834A7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717EB6"/>
    <w:multiLevelType w:val="hybridMultilevel"/>
    <w:tmpl w:val="D5C22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916EE"/>
    <w:multiLevelType w:val="hybridMultilevel"/>
    <w:tmpl w:val="B918546A"/>
    <w:lvl w:ilvl="0" w:tplc="B87AC38E">
      <w:start w:val="1"/>
      <w:numFmt w:val="bullet"/>
      <w:pStyle w:val="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DF319D"/>
    <w:multiLevelType w:val="hybridMultilevel"/>
    <w:tmpl w:val="01045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C5F72"/>
    <w:multiLevelType w:val="hybridMultilevel"/>
    <w:tmpl w:val="B758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A11D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FB828DF"/>
    <w:multiLevelType w:val="hybridMultilevel"/>
    <w:tmpl w:val="754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91097"/>
    <w:multiLevelType w:val="multilevel"/>
    <w:tmpl w:val="429CA6E2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C25778"/>
    <w:multiLevelType w:val="hybridMultilevel"/>
    <w:tmpl w:val="33FE0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7E7C1E"/>
    <w:multiLevelType w:val="hybridMultilevel"/>
    <w:tmpl w:val="70C83B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917BA6"/>
    <w:multiLevelType w:val="hybridMultilevel"/>
    <w:tmpl w:val="1A8E3CD4"/>
    <w:lvl w:ilvl="0" w:tplc="58F87DDE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EC52F6"/>
    <w:multiLevelType w:val="hybridMultilevel"/>
    <w:tmpl w:val="07382EEA"/>
    <w:lvl w:ilvl="0" w:tplc="ABF208C6">
      <w:start w:val="1"/>
      <w:numFmt w:val="decimal"/>
      <w:pStyle w:val="Numberedlist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335D5A"/>
    <w:multiLevelType w:val="hybridMultilevel"/>
    <w:tmpl w:val="05B2E0B8"/>
    <w:lvl w:ilvl="0" w:tplc="88A81C96">
      <w:start w:val="1"/>
      <w:numFmt w:val="bullet"/>
      <w:pStyle w:val="Bullet3"/>
      <w:lvlText w:val="o"/>
      <w:lvlJc w:val="left"/>
      <w:pPr>
        <w:tabs>
          <w:tab w:val="num" w:pos="357"/>
        </w:tabs>
        <w:ind w:left="1077" w:hanging="36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7"/>
        </w:tabs>
        <w:ind w:left="14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hint="default"/>
      </w:rPr>
    </w:lvl>
  </w:abstractNum>
  <w:abstractNum w:abstractNumId="24">
    <w:nsid w:val="5A6A6774"/>
    <w:multiLevelType w:val="hybridMultilevel"/>
    <w:tmpl w:val="BE403AF2"/>
    <w:lvl w:ilvl="0" w:tplc="BD56116C">
      <w:start w:val="1"/>
      <w:numFmt w:val="bullet"/>
      <w:pStyle w:val="Tablebullet3"/>
      <w:lvlText w:val="o"/>
      <w:lvlJc w:val="left"/>
      <w:pPr>
        <w:tabs>
          <w:tab w:val="num" w:pos="357"/>
        </w:tabs>
        <w:ind w:left="1077" w:hanging="363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4E4B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3904ADA"/>
    <w:multiLevelType w:val="hybridMultilevel"/>
    <w:tmpl w:val="71BA7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1E0F17"/>
    <w:multiLevelType w:val="hybridMultilevel"/>
    <w:tmpl w:val="DF38E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2A1D2D"/>
    <w:multiLevelType w:val="hybridMultilevel"/>
    <w:tmpl w:val="2A26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82944"/>
    <w:multiLevelType w:val="hybridMultilevel"/>
    <w:tmpl w:val="9204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33FFA"/>
    <w:multiLevelType w:val="hybridMultilevel"/>
    <w:tmpl w:val="162E4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17B28"/>
    <w:multiLevelType w:val="hybridMultilevel"/>
    <w:tmpl w:val="65E8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3"/>
  </w:num>
  <w:num w:numId="4">
    <w:abstractNumId w:val="22"/>
  </w:num>
  <w:num w:numId="5">
    <w:abstractNumId w:val="24"/>
  </w:num>
  <w:num w:numId="6">
    <w:abstractNumId w:val="16"/>
  </w:num>
  <w:num w:numId="7">
    <w:abstractNumId w:val="21"/>
  </w:num>
  <w:num w:numId="8">
    <w:abstractNumId w:val="18"/>
  </w:num>
  <w:num w:numId="9">
    <w:abstractNumId w:val="7"/>
  </w:num>
  <w:num w:numId="10">
    <w:abstractNumId w:val="6"/>
  </w:num>
  <w:num w:numId="11">
    <w:abstractNumId w:val="11"/>
  </w:num>
  <w:num w:numId="12">
    <w:abstractNumId w:val="4"/>
  </w:num>
  <w:num w:numId="13">
    <w:abstractNumId w:val="25"/>
  </w:num>
  <w:num w:numId="14">
    <w:abstractNumId w:val="9"/>
  </w:num>
  <w:num w:numId="15">
    <w:abstractNumId w:val="12"/>
  </w:num>
  <w:num w:numId="16">
    <w:abstractNumId w:val="0"/>
  </w:num>
  <w:num w:numId="17">
    <w:abstractNumId w:val="17"/>
  </w:num>
  <w:num w:numId="18">
    <w:abstractNumId w:val="1"/>
  </w:num>
  <w:num w:numId="19">
    <w:abstractNumId w:val="31"/>
  </w:num>
  <w:num w:numId="20">
    <w:abstractNumId w:val="26"/>
  </w:num>
  <w:num w:numId="21">
    <w:abstractNumId w:val="28"/>
  </w:num>
  <w:num w:numId="22">
    <w:abstractNumId w:val="15"/>
  </w:num>
  <w:num w:numId="23">
    <w:abstractNumId w:val="30"/>
  </w:num>
  <w:num w:numId="24">
    <w:abstractNumId w:val="3"/>
  </w:num>
  <w:num w:numId="25">
    <w:abstractNumId w:val="20"/>
  </w:num>
  <w:num w:numId="26">
    <w:abstractNumId w:val="29"/>
  </w:num>
  <w:num w:numId="27">
    <w:abstractNumId w:val="5"/>
  </w:num>
  <w:num w:numId="28">
    <w:abstractNumId w:val="10"/>
  </w:num>
  <w:num w:numId="29">
    <w:abstractNumId w:val="19"/>
  </w:num>
  <w:num w:numId="30">
    <w:abstractNumId w:val="27"/>
  </w:num>
  <w:num w:numId="31">
    <w:abstractNumId w:val="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Journal of Hepatology_1&lt;/Style&gt;&lt;LeftDelim&gt;{&lt;/LeftDelim&gt;&lt;RightDelim&gt;}&lt;/RightDelim&gt;&lt;FontName&gt;Tahoma&lt;/FontName&gt;&lt;FontSize&gt;10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tobira&lt;/item&gt;&lt;/Libraries&gt;&lt;/ENLibraries&gt;"/>
  </w:docVars>
  <w:rsids>
    <w:rsidRoot w:val="008A7F08"/>
    <w:rsid w:val="00001816"/>
    <w:rsid w:val="0000611D"/>
    <w:rsid w:val="00006D47"/>
    <w:rsid w:val="00011E2D"/>
    <w:rsid w:val="000142D5"/>
    <w:rsid w:val="00021336"/>
    <w:rsid w:val="00023BC8"/>
    <w:rsid w:val="00024D04"/>
    <w:rsid w:val="00027468"/>
    <w:rsid w:val="00027580"/>
    <w:rsid w:val="00030DDC"/>
    <w:rsid w:val="000310AC"/>
    <w:rsid w:val="00034572"/>
    <w:rsid w:val="0004360D"/>
    <w:rsid w:val="000455B8"/>
    <w:rsid w:val="0005178A"/>
    <w:rsid w:val="00053DEF"/>
    <w:rsid w:val="000560AE"/>
    <w:rsid w:val="00057A6F"/>
    <w:rsid w:val="00057D04"/>
    <w:rsid w:val="00057E84"/>
    <w:rsid w:val="00057F59"/>
    <w:rsid w:val="00061148"/>
    <w:rsid w:val="00062E25"/>
    <w:rsid w:val="00064426"/>
    <w:rsid w:val="0006628D"/>
    <w:rsid w:val="00070390"/>
    <w:rsid w:val="00070668"/>
    <w:rsid w:val="00070789"/>
    <w:rsid w:val="000719EE"/>
    <w:rsid w:val="0007271F"/>
    <w:rsid w:val="00073F7A"/>
    <w:rsid w:val="00075553"/>
    <w:rsid w:val="00082521"/>
    <w:rsid w:val="00083F77"/>
    <w:rsid w:val="00084AB0"/>
    <w:rsid w:val="00085CC8"/>
    <w:rsid w:val="00091625"/>
    <w:rsid w:val="0009399C"/>
    <w:rsid w:val="00093BD8"/>
    <w:rsid w:val="00095737"/>
    <w:rsid w:val="000960B4"/>
    <w:rsid w:val="0009716D"/>
    <w:rsid w:val="000A155D"/>
    <w:rsid w:val="000A16A9"/>
    <w:rsid w:val="000A1AA0"/>
    <w:rsid w:val="000A262B"/>
    <w:rsid w:val="000A337D"/>
    <w:rsid w:val="000A5B06"/>
    <w:rsid w:val="000B2AE0"/>
    <w:rsid w:val="000B32C7"/>
    <w:rsid w:val="000B68B9"/>
    <w:rsid w:val="000C0203"/>
    <w:rsid w:val="000C04C7"/>
    <w:rsid w:val="000C25CF"/>
    <w:rsid w:val="000C3BF8"/>
    <w:rsid w:val="000C4E37"/>
    <w:rsid w:val="000C64FD"/>
    <w:rsid w:val="000D725B"/>
    <w:rsid w:val="000D735C"/>
    <w:rsid w:val="000E14E6"/>
    <w:rsid w:val="000E2DCD"/>
    <w:rsid w:val="000E35F4"/>
    <w:rsid w:val="000F0719"/>
    <w:rsid w:val="000F07E4"/>
    <w:rsid w:val="000F2567"/>
    <w:rsid w:val="000F3D12"/>
    <w:rsid w:val="000F45AF"/>
    <w:rsid w:val="000F4A39"/>
    <w:rsid w:val="000F50A6"/>
    <w:rsid w:val="000F628A"/>
    <w:rsid w:val="000F761F"/>
    <w:rsid w:val="000F7C43"/>
    <w:rsid w:val="000F7D52"/>
    <w:rsid w:val="001046C7"/>
    <w:rsid w:val="0010583D"/>
    <w:rsid w:val="00114136"/>
    <w:rsid w:val="001207E2"/>
    <w:rsid w:val="00121B4A"/>
    <w:rsid w:val="00123076"/>
    <w:rsid w:val="00123461"/>
    <w:rsid w:val="00124D63"/>
    <w:rsid w:val="00125AF9"/>
    <w:rsid w:val="00125DF4"/>
    <w:rsid w:val="00126FF4"/>
    <w:rsid w:val="00130915"/>
    <w:rsid w:val="00131094"/>
    <w:rsid w:val="00132000"/>
    <w:rsid w:val="001328E5"/>
    <w:rsid w:val="001347C1"/>
    <w:rsid w:val="00134DF8"/>
    <w:rsid w:val="00136B05"/>
    <w:rsid w:val="00140F36"/>
    <w:rsid w:val="001428D8"/>
    <w:rsid w:val="001460FF"/>
    <w:rsid w:val="00147BBF"/>
    <w:rsid w:val="00151E15"/>
    <w:rsid w:val="001526F8"/>
    <w:rsid w:val="00152B42"/>
    <w:rsid w:val="00152E4E"/>
    <w:rsid w:val="00152E5A"/>
    <w:rsid w:val="001563E4"/>
    <w:rsid w:val="001567A6"/>
    <w:rsid w:val="00156928"/>
    <w:rsid w:val="00156EA1"/>
    <w:rsid w:val="00156EE4"/>
    <w:rsid w:val="00161214"/>
    <w:rsid w:val="00163200"/>
    <w:rsid w:val="001645DA"/>
    <w:rsid w:val="00164FFB"/>
    <w:rsid w:val="00171EB8"/>
    <w:rsid w:val="00174E66"/>
    <w:rsid w:val="0018087C"/>
    <w:rsid w:val="001831C7"/>
    <w:rsid w:val="001853EB"/>
    <w:rsid w:val="00185D31"/>
    <w:rsid w:val="001875DB"/>
    <w:rsid w:val="00187CCC"/>
    <w:rsid w:val="001912D6"/>
    <w:rsid w:val="001933B2"/>
    <w:rsid w:val="00194A9A"/>
    <w:rsid w:val="001956DB"/>
    <w:rsid w:val="0019584A"/>
    <w:rsid w:val="001A073A"/>
    <w:rsid w:val="001A1AD5"/>
    <w:rsid w:val="001A1B00"/>
    <w:rsid w:val="001A1CE0"/>
    <w:rsid w:val="001A36F2"/>
    <w:rsid w:val="001A4C75"/>
    <w:rsid w:val="001B3455"/>
    <w:rsid w:val="001B508A"/>
    <w:rsid w:val="001B6528"/>
    <w:rsid w:val="001B6EF9"/>
    <w:rsid w:val="001B7372"/>
    <w:rsid w:val="001B7836"/>
    <w:rsid w:val="001C0B39"/>
    <w:rsid w:val="001C308D"/>
    <w:rsid w:val="001C5D12"/>
    <w:rsid w:val="001C6DCB"/>
    <w:rsid w:val="001C7B95"/>
    <w:rsid w:val="001C7E8E"/>
    <w:rsid w:val="001D0410"/>
    <w:rsid w:val="001D05D1"/>
    <w:rsid w:val="001D1AD2"/>
    <w:rsid w:val="001D3624"/>
    <w:rsid w:val="001D41A3"/>
    <w:rsid w:val="001D51D6"/>
    <w:rsid w:val="001D61BA"/>
    <w:rsid w:val="001E2C48"/>
    <w:rsid w:val="001E461E"/>
    <w:rsid w:val="001E7600"/>
    <w:rsid w:val="001F17F7"/>
    <w:rsid w:val="001F1E07"/>
    <w:rsid w:val="001F337F"/>
    <w:rsid w:val="001F57D8"/>
    <w:rsid w:val="0020060B"/>
    <w:rsid w:val="0020088D"/>
    <w:rsid w:val="00200AB2"/>
    <w:rsid w:val="002015ED"/>
    <w:rsid w:val="00205093"/>
    <w:rsid w:val="0020574E"/>
    <w:rsid w:val="00210F29"/>
    <w:rsid w:val="00212364"/>
    <w:rsid w:val="002158A1"/>
    <w:rsid w:val="00216128"/>
    <w:rsid w:val="00222652"/>
    <w:rsid w:val="0022511A"/>
    <w:rsid w:val="0023414E"/>
    <w:rsid w:val="00235813"/>
    <w:rsid w:val="002375CA"/>
    <w:rsid w:val="0024121E"/>
    <w:rsid w:val="00244C8C"/>
    <w:rsid w:val="00250EA8"/>
    <w:rsid w:val="00250FF0"/>
    <w:rsid w:val="002527F4"/>
    <w:rsid w:val="00252A73"/>
    <w:rsid w:val="00253432"/>
    <w:rsid w:val="00254D12"/>
    <w:rsid w:val="00256887"/>
    <w:rsid w:val="0025689C"/>
    <w:rsid w:val="00256AC8"/>
    <w:rsid w:val="0026460A"/>
    <w:rsid w:val="00265DE4"/>
    <w:rsid w:val="00266980"/>
    <w:rsid w:val="002673CB"/>
    <w:rsid w:val="002674A9"/>
    <w:rsid w:val="0027011A"/>
    <w:rsid w:val="00270505"/>
    <w:rsid w:val="00271768"/>
    <w:rsid w:val="00272896"/>
    <w:rsid w:val="002730E6"/>
    <w:rsid w:val="00275829"/>
    <w:rsid w:val="002758E8"/>
    <w:rsid w:val="00275ED3"/>
    <w:rsid w:val="00276C90"/>
    <w:rsid w:val="00280557"/>
    <w:rsid w:val="00280D51"/>
    <w:rsid w:val="002829D4"/>
    <w:rsid w:val="00282B71"/>
    <w:rsid w:val="00284B3C"/>
    <w:rsid w:val="00291173"/>
    <w:rsid w:val="002929FF"/>
    <w:rsid w:val="002938CC"/>
    <w:rsid w:val="00294FB3"/>
    <w:rsid w:val="00296264"/>
    <w:rsid w:val="00296EC6"/>
    <w:rsid w:val="00297032"/>
    <w:rsid w:val="002A58C4"/>
    <w:rsid w:val="002A77C3"/>
    <w:rsid w:val="002B017B"/>
    <w:rsid w:val="002B1E08"/>
    <w:rsid w:val="002B4B27"/>
    <w:rsid w:val="002B59CD"/>
    <w:rsid w:val="002B6F49"/>
    <w:rsid w:val="002B7367"/>
    <w:rsid w:val="002C0B5D"/>
    <w:rsid w:val="002C37E5"/>
    <w:rsid w:val="002D336D"/>
    <w:rsid w:val="002D43B8"/>
    <w:rsid w:val="002D63F2"/>
    <w:rsid w:val="002D6C5C"/>
    <w:rsid w:val="002E21F6"/>
    <w:rsid w:val="002E5222"/>
    <w:rsid w:val="002E6269"/>
    <w:rsid w:val="002F1976"/>
    <w:rsid w:val="002F265C"/>
    <w:rsid w:val="002F58C3"/>
    <w:rsid w:val="002F6967"/>
    <w:rsid w:val="002F7898"/>
    <w:rsid w:val="003011BE"/>
    <w:rsid w:val="00301DD7"/>
    <w:rsid w:val="0030475D"/>
    <w:rsid w:val="00307C84"/>
    <w:rsid w:val="00310438"/>
    <w:rsid w:val="00312070"/>
    <w:rsid w:val="0031521C"/>
    <w:rsid w:val="00316E91"/>
    <w:rsid w:val="003171B5"/>
    <w:rsid w:val="0031795D"/>
    <w:rsid w:val="003205AA"/>
    <w:rsid w:val="00322B2E"/>
    <w:rsid w:val="00322EC5"/>
    <w:rsid w:val="00323F00"/>
    <w:rsid w:val="00330A93"/>
    <w:rsid w:val="003312B2"/>
    <w:rsid w:val="00337AB7"/>
    <w:rsid w:val="00337FA9"/>
    <w:rsid w:val="00341E32"/>
    <w:rsid w:val="00343F7B"/>
    <w:rsid w:val="00344865"/>
    <w:rsid w:val="00344BB9"/>
    <w:rsid w:val="003478BC"/>
    <w:rsid w:val="0035112C"/>
    <w:rsid w:val="00351EBC"/>
    <w:rsid w:val="00355C9E"/>
    <w:rsid w:val="00357ED3"/>
    <w:rsid w:val="00362567"/>
    <w:rsid w:val="00363B01"/>
    <w:rsid w:val="003648ED"/>
    <w:rsid w:val="00364930"/>
    <w:rsid w:val="003666CA"/>
    <w:rsid w:val="00370770"/>
    <w:rsid w:val="00372488"/>
    <w:rsid w:val="0037403A"/>
    <w:rsid w:val="0037618C"/>
    <w:rsid w:val="003774EA"/>
    <w:rsid w:val="00380015"/>
    <w:rsid w:val="00383CDF"/>
    <w:rsid w:val="00383FF6"/>
    <w:rsid w:val="003842FF"/>
    <w:rsid w:val="00384369"/>
    <w:rsid w:val="003859D1"/>
    <w:rsid w:val="003876FA"/>
    <w:rsid w:val="00387D25"/>
    <w:rsid w:val="003924C7"/>
    <w:rsid w:val="003A08CA"/>
    <w:rsid w:val="003B29B8"/>
    <w:rsid w:val="003B340E"/>
    <w:rsid w:val="003B398A"/>
    <w:rsid w:val="003B418C"/>
    <w:rsid w:val="003B6A91"/>
    <w:rsid w:val="003C0E4E"/>
    <w:rsid w:val="003C4AC1"/>
    <w:rsid w:val="003C4EB3"/>
    <w:rsid w:val="003C58AF"/>
    <w:rsid w:val="003C5D69"/>
    <w:rsid w:val="003C6777"/>
    <w:rsid w:val="003C6FC3"/>
    <w:rsid w:val="003D245A"/>
    <w:rsid w:val="003D6027"/>
    <w:rsid w:val="003D78E9"/>
    <w:rsid w:val="003E0462"/>
    <w:rsid w:val="003E082E"/>
    <w:rsid w:val="003E6C2E"/>
    <w:rsid w:val="003E798D"/>
    <w:rsid w:val="003F0E20"/>
    <w:rsid w:val="003F15DC"/>
    <w:rsid w:val="003F419E"/>
    <w:rsid w:val="003F5CD8"/>
    <w:rsid w:val="003F6069"/>
    <w:rsid w:val="0040015D"/>
    <w:rsid w:val="0040093C"/>
    <w:rsid w:val="00401C69"/>
    <w:rsid w:val="00401CFC"/>
    <w:rsid w:val="004020B4"/>
    <w:rsid w:val="00402FD3"/>
    <w:rsid w:val="00405C0F"/>
    <w:rsid w:val="004104F1"/>
    <w:rsid w:val="004243F7"/>
    <w:rsid w:val="004265FB"/>
    <w:rsid w:val="0042678A"/>
    <w:rsid w:val="0042682B"/>
    <w:rsid w:val="004268F0"/>
    <w:rsid w:val="0043182A"/>
    <w:rsid w:val="00433170"/>
    <w:rsid w:val="00433B91"/>
    <w:rsid w:val="0043458F"/>
    <w:rsid w:val="0043582A"/>
    <w:rsid w:val="00437D73"/>
    <w:rsid w:val="004404CC"/>
    <w:rsid w:val="00440629"/>
    <w:rsid w:val="0044432F"/>
    <w:rsid w:val="00445FA2"/>
    <w:rsid w:val="00447E58"/>
    <w:rsid w:val="00451C56"/>
    <w:rsid w:val="00454ADF"/>
    <w:rsid w:val="00456A74"/>
    <w:rsid w:val="00462907"/>
    <w:rsid w:val="004648FF"/>
    <w:rsid w:val="0046643E"/>
    <w:rsid w:val="00466943"/>
    <w:rsid w:val="004707AE"/>
    <w:rsid w:val="00471E88"/>
    <w:rsid w:val="00472C2A"/>
    <w:rsid w:val="00473F40"/>
    <w:rsid w:val="00475964"/>
    <w:rsid w:val="00476E5B"/>
    <w:rsid w:val="00481439"/>
    <w:rsid w:val="004904F8"/>
    <w:rsid w:val="00490876"/>
    <w:rsid w:val="00492A39"/>
    <w:rsid w:val="00495144"/>
    <w:rsid w:val="00495B5A"/>
    <w:rsid w:val="00495DA8"/>
    <w:rsid w:val="00495E31"/>
    <w:rsid w:val="00495F6C"/>
    <w:rsid w:val="004A0624"/>
    <w:rsid w:val="004A13F4"/>
    <w:rsid w:val="004A168E"/>
    <w:rsid w:val="004B100B"/>
    <w:rsid w:val="004B1C83"/>
    <w:rsid w:val="004B231F"/>
    <w:rsid w:val="004B45A4"/>
    <w:rsid w:val="004C0EC6"/>
    <w:rsid w:val="004C40C0"/>
    <w:rsid w:val="004C71BD"/>
    <w:rsid w:val="004C7BD8"/>
    <w:rsid w:val="004C7FA6"/>
    <w:rsid w:val="004D036C"/>
    <w:rsid w:val="004D0B14"/>
    <w:rsid w:val="004D0B4C"/>
    <w:rsid w:val="004D0F31"/>
    <w:rsid w:val="004D537D"/>
    <w:rsid w:val="004D712B"/>
    <w:rsid w:val="004E1D1C"/>
    <w:rsid w:val="004E28FF"/>
    <w:rsid w:val="004E4138"/>
    <w:rsid w:val="004E5F8A"/>
    <w:rsid w:val="004E7AF5"/>
    <w:rsid w:val="004F16D8"/>
    <w:rsid w:val="004F4F71"/>
    <w:rsid w:val="004F5F11"/>
    <w:rsid w:val="004F68EA"/>
    <w:rsid w:val="004F7762"/>
    <w:rsid w:val="00501D79"/>
    <w:rsid w:val="00506A32"/>
    <w:rsid w:val="005073FC"/>
    <w:rsid w:val="00507C32"/>
    <w:rsid w:val="005101FF"/>
    <w:rsid w:val="00511D48"/>
    <w:rsid w:val="0051249D"/>
    <w:rsid w:val="00513B02"/>
    <w:rsid w:val="00520B08"/>
    <w:rsid w:val="00522201"/>
    <w:rsid w:val="00522FF2"/>
    <w:rsid w:val="00524F48"/>
    <w:rsid w:val="00527D01"/>
    <w:rsid w:val="005315D8"/>
    <w:rsid w:val="00532D7A"/>
    <w:rsid w:val="005344BE"/>
    <w:rsid w:val="005360CD"/>
    <w:rsid w:val="00536F5F"/>
    <w:rsid w:val="005373B2"/>
    <w:rsid w:val="00542F4F"/>
    <w:rsid w:val="005463FA"/>
    <w:rsid w:val="00546A79"/>
    <w:rsid w:val="005474A1"/>
    <w:rsid w:val="00547704"/>
    <w:rsid w:val="00550673"/>
    <w:rsid w:val="00550676"/>
    <w:rsid w:val="00551134"/>
    <w:rsid w:val="005536F3"/>
    <w:rsid w:val="00560692"/>
    <w:rsid w:val="00560C60"/>
    <w:rsid w:val="0056312D"/>
    <w:rsid w:val="0057053D"/>
    <w:rsid w:val="00572911"/>
    <w:rsid w:val="005730FF"/>
    <w:rsid w:val="00576A91"/>
    <w:rsid w:val="00582C92"/>
    <w:rsid w:val="005870E3"/>
    <w:rsid w:val="005914CD"/>
    <w:rsid w:val="00591D7C"/>
    <w:rsid w:val="00593085"/>
    <w:rsid w:val="00594146"/>
    <w:rsid w:val="00597A17"/>
    <w:rsid w:val="005A1E22"/>
    <w:rsid w:val="005A5A92"/>
    <w:rsid w:val="005B0CDF"/>
    <w:rsid w:val="005B183A"/>
    <w:rsid w:val="005B657A"/>
    <w:rsid w:val="005B7DF7"/>
    <w:rsid w:val="005C11C7"/>
    <w:rsid w:val="005C71D2"/>
    <w:rsid w:val="005D161D"/>
    <w:rsid w:val="005D3E94"/>
    <w:rsid w:val="005D6C82"/>
    <w:rsid w:val="005E11BF"/>
    <w:rsid w:val="005E124E"/>
    <w:rsid w:val="005E2B1C"/>
    <w:rsid w:val="005E5411"/>
    <w:rsid w:val="005E664A"/>
    <w:rsid w:val="005E784F"/>
    <w:rsid w:val="005F23EA"/>
    <w:rsid w:val="005F3F92"/>
    <w:rsid w:val="005F58F7"/>
    <w:rsid w:val="005F6654"/>
    <w:rsid w:val="005F7054"/>
    <w:rsid w:val="00600408"/>
    <w:rsid w:val="00604229"/>
    <w:rsid w:val="006044C2"/>
    <w:rsid w:val="0060540C"/>
    <w:rsid w:val="00605708"/>
    <w:rsid w:val="00605EAC"/>
    <w:rsid w:val="006106A4"/>
    <w:rsid w:val="00610FDA"/>
    <w:rsid w:val="00610FFB"/>
    <w:rsid w:val="0061381C"/>
    <w:rsid w:val="00615F7B"/>
    <w:rsid w:val="00616D3C"/>
    <w:rsid w:val="006210F1"/>
    <w:rsid w:val="00621F15"/>
    <w:rsid w:val="00625E61"/>
    <w:rsid w:val="006267D8"/>
    <w:rsid w:val="006277DE"/>
    <w:rsid w:val="00630B3F"/>
    <w:rsid w:val="00642691"/>
    <w:rsid w:val="0064377D"/>
    <w:rsid w:val="006438BF"/>
    <w:rsid w:val="00645B3F"/>
    <w:rsid w:val="00647C03"/>
    <w:rsid w:val="00650BDC"/>
    <w:rsid w:val="00651D31"/>
    <w:rsid w:val="00655C92"/>
    <w:rsid w:val="00655EA9"/>
    <w:rsid w:val="0065613D"/>
    <w:rsid w:val="00656AA2"/>
    <w:rsid w:val="00657DBF"/>
    <w:rsid w:val="006610B4"/>
    <w:rsid w:val="00661BC3"/>
    <w:rsid w:val="00662DC9"/>
    <w:rsid w:val="00662DCA"/>
    <w:rsid w:val="00664796"/>
    <w:rsid w:val="00667782"/>
    <w:rsid w:val="00667AA3"/>
    <w:rsid w:val="00667B8F"/>
    <w:rsid w:val="00671DC6"/>
    <w:rsid w:val="006724E3"/>
    <w:rsid w:val="006743D3"/>
    <w:rsid w:val="0067600A"/>
    <w:rsid w:val="00677889"/>
    <w:rsid w:val="006847E0"/>
    <w:rsid w:val="00684FB4"/>
    <w:rsid w:val="0068571F"/>
    <w:rsid w:val="00690CCC"/>
    <w:rsid w:val="00690DD6"/>
    <w:rsid w:val="00692732"/>
    <w:rsid w:val="00692B22"/>
    <w:rsid w:val="006931A6"/>
    <w:rsid w:val="00693C47"/>
    <w:rsid w:val="00697DC9"/>
    <w:rsid w:val="006A1649"/>
    <w:rsid w:val="006A24B7"/>
    <w:rsid w:val="006A4BDF"/>
    <w:rsid w:val="006A4CD2"/>
    <w:rsid w:val="006A50DD"/>
    <w:rsid w:val="006A6495"/>
    <w:rsid w:val="006B25A9"/>
    <w:rsid w:val="006B40F6"/>
    <w:rsid w:val="006B46FE"/>
    <w:rsid w:val="006C0FB7"/>
    <w:rsid w:val="006C26EF"/>
    <w:rsid w:val="006D100C"/>
    <w:rsid w:val="006D136F"/>
    <w:rsid w:val="006D2C19"/>
    <w:rsid w:val="006D4AEE"/>
    <w:rsid w:val="006E0017"/>
    <w:rsid w:val="006F1431"/>
    <w:rsid w:val="006F16A1"/>
    <w:rsid w:val="006F1A56"/>
    <w:rsid w:val="006F49F5"/>
    <w:rsid w:val="006F5808"/>
    <w:rsid w:val="006F6174"/>
    <w:rsid w:val="007003DD"/>
    <w:rsid w:val="00700697"/>
    <w:rsid w:val="00702124"/>
    <w:rsid w:val="00702498"/>
    <w:rsid w:val="007051AE"/>
    <w:rsid w:val="00705DA8"/>
    <w:rsid w:val="00706850"/>
    <w:rsid w:val="00706A59"/>
    <w:rsid w:val="0071008B"/>
    <w:rsid w:val="007128D4"/>
    <w:rsid w:val="00713A49"/>
    <w:rsid w:val="00713C61"/>
    <w:rsid w:val="007158F0"/>
    <w:rsid w:val="00716FAA"/>
    <w:rsid w:val="0072003B"/>
    <w:rsid w:val="007226EA"/>
    <w:rsid w:val="0072663B"/>
    <w:rsid w:val="0072737C"/>
    <w:rsid w:val="00727E3A"/>
    <w:rsid w:val="00731036"/>
    <w:rsid w:val="00731C72"/>
    <w:rsid w:val="00740707"/>
    <w:rsid w:val="00741082"/>
    <w:rsid w:val="00741E36"/>
    <w:rsid w:val="00742BAD"/>
    <w:rsid w:val="0074448C"/>
    <w:rsid w:val="00745796"/>
    <w:rsid w:val="00750CAD"/>
    <w:rsid w:val="00751274"/>
    <w:rsid w:val="0075300A"/>
    <w:rsid w:val="0075586B"/>
    <w:rsid w:val="00766BFB"/>
    <w:rsid w:val="00766E44"/>
    <w:rsid w:val="007672DD"/>
    <w:rsid w:val="007729AE"/>
    <w:rsid w:val="00773498"/>
    <w:rsid w:val="0077352E"/>
    <w:rsid w:val="00775AD8"/>
    <w:rsid w:val="00776540"/>
    <w:rsid w:val="00777F01"/>
    <w:rsid w:val="00777F9A"/>
    <w:rsid w:val="007804A9"/>
    <w:rsid w:val="00780A29"/>
    <w:rsid w:val="007822D2"/>
    <w:rsid w:val="00785B7C"/>
    <w:rsid w:val="0079184F"/>
    <w:rsid w:val="007922DB"/>
    <w:rsid w:val="0079355A"/>
    <w:rsid w:val="007A01CA"/>
    <w:rsid w:val="007A251B"/>
    <w:rsid w:val="007A287C"/>
    <w:rsid w:val="007A3776"/>
    <w:rsid w:val="007A4A99"/>
    <w:rsid w:val="007A6ED0"/>
    <w:rsid w:val="007A777A"/>
    <w:rsid w:val="007B0202"/>
    <w:rsid w:val="007B1578"/>
    <w:rsid w:val="007B1DEE"/>
    <w:rsid w:val="007B2761"/>
    <w:rsid w:val="007B3A03"/>
    <w:rsid w:val="007B3B98"/>
    <w:rsid w:val="007B457F"/>
    <w:rsid w:val="007B471B"/>
    <w:rsid w:val="007B479D"/>
    <w:rsid w:val="007C0848"/>
    <w:rsid w:val="007C3343"/>
    <w:rsid w:val="007C55A5"/>
    <w:rsid w:val="007C7B13"/>
    <w:rsid w:val="007D153B"/>
    <w:rsid w:val="007D19EB"/>
    <w:rsid w:val="007D54FE"/>
    <w:rsid w:val="007D5593"/>
    <w:rsid w:val="007D58E0"/>
    <w:rsid w:val="007D6D2B"/>
    <w:rsid w:val="007E0293"/>
    <w:rsid w:val="007E3948"/>
    <w:rsid w:val="007E3A9B"/>
    <w:rsid w:val="007E6296"/>
    <w:rsid w:val="007E6852"/>
    <w:rsid w:val="007E6A95"/>
    <w:rsid w:val="007E6BD2"/>
    <w:rsid w:val="007E6C58"/>
    <w:rsid w:val="007F1FA1"/>
    <w:rsid w:val="007F5C5D"/>
    <w:rsid w:val="007F687E"/>
    <w:rsid w:val="00800A52"/>
    <w:rsid w:val="00801E51"/>
    <w:rsid w:val="008034F1"/>
    <w:rsid w:val="00805DEC"/>
    <w:rsid w:val="00811CA5"/>
    <w:rsid w:val="00812041"/>
    <w:rsid w:val="00813012"/>
    <w:rsid w:val="0081591A"/>
    <w:rsid w:val="008162F1"/>
    <w:rsid w:val="00821B1D"/>
    <w:rsid w:val="00821C8A"/>
    <w:rsid w:val="00821F45"/>
    <w:rsid w:val="00823D07"/>
    <w:rsid w:val="00827DC8"/>
    <w:rsid w:val="00830584"/>
    <w:rsid w:val="0083469F"/>
    <w:rsid w:val="00846028"/>
    <w:rsid w:val="00846435"/>
    <w:rsid w:val="008502FB"/>
    <w:rsid w:val="00850C62"/>
    <w:rsid w:val="00855C80"/>
    <w:rsid w:val="00856FE2"/>
    <w:rsid w:val="008601F0"/>
    <w:rsid w:val="008607A8"/>
    <w:rsid w:val="0086144D"/>
    <w:rsid w:val="0086163B"/>
    <w:rsid w:val="008624AB"/>
    <w:rsid w:val="00871C4C"/>
    <w:rsid w:val="00872F3E"/>
    <w:rsid w:val="008741FD"/>
    <w:rsid w:val="00874E42"/>
    <w:rsid w:val="008766E0"/>
    <w:rsid w:val="008779D1"/>
    <w:rsid w:val="00877FD4"/>
    <w:rsid w:val="00881F15"/>
    <w:rsid w:val="00883E6D"/>
    <w:rsid w:val="0089019B"/>
    <w:rsid w:val="00891C49"/>
    <w:rsid w:val="0089347B"/>
    <w:rsid w:val="0089677A"/>
    <w:rsid w:val="00897BC7"/>
    <w:rsid w:val="008A0A0E"/>
    <w:rsid w:val="008A0EE1"/>
    <w:rsid w:val="008A1C43"/>
    <w:rsid w:val="008A638B"/>
    <w:rsid w:val="008A6B3E"/>
    <w:rsid w:val="008A7160"/>
    <w:rsid w:val="008A7C12"/>
    <w:rsid w:val="008A7C2A"/>
    <w:rsid w:val="008A7F08"/>
    <w:rsid w:val="008B091B"/>
    <w:rsid w:val="008B0EEF"/>
    <w:rsid w:val="008B61E7"/>
    <w:rsid w:val="008B6BDF"/>
    <w:rsid w:val="008B7507"/>
    <w:rsid w:val="008B7DA0"/>
    <w:rsid w:val="008C2655"/>
    <w:rsid w:val="008C4104"/>
    <w:rsid w:val="008C79DF"/>
    <w:rsid w:val="008C7A4A"/>
    <w:rsid w:val="008C7F28"/>
    <w:rsid w:val="008D1648"/>
    <w:rsid w:val="008D1F89"/>
    <w:rsid w:val="008D23A1"/>
    <w:rsid w:val="008D4CF6"/>
    <w:rsid w:val="008D5A6D"/>
    <w:rsid w:val="008E3290"/>
    <w:rsid w:val="008E3419"/>
    <w:rsid w:val="008E625C"/>
    <w:rsid w:val="008E64E4"/>
    <w:rsid w:val="008F175D"/>
    <w:rsid w:val="008F2220"/>
    <w:rsid w:val="00901B01"/>
    <w:rsid w:val="00903891"/>
    <w:rsid w:val="00903FC5"/>
    <w:rsid w:val="00912565"/>
    <w:rsid w:val="009144C8"/>
    <w:rsid w:val="00915253"/>
    <w:rsid w:val="00916E26"/>
    <w:rsid w:val="00921377"/>
    <w:rsid w:val="0092157E"/>
    <w:rsid w:val="009219A4"/>
    <w:rsid w:val="00921A98"/>
    <w:rsid w:val="009227B5"/>
    <w:rsid w:val="0092299B"/>
    <w:rsid w:val="009229A2"/>
    <w:rsid w:val="009244EE"/>
    <w:rsid w:val="00924D1F"/>
    <w:rsid w:val="0092774E"/>
    <w:rsid w:val="00937CB3"/>
    <w:rsid w:val="00942829"/>
    <w:rsid w:val="00942A93"/>
    <w:rsid w:val="00943714"/>
    <w:rsid w:val="009462A1"/>
    <w:rsid w:val="00947001"/>
    <w:rsid w:val="00947FB7"/>
    <w:rsid w:val="00950E6B"/>
    <w:rsid w:val="00951CC7"/>
    <w:rsid w:val="00951D87"/>
    <w:rsid w:val="009627F9"/>
    <w:rsid w:val="0096532F"/>
    <w:rsid w:val="00965432"/>
    <w:rsid w:val="00966AC9"/>
    <w:rsid w:val="00974BEB"/>
    <w:rsid w:val="00976C75"/>
    <w:rsid w:val="00984CF5"/>
    <w:rsid w:val="00985C41"/>
    <w:rsid w:val="00987B87"/>
    <w:rsid w:val="00992C49"/>
    <w:rsid w:val="00995A1B"/>
    <w:rsid w:val="0099741E"/>
    <w:rsid w:val="009A12CE"/>
    <w:rsid w:val="009B25AE"/>
    <w:rsid w:val="009B3B56"/>
    <w:rsid w:val="009B687B"/>
    <w:rsid w:val="009B6D2B"/>
    <w:rsid w:val="009C1E01"/>
    <w:rsid w:val="009D0288"/>
    <w:rsid w:val="009D08C1"/>
    <w:rsid w:val="009D2246"/>
    <w:rsid w:val="009D259A"/>
    <w:rsid w:val="009D2F2F"/>
    <w:rsid w:val="009D5350"/>
    <w:rsid w:val="009D684D"/>
    <w:rsid w:val="009D6CE2"/>
    <w:rsid w:val="009D7BFA"/>
    <w:rsid w:val="009D7DDB"/>
    <w:rsid w:val="009D7EA8"/>
    <w:rsid w:val="009E049E"/>
    <w:rsid w:val="009E199C"/>
    <w:rsid w:val="009E28CA"/>
    <w:rsid w:val="009F07A5"/>
    <w:rsid w:val="009F40D9"/>
    <w:rsid w:val="009F508D"/>
    <w:rsid w:val="009F6053"/>
    <w:rsid w:val="00A026A2"/>
    <w:rsid w:val="00A02A38"/>
    <w:rsid w:val="00A037D5"/>
    <w:rsid w:val="00A0470A"/>
    <w:rsid w:val="00A05091"/>
    <w:rsid w:val="00A05541"/>
    <w:rsid w:val="00A0587A"/>
    <w:rsid w:val="00A070B2"/>
    <w:rsid w:val="00A12F3D"/>
    <w:rsid w:val="00A13491"/>
    <w:rsid w:val="00A13AA0"/>
    <w:rsid w:val="00A159E1"/>
    <w:rsid w:val="00A15AEA"/>
    <w:rsid w:val="00A15BCF"/>
    <w:rsid w:val="00A20766"/>
    <w:rsid w:val="00A237F2"/>
    <w:rsid w:val="00A23C38"/>
    <w:rsid w:val="00A250B3"/>
    <w:rsid w:val="00A26F49"/>
    <w:rsid w:val="00A31E37"/>
    <w:rsid w:val="00A34482"/>
    <w:rsid w:val="00A37634"/>
    <w:rsid w:val="00A404B9"/>
    <w:rsid w:val="00A4216A"/>
    <w:rsid w:val="00A46365"/>
    <w:rsid w:val="00A50875"/>
    <w:rsid w:val="00A517AC"/>
    <w:rsid w:val="00A5452C"/>
    <w:rsid w:val="00A57906"/>
    <w:rsid w:val="00A60233"/>
    <w:rsid w:val="00A6280D"/>
    <w:rsid w:val="00A635CC"/>
    <w:rsid w:val="00A648A6"/>
    <w:rsid w:val="00A64CE0"/>
    <w:rsid w:val="00A665DF"/>
    <w:rsid w:val="00A668DF"/>
    <w:rsid w:val="00A67276"/>
    <w:rsid w:val="00A71CEA"/>
    <w:rsid w:val="00A772AB"/>
    <w:rsid w:val="00A81527"/>
    <w:rsid w:val="00A84A25"/>
    <w:rsid w:val="00A84ECF"/>
    <w:rsid w:val="00A85098"/>
    <w:rsid w:val="00A858BD"/>
    <w:rsid w:val="00A859AD"/>
    <w:rsid w:val="00A85A67"/>
    <w:rsid w:val="00A86195"/>
    <w:rsid w:val="00A90AF1"/>
    <w:rsid w:val="00A92102"/>
    <w:rsid w:val="00A925A1"/>
    <w:rsid w:val="00A958FE"/>
    <w:rsid w:val="00AA1296"/>
    <w:rsid w:val="00AA30C7"/>
    <w:rsid w:val="00AA39B7"/>
    <w:rsid w:val="00AA3BFE"/>
    <w:rsid w:val="00AB5CB7"/>
    <w:rsid w:val="00AD1513"/>
    <w:rsid w:val="00AD254A"/>
    <w:rsid w:val="00AD4689"/>
    <w:rsid w:val="00AD5188"/>
    <w:rsid w:val="00AD6E4C"/>
    <w:rsid w:val="00AE034F"/>
    <w:rsid w:val="00AE7533"/>
    <w:rsid w:val="00AF34B2"/>
    <w:rsid w:val="00AF3C1A"/>
    <w:rsid w:val="00AF5F25"/>
    <w:rsid w:val="00AF78DF"/>
    <w:rsid w:val="00AF7D78"/>
    <w:rsid w:val="00B032C0"/>
    <w:rsid w:val="00B0418C"/>
    <w:rsid w:val="00B05BE4"/>
    <w:rsid w:val="00B06529"/>
    <w:rsid w:val="00B0723F"/>
    <w:rsid w:val="00B108F4"/>
    <w:rsid w:val="00B11558"/>
    <w:rsid w:val="00B12B6B"/>
    <w:rsid w:val="00B12D35"/>
    <w:rsid w:val="00B12F00"/>
    <w:rsid w:val="00B142A5"/>
    <w:rsid w:val="00B15A39"/>
    <w:rsid w:val="00B2036A"/>
    <w:rsid w:val="00B21FE1"/>
    <w:rsid w:val="00B223A9"/>
    <w:rsid w:val="00B22F1E"/>
    <w:rsid w:val="00B2371C"/>
    <w:rsid w:val="00B249D1"/>
    <w:rsid w:val="00B25B14"/>
    <w:rsid w:val="00B3019B"/>
    <w:rsid w:val="00B3172A"/>
    <w:rsid w:val="00B4001A"/>
    <w:rsid w:val="00B435AB"/>
    <w:rsid w:val="00B44856"/>
    <w:rsid w:val="00B45816"/>
    <w:rsid w:val="00B45AE5"/>
    <w:rsid w:val="00B46FAA"/>
    <w:rsid w:val="00B51A0D"/>
    <w:rsid w:val="00B52AF4"/>
    <w:rsid w:val="00B5312C"/>
    <w:rsid w:val="00B53FFE"/>
    <w:rsid w:val="00B6043F"/>
    <w:rsid w:val="00B647BD"/>
    <w:rsid w:val="00B65F04"/>
    <w:rsid w:val="00B83CC6"/>
    <w:rsid w:val="00B858AE"/>
    <w:rsid w:val="00B8599D"/>
    <w:rsid w:val="00B85A23"/>
    <w:rsid w:val="00B87464"/>
    <w:rsid w:val="00B948DE"/>
    <w:rsid w:val="00B95B41"/>
    <w:rsid w:val="00BA2CBD"/>
    <w:rsid w:val="00BA686B"/>
    <w:rsid w:val="00BA6E7B"/>
    <w:rsid w:val="00BA7522"/>
    <w:rsid w:val="00BB6F68"/>
    <w:rsid w:val="00BB72C8"/>
    <w:rsid w:val="00BC381C"/>
    <w:rsid w:val="00BC46E8"/>
    <w:rsid w:val="00BC683D"/>
    <w:rsid w:val="00BC70CD"/>
    <w:rsid w:val="00BC7151"/>
    <w:rsid w:val="00BD0493"/>
    <w:rsid w:val="00BD0C33"/>
    <w:rsid w:val="00BD13D0"/>
    <w:rsid w:val="00BD2CD4"/>
    <w:rsid w:val="00BD45B2"/>
    <w:rsid w:val="00BD5EAC"/>
    <w:rsid w:val="00BD66E5"/>
    <w:rsid w:val="00BD73A6"/>
    <w:rsid w:val="00BE3B89"/>
    <w:rsid w:val="00BF02EE"/>
    <w:rsid w:val="00BF29AA"/>
    <w:rsid w:val="00BF2B6E"/>
    <w:rsid w:val="00BF5385"/>
    <w:rsid w:val="00BF62CE"/>
    <w:rsid w:val="00BF62DF"/>
    <w:rsid w:val="00BF6585"/>
    <w:rsid w:val="00C02F15"/>
    <w:rsid w:val="00C05219"/>
    <w:rsid w:val="00C060FD"/>
    <w:rsid w:val="00C13950"/>
    <w:rsid w:val="00C15224"/>
    <w:rsid w:val="00C162F7"/>
    <w:rsid w:val="00C169CD"/>
    <w:rsid w:val="00C17182"/>
    <w:rsid w:val="00C1734C"/>
    <w:rsid w:val="00C20F49"/>
    <w:rsid w:val="00C23369"/>
    <w:rsid w:val="00C257E8"/>
    <w:rsid w:val="00C25DBB"/>
    <w:rsid w:val="00C273AA"/>
    <w:rsid w:val="00C30A9B"/>
    <w:rsid w:val="00C32DD2"/>
    <w:rsid w:val="00C34E1A"/>
    <w:rsid w:val="00C35C16"/>
    <w:rsid w:val="00C36E33"/>
    <w:rsid w:val="00C41618"/>
    <w:rsid w:val="00C429D9"/>
    <w:rsid w:val="00C43864"/>
    <w:rsid w:val="00C456B0"/>
    <w:rsid w:val="00C45E7F"/>
    <w:rsid w:val="00C54C0A"/>
    <w:rsid w:val="00C60959"/>
    <w:rsid w:val="00C6335A"/>
    <w:rsid w:val="00C64081"/>
    <w:rsid w:val="00C64234"/>
    <w:rsid w:val="00C642C8"/>
    <w:rsid w:val="00C64C4A"/>
    <w:rsid w:val="00C64F9C"/>
    <w:rsid w:val="00C73648"/>
    <w:rsid w:val="00C736DD"/>
    <w:rsid w:val="00C739F9"/>
    <w:rsid w:val="00C75DD8"/>
    <w:rsid w:val="00C856BA"/>
    <w:rsid w:val="00C85FBE"/>
    <w:rsid w:val="00C9004A"/>
    <w:rsid w:val="00C90A7A"/>
    <w:rsid w:val="00C90F70"/>
    <w:rsid w:val="00C96937"/>
    <w:rsid w:val="00C97E75"/>
    <w:rsid w:val="00CA0146"/>
    <w:rsid w:val="00CA1C09"/>
    <w:rsid w:val="00CA5066"/>
    <w:rsid w:val="00CB19B9"/>
    <w:rsid w:val="00CB2867"/>
    <w:rsid w:val="00CB327C"/>
    <w:rsid w:val="00CB55F1"/>
    <w:rsid w:val="00CB64E1"/>
    <w:rsid w:val="00CC16BF"/>
    <w:rsid w:val="00CD0C30"/>
    <w:rsid w:val="00CD24D9"/>
    <w:rsid w:val="00CD3337"/>
    <w:rsid w:val="00CD4C86"/>
    <w:rsid w:val="00CD5018"/>
    <w:rsid w:val="00CD5584"/>
    <w:rsid w:val="00CD594B"/>
    <w:rsid w:val="00CD6A54"/>
    <w:rsid w:val="00CD7F11"/>
    <w:rsid w:val="00CE126E"/>
    <w:rsid w:val="00CE2FA8"/>
    <w:rsid w:val="00CE62F0"/>
    <w:rsid w:val="00CF1007"/>
    <w:rsid w:val="00CF2108"/>
    <w:rsid w:val="00CF3CCA"/>
    <w:rsid w:val="00D01769"/>
    <w:rsid w:val="00D02913"/>
    <w:rsid w:val="00D03057"/>
    <w:rsid w:val="00D06025"/>
    <w:rsid w:val="00D076F4"/>
    <w:rsid w:val="00D07D5E"/>
    <w:rsid w:val="00D1616D"/>
    <w:rsid w:val="00D1631C"/>
    <w:rsid w:val="00D17E45"/>
    <w:rsid w:val="00D2037F"/>
    <w:rsid w:val="00D221BC"/>
    <w:rsid w:val="00D2431E"/>
    <w:rsid w:val="00D24C81"/>
    <w:rsid w:val="00D27F7B"/>
    <w:rsid w:val="00D32BF8"/>
    <w:rsid w:val="00D33087"/>
    <w:rsid w:val="00D34B0B"/>
    <w:rsid w:val="00D34E64"/>
    <w:rsid w:val="00D3735D"/>
    <w:rsid w:val="00D37B21"/>
    <w:rsid w:val="00D37DBB"/>
    <w:rsid w:val="00D37DEA"/>
    <w:rsid w:val="00D41878"/>
    <w:rsid w:val="00D41E04"/>
    <w:rsid w:val="00D41E7B"/>
    <w:rsid w:val="00D45473"/>
    <w:rsid w:val="00D45BE7"/>
    <w:rsid w:val="00D46AF4"/>
    <w:rsid w:val="00D5043E"/>
    <w:rsid w:val="00D52D32"/>
    <w:rsid w:val="00D60CE9"/>
    <w:rsid w:val="00D6109B"/>
    <w:rsid w:val="00D61687"/>
    <w:rsid w:val="00D63C3B"/>
    <w:rsid w:val="00D6614C"/>
    <w:rsid w:val="00D67567"/>
    <w:rsid w:val="00D67B72"/>
    <w:rsid w:val="00D67D02"/>
    <w:rsid w:val="00D74E1E"/>
    <w:rsid w:val="00D7671E"/>
    <w:rsid w:val="00D81520"/>
    <w:rsid w:val="00D81D84"/>
    <w:rsid w:val="00D83AAF"/>
    <w:rsid w:val="00D8603A"/>
    <w:rsid w:val="00D8756F"/>
    <w:rsid w:val="00D927C0"/>
    <w:rsid w:val="00D9448B"/>
    <w:rsid w:val="00D95B7A"/>
    <w:rsid w:val="00D960EC"/>
    <w:rsid w:val="00D9736D"/>
    <w:rsid w:val="00DA03D7"/>
    <w:rsid w:val="00DA089B"/>
    <w:rsid w:val="00DA2ED7"/>
    <w:rsid w:val="00DA3897"/>
    <w:rsid w:val="00DA3CED"/>
    <w:rsid w:val="00DA5987"/>
    <w:rsid w:val="00DB040D"/>
    <w:rsid w:val="00DB3C83"/>
    <w:rsid w:val="00DB4162"/>
    <w:rsid w:val="00DB453F"/>
    <w:rsid w:val="00DB5235"/>
    <w:rsid w:val="00DB6EB9"/>
    <w:rsid w:val="00DB7368"/>
    <w:rsid w:val="00DC244E"/>
    <w:rsid w:val="00DC3DC1"/>
    <w:rsid w:val="00DC5B45"/>
    <w:rsid w:val="00DC61D8"/>
    <w:rsid w:val="00DC6AA5"/>
    <w:rsid w:val="00DD2491"/>
    <w:rsid w:val="00DD2612"/>
    <w:rsid w:val="00DD361D"/>
    <w:rsid w:val="00DD60BF"/>
    <w:rsid w:val="00DD6E2A"/>
    <w:rsid w:val="00DD7811"/>
    <w:rsid w:val="00DE3992"/>
    <w:rsid w:val="00DE4BAB"/>
    <w:rsid w:val="00DE4ED1"/>
    <w:rsid w:val="00DE7B94"/>
    <w:rsid w:val="00DF0D30"/>
    <w:rsid w:val="00DF38B3"/>
    <w:rsid w:val="00DF442C"/>
    <w:rsid w:val="00DF4565"/>
    <w:rsid w:val="00DF492F"/>
    <w:rsid w:val="00E031F1"/>
    <w:rsid w:val="00E06268"/>
    <w:rsid w:val="00E07A7D"/>
    <w:rsid w:val="00E10D2F"/>
    <w:rsid w:val="00E12FCC"/>
    <w:rsid w:val="00E133BF"/>
    <w:rsid w:val="00E1349F"/>
    <w:rsid w:val="00E13B47"/>
    <w:rsid w:val="00E163D8"/>
    <w:rsid w:val="00E20C88"/>
    <w:rsid w:val="00E2177D"/>
    <w:rsid w:val="00E24109"/>
    <w:rsid w:val="00E24744"/>
    <w:rsid w:val="00E27573"/>
    <w:rsid w:val="00E3414D"/>
    <w:rsid w:val="00E3462A"/>
    <w:rsid w:val="00E37041"/>
    <w:rsid w:val="00E45300"/>
    <w:rsid w:val="00E45AB5"/>
    <w:rsid w:val="00E4726F"/>
    <w:rsid w:val="00E474C4"/>
    <w:rsid w:val="00E47C20"/>
    <w:rsid w:val="00E53A0D"/>
    <w:rsid w:val="00E53DA3"/>
    <w:rsid w:val="00E57E72"/>
    <w:rsid w:val="00E60EEC"/>
    <w:rsid w:val="00E614E6"/>
    <w:rsid w:val="00E621AA"/>
    <w:rsid w:val="00E637E9"/>
    <w:rsid w:val="00E6403F"/>
    <w:rsid w:val="00E64303"/>
    <w:rsid w:val="00E64447"/>
    <w:rsid w:val="00E65FFE"/>
    <w:rsid w:val="00E71543"/>
    <w:rsid w:val="00E71FE0"/>
    <w:rsid w:val="00E72B90"/>
    <w:rsid w:val="00E730E2"/>
    <w:rsid w:val="00E731E9"/>
    <w:rsid w:val="00E74E79"/>
    <w:rsid w:val="00E75165"/>
    <w:rsid w:val="00E75F74"/>
    <w:rsid w:val="00E8059A"/>
    <w:rsid w:val="00E82C33"/>
    <w:rsid w:val="00E83421"/>
    <w:rsid w:val="00E85D0B"/>
    <w:rsid w:val="00E87471"/>
    <w:rsid w:val="00E903E2"/>
    <w:rsid w:val="00E91496"/>
    <w:rsid w:val="00E918E7"/>
    <w:rsid w:val="00E927C4"/>
    <w:rsid w:val="00E9375D"/>
    <w:rsid w:val="00E9426F"/>
    <w:rsid w:val="00E94FBB"/>
    <w:rsid w:val="00E954A9"/>
    <w:rsid w:val="00E95B24"/>
    <w:rsid w:val="00E97303"/>
    <w:rsid w:val="00EA280E"/>
    <w:rsid w:val="00EA2A24"/>
    <w:rsid w:val="00EA37A6"/>
    <w:rsid w:val="00EA4F0A"/>
    <w:rsid w:val="00EA68E3"/>
    <w:rsid w:val="00EA6F13"/>
    <w:rsid w:val="00EB49A7"/>
    <w:rsid w:val="00EB555F"/>
    <w:rsid w:val="00EB6C06"/>
    <w:rsid w:val="00EB7721"/>
    <w:rsid w:val="00EC1F7F"/>
    <w:rsid w:val="00EC4434"/>
    <w:rsid w:val="00EC5A6C"/>
    <w:rsid w:val="00ED1243"/>
    <w:rsid w:val="00ED4032"/>
    <w:rsid w:val="00ED4736"/>
    <w:rsid w:val="00ED4C2A"/>
    <w:rsid w:val="00ED57DE"/>
    <w:rsid w:val="00ED5BAD"/>
    <w:rsid w:val="00ED5CB0"/>
    <w:rsid w:val="00ED5DB2"/>
    <w:rsid w:val="00ED7498"/>
    <w:rsid w:val="00EE21C5"/>
    <w:rsid w:val="00EE258D"/>
    <w:rsid w:val="00EE2ABE"/>
    <w:rsid w:val="00EE3E49"/>
    <w:rsid w:val="00EE4C58"/>
    <w:rsid w:val="00EF29D3"/>
    <w:rsid w:val="00EF3BD7"/>
    <w:rsid w:val="00EF4E1A"/>
    <w:rsid w:val="00EF70C2"/>
    <w:rsid w:val="00F0092F"/>
    <w:rsid w:val="00F06CA2"/>
    <w:rsid w:val="00F0744B"/>
    <w:rsid w:val="00F100D2"/>
    <w:rsid w:val="00F12FAA"/>
    <w:rsid w:val="00F14AB7"/>
    <w:rsid w:val="00F1580B"/>
    <w:rsid w:val="00F16034"/>
    <w:rsid w:val="00F1778B"/>
    <w:rsid w:val="00F17929"/>
    <w:rsid w:val="00F17BF6"/>
    <w:rsid w:val="00F20D5A"/>
    <w:rsid w:val="00F2432D"/>
    <w:rsid w:val="00F30894"/>
    <w:rsid w:val="00F3385B"/>
    <w:rsid w:val="00F34390"/>
    <w:rsid w:val="00F34541"/>
    <w:rsid w:val="00F34746"/>
    <w:rsid w:val="00F35E3D"/>
    <w:rsid w:val="00F427EA"/>
    <w:rsid w:val="00F44ED7"/>
    <w:rsid w:val="00F45176"/>
    <w:rsid w:val="00F5193F"/>
    <w:rsid w:val="00F51DE5"/>
    <w:rsid w:val="00F52EDD"/>
    <w:rsid w:val="00F549CC"/>
    <w:rsid w:val="00F54C0D"/>
    <w:rsid w:val="00F62766"/>
    <w:rsid w:val="00F63C9F"/>
    <w:rsid w:val="00F63F2A"/>
    <w:rsid w:val="00F64C6A"/>
    <w:rsid w:val="00F651D7"/>
    <w:rsid w:val="00F6597E"/>
    <w:rsid w:val="00F70351"/>
    <w:rsid w:val="00F768A2"/>
    <w:rsid w:val="00F814C6"/>
    <w:rsid w:val="00F818FB"/>
    <w:rsid w:val="00F81DBB"/>
    <w:rsid w:val="00F8433A"/>
    <w:rsid w:val="00F84AEF"/>
    <w:rsid w:val="00F91723"/>
    <w:rsid w:val="00F93C0D"/>
    <w:rsid w:val="00F94651"/>
    <w:rsid w:val="00F948DF"/>
    <w:rsid w:val="00F9785C"/>
    <w:rsid w:val="00FA470D"/>
    <w:rsid w:val="00FA47C9"/>
    <w:rsid w:val="00FA642E"/>
    <w:rsid w:val="00FB18A6"/>
    <w:rsid w:val="00FB294D"/>
    <w:rsid w:val="00FB43DD"/>
    <w:rsid w:val="00FB5028"/>
    <w:rsid w:val="00FC1A3E"/>
    <w:rsid w:val="00FC1B27"/>
    <w:rsid w:val="00FC1D4A"/>
    <w:rsid w:val="00FC51F5"/>
    <w:rsid w:val="00FC5313"/>
    <w:rsid w:val="00FC59FB"/>
    <w:rsid w:val="00FC5EE2"/>
    <w:rsid w:val="00FC6E1B"/>
    <w:rsid w:val="00FD2880"/>
    <w:rsid w:val="00FD324E"/>
    <w:rsid w:val="00FD350D"/>
    <w:rsid w:val="00FD76CF"/>
    <w:rsid w:val="00FE6BA5"/>
    <w:rsid w:val="00FE74C3"/>
    <w:rsid w:val="00FF025A"/>
    <w:rsid w:val="00FF2739"/>
    <w:rsid w:val="00FF3DDE"/>
    <w:rsid w:val="00FF5A5E"/>
    <w:rsid w:val="00FF68EF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54"/>
    <w:pPr>
      <w:spacing w:before="120" w:after="120" w:line="480" w:lineRule="auto"/>
    </w:pPr>
    <w:rPr>
      <w:rFonts w:ascii="Tahoma" w:eastAsia="Times New Roman" w:hAnsi="Tahoma"/>
      <w:sz w:val="22"/>
      <w:lang w:eastAsia="en-GB"/>
    </w:rPr>
  </w:style>
  <w:style w:type="paragraph" w:styleId="Heading1">
    <w:name w:val="heading 1"/>
    <w:next w:val="Normal"/>
    <w:link w:val="Heading1Char"/>
    <w:qFormat/>
    <w:rsid w:val="00CD6A54"/>
    <w:pPr>
      <w:keepNext/>
      <w:spacing w:before="480" w:after="240" w:line="480" w:lineRule="exact"/>
      <w:outlineLvl w:val="0"/>
    </w:pPr>
    <w:rPr>
      <w:rFonts w:ascii="Tahoma" w:eastAsia="Times New Roman" w:hAnsi="Tahoma"/>
      <w:b/>
      <w:sz w:val="28"/>
      <w:lang w:eastAsia="en-GB"/>
    </w:rPr>
  </w:style>
  <w:style w:type="paragraph" w:styleId="Heading2">
    <w:name w:val="heading 2"/>
    <w:next w:val="Normal"/>
    <w:link w:val="Heading2Char"/>
    <w:qFormat/>
    <w:rsid w:val="00CD6A54"/>
    <w:pPr>
      <w:keepNext/>
      <w:spacing w:after="240" w:line="480" w:lineRule="exact"/>
      <w:outlineLvl w:val="1"/>
    </w:pPr>
    <w:rPr>
      <w:rFonts w:ascii="Tahoma" w:eastAsia="Times New Roman" w:hAnsi="Tahoma"/>
      <w:b/>
      <w:sz w:val="24"/>
      <w:lang w:eastAsia="en-GB"/>
    </w:rPr>
  </w:style>
  <w:style w:type="paragraph" w:styleId="Heading3">
    <w:name w:val="heading 3"/>
    <w:next w:val="Normal"/>
    <w:link w:val="Heading3Char"/>
    <w:qFormat/>
    <w:rsid w:val="00CD6A54"/>
    <w:pPr>
      <w:keepNext/>
      <w:spacing w:after="240" w:line="480" w:lineRule="exact"/>
      <w:outlineLvl w:val="2"/>
    </w:pPr>
    <w:rPr>
      <w:rFonts w:ascii="Tahoma" w:eastAsia="Times New Roman" w:hAnsi="Tahoma"/>
      <w:b/>
      <w:i/>
      <w:sz w:val="24"/>
      <w:lang w:eastAsia="en-GB"/>
    </w:rPr>
  </w:style>
  <w:style w:type="paragraph" w:styleId="Heading4">
    <w:name w:val="heading 4"/>
    <w:next w:val="Normal"/>
    <w:link w:val="Heading4Char"/>
    <w:qFormat/>
    <w:rsid w:val="00CD6A54"/>
    <w:pPr>
      <w:keepNext/>
      <w:spacing w:after="240" w:line="480" w:lineRule="exact"/>
      <w:outlineLvl w:val="3"/>
    </w:pPr>
    <w:rPr>
      <w:rFonts w:ascii="Tahoma" w:eastAsia="Times New Roman" w:hAnsi="Tahoma"/>
      <w:i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  <w:rsid w:val="00CD6A5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D6A54"/>
  </w:style>
  <w:style w:type="character" w:customStyle="1" w:styleId="Heading1Char">
    <w:name w:val="Heading 1 Char"/>
    <w:basedOn w:val="DefaultParagraphFont"/>
    <w:link w:val="Heading1"/>
    <w:rsid w:val="00CD6A54"/>
    <w:rPr>
      <w:rFonts w:ascii="Tahoma" w:eastAsia="Times New Roman" w:hAnsi="Tahoma"/>
      <w:b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CD6A54"/>
    <w:rPr>
      <w:rFonts w:ascii="Tahoma" w:eastAsia="Times New Roman" w:hAnsi="Tahoma"/>
      <w:b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CD6A54"/>
    <w:rPr>
      <w:rFonts w:ascii="Tahoma" w:eastAsia="Times New Roman" w:hAnsi="Tahoma"/>
      <w:b/>
      <w:i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CD6A54"/>
    <w:rPr>
      <w:rFonts w:ascii="Tahoma" w:eastAsia="Times New Roman" w:hAnsi="Tahoma"/>
      <w:i/>
      <w:sz w:val="24"/>
      <w:lang w:eastAsia="en-GB"/>
    </w:rPr>
  </w:style>
  <w:style w:type="paragraph" w:customStyle="1" w:styleId="Boxedtextinsingletablecell">
    <w:name w:val="Boxed text (in single table cell)"/>
    <w:next w:val="Normal"/>
    <w:rsid w:val="00CD6A54"/>
    <w:pPr>
      <w:spacing w:before="240" w:after="240" w:line="480" w:lineRule="auto"/>
      <w:contextualSpacing/>
    </w:pPr>
    <w:rPr>
      <w:rFonts w:ascii="Tahoma" w:eastAsia="Times New Roman" w:hAnsi="Tahoma"/>
      <w:b/>
      <w:sz w:val="22"/>
      <w:szCs w:val="22"/>
      <w:lang w:eastAsia="en-GB"/>
    </w:rPr>
  </w:style>
  <w:style w:type="paragraph" w:customStyle="1" w:styleId="Callout--">
    <w:name w:val="Callout --"/>
    <w:next w:val="Normal"/>
    <w:autoRedefine/>
    <w:rsid w:val="00CD6A54"/>
    <w:pPr>
      <w:spacing w:after="240" w:line="480" w:lineRule="auto"/>
    </w:pPr>
    <w:rPr>
      <w:rFonts w:ascii="Tahoma" w:eastAsia="Times New Roman" w:hAnsi="Tahoma"/>
      <w:b/>
      <w:i/>
      <w:sz w:val="22"/>
      <w:lang w:eastAsia="en-GB"/>
    </w:rPr>
  </w:style>
  <w:style w:type="paragraph" w:customStyle="1" w:styleId="Projecttitle">
    <w:name w:val="Project title"/>
    <w:next w:val="Heading1"/>
    <w:rsid w:val="00CD6A54"/>
    <w:pPr>
      <w:keepNext/>
      <w:spacing w:after="600" w:line="480" w:lineRule="exact"/>
      <w:jc w:val="center"/>
    </w:pPr>
    <w:rPr>
      <w:rFonts w:ascii="Tahoma" w:eastAsia="Times New Roman" w:hAnsi="Tahoma"/>
      <w:b/>
      <w:sz w:val="32"/>
      <w:lang w:eastAsia="en-GB"/>
    </w:rPr>
  </w:style>
  <w:style w:type="paragraph" w:customStyle="1" w:styleId="Figureandtablelegend">
    <w:name w:val="Figure and table legend"/>
    <w:rsid w:val="00CD6A54"/>
    <w:pPr>
      <w:keepNext/>
      <w:keepLines/>
      <w:spacing w:after="240"/>
    </w:pPr>
    <w:rPr>
      <w:rFonts w:ascii="Tahoma" w:eastAsia="Times New Roman" w:hAnsi="Tahoma"/>
      <w:b/>
      <w:lang w:eastAsia="en-GB"/>
    </w:rPr>
  </w:style>
  <w:style w:type="paragraph" w:styleId="Footer">
    <w:name w:val="footer"/>
    <w:basedOn w:val="Normal"/>
    <w:link w:val="FooterChar"/>
    <w:rsid w:val="00CD6A54"/>
    <w:pPr>
      <w:tabs>
        <w:tab w:val="center" w:pos="4153"/>
        <w:tab w:val="right" w:pos="8306"/>
      </w:tabs>
      <w:spacing w:after="0" w:line="240" w:lineRule="auto"/>
      <w:contextualSpacing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CD6A54"/>
    <w:rPr>
      <w:rFonts w:ascii="Tahoma" w:eastAsia="Times New Roman" w:hAnsi="Tahoma"/>
      <w:sz w:val="18"/>
      <w:lang w:eastAsia="en-GB"/>
    </w:rPr>
  </w:style>
  <w:style w:type="paragraph" w:styleId="Header">
    <w:name w:val="header"/>
    <w:basedOn w:val="Normal"/>
    <w:link w:val="HeaderChar"/>
    <w:rsid w:val="00CD6A54"/>
    <w:pPr>
      <w:tabs>
        <w:tab w:val="center" w:pos="4153"/>
        <w:tab w:val="right" w:pos="8306"/>
      </w:tabs>
      <w:spacing w:before="0" w:line="240" w:lineRule="auto"/>
      <w:contextualSpacing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D6A54"/>
    <w:rPr>
      <w:rFonts w:ascii="Tahoma" w:eastAsia="Times New Roman" w:hAnsi="Tahoma"/>
      <w:sz w:val="18"/>
      <w:lang w:eastAsia="en-GB"/>
    </w:rPr>
  </w:style>
  <w:style w:type="paragraph" w:customStyle="1" w:styleId="References">
    <w:name w:val="References"/>
    <w:rsid w:val="00CD6A54"/>
    <w:pPr>
      <w:tabs>
        <w:tab w:val="right" w:pos="576"/>
      </w:tabs>
      <w:spacing w:after="120"/>
      <w:ind w:left="357" w:hanging="357"/>
    </w:pPr>
    <w:rPr>
      <w:rFonts w:ascii="Tahoma" w:eastAsia="Times New Roman" w:hAnsi="Tahoma"/>
      <w:lang w:eastAsia="en-GB"/>
    </w:rPr>
  </w:style>
  <w:style w:type="paragraph" w:customStyle="1" w:styleId="SummaryorBiography">
    <w:name w:val="Summary or Biography"/>
    <w:next w:val="Normal"/>
    <w:rsid w:val="00CD6A54"/>
    <w:pPr>
      <w:spacing w:after="240" w:line="480" w:lineRule="auto"/>
      <w:contextualSpacing/>
    </w:pPr>
    <w:rPr>
      <w:rFonts w:ascii="Tahoma" w:eastAsia="Times New Roman" w:hAnsi="Tahoma"/>
      <w:i/>
      <w:sz w:val="22"/>
      <w:lang w:eastAsia="en-GB"/>
    </w:rPr>
  </w:style>
  <w:style w:type="paragraph" w:customStyle="1" w:styleId="Tabletext">
    <w:name w:val="Table text"/>
    <w:rsid w:val="00CD6A54"/>
    <w:pPr>
      <w:spacing w:before="40" w:after="40"/>
    </w:pPr>
    <w:rPr>
      <w:rFonts w:ascii="Tahoma" w:eastAsia="Times New Roman" w:hAnsi="Tahoma"/>
      <w:lang w:eastAsia="en-GB"/>
    </w:rPr>
  </w:style>
  <w:style w:type="paragraph" w:customStyle="1" w:styleId="Tablebullet1">
    <w:name w:val="Table bullet 1"/>
    <w:basedOn w:val="Tabletext"/>
    <w:rsid w:val="00CD6A54"/>
    <w:pPr>
      <w:numPr>
        <w:numId w:val="7"/>
      </w:numPr>
    </w:pPr>
  </w:style>
  <w:style w:type="paragraph" w:customStyle="1" w:styleId="Bullet2">
    <w:name w:val="Bullet 2"/>
    <w:basedOn w:val="Bullet1"/>
    <w:rsid w:val="00CD6A54"/>
    <w:pPr>
      <w:numPr>
        <w:numId w:val="2"/>
      </w:numPr>
    </w:pPr>
  </w:style>
  <w:style w:type="paragraph" w:customStyle="1" w:styleId="Notetoclient">
    <w:name w:val="[Note to client]"/>
    <w:basedOn w:val="Normal"/>
    <w:rsid w:val="00CD6A54"/>
    <w:pPr>
      <w:shd w:val="clear" w:color="auto" w:fill="FFFF00"/>
      <w:spacing w:after="240"/>
    </w:pPr>
    <w:rPr>
      <w:b/>
      <w:color w:val="004FA3"/>
    </w:rPr>
  </w:style>
  <w:style w:type="paragraph" w:customStyle="1" w:styleId="Bullet1">
    <w:name w:val="Bullet 1"/>
    <w:rsid w:val="00CD6A54"/>
    <w:pPr>
      <w:numPr>
        <w:numId w:val="1"/>
      </w:numPr>
      <w:spacing w:before="120" w:after="120" w:line="480" w:lineRule="auto"/>
      <w:contextualSpacing/>
    </w:pPr>
    <w:rPr>
      <w:rFonts w:ascii="Tahoma" w:eastAsia="Times New Roman" w:hAnsi="Tahoma"/>
      <w:sz w:val="22"/>
      <w:szCs w:val="24"/>
      <w:lang w:eastAsia="en-GB"/>
    </w:rPr>
  </w:style>
  <w:style w:type="paragraph" w:styleId="BalloonText">
    <w:name w:val="Balloon Text"/>
    <w:basedOn w:val="Normal"/>
    <w:link w:val="BalloonTextChar"/>
    <w:semiHidden/>
    <w:rsid w:val="00CD6A5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6A54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Figurefootnote">
    <w:name w:val="Figure footnote"/>
    <w:basedOn w:val="Normal"/>
    <w:rsid w:val="00CD6A54"/>
    <w:pPr>
      <w:spacing w:after="480" w:line="240" w:lineRule="auto"/>
      <w:contextualSpacing/>
    </w:pPr>
    <w:rPr>
      <w:b/>
      <w:sz w:val="20"/>
    </w:rPr>
  </w:style>
  <w:style w:type="paragraph" w:customStyle="1" w:styleId="NotetoStudio">
    <w:name w:val="[Note to Studio]"/>
    <w:basedOn w:val="Normal"/>
    <w:rsid w:val="00CD6A54"/>
    <w:rPr>
      <w:b/>
      <w:color w:val="00A1DE"/>
      <w:szCs w:val="22"/>
    </w:rPr>
  </w:style>
  <w:style w:type="paragraph" w:customStyle="1" w:styleId="Tablefootnote">
    <w:name w:val="Table footnote"/>
    <w:basedOn w:val="Tabletext"/>
    <w:rsid w:val="00CD6A54"/>
    <w:pPr>
      <w:spacing w:after="480"/>
    </w:pPr>
  </w:style>
  <w:style w:type="paragraph" w:customStyle="1" w:styleId="Bullet3">
    <w:name w:val="Bullet 3"/>
    <w:basedOn w:val="Bullet2"/>
    <w:rsid w:val="00CD6A54"/>
    <w:pPr>
      <w:numPr>
        <w:numId w:val="3"/>
      </w:numPr>
    </w:pPr>
  </w:style>
  <w:style w:type="paragraph" w:customStyle="1" w:styleId="Pre-ContentsHeading1">
    <w:name w:val="Pre-Contents Heading 1"/>
    <w:basedOn w:val="Normal"/>
    <w:next w:val="Normal"/>
    <w:rsid w:val="00CD6A54"/>
    <w:pPr>
      <w:keepNext/>
      <w:keepLines/>
      <w:spacing w:before="0" w:after="240" w:line="480" w:lineRule="exact"/>
      <w:jc w:val="center"/>
    </w:pPr>
    <w:rPr>
      <w:b/>
      <w:sz w:val="28"/>
    </w:rPr>
  </w:style>
  <w:style w:type="paragraph" w:customStyle="1" w:styleId="Glossary">
    <w:name w:val="Glossary:"/>
    <w:basedOn w:val="References"/>
    <w:rsid w:val="00CD6A54"/>
    <w:pPr>
      <w:spacing w:line="360" w:lineRule="auto"/>
      <w:ind w:left="0" w:firstLine="0"/>
    </w:pPr>
  </w:style>
  <w:style w:type="table" w:styleId="TableGrid">
    <w:name w:val="Table Grid"/>
    <w:basedOn w:val="TableNormal"/>
    <w:rsid w:val="00CD6A54"/>
    <w:pPr>
      <w:spacing w:before="40" w:after="40"/>
    </w:pPr>
    <w:rPr>
      <w:rFonts w:ascii="Tahoma" w:eastAsia="Times New Roman" w:hAnsi="Tahom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</w:pPr>
      <w:rPr>
        <w:rFonts w:ascii="Arial Unicode MS" w:hAnsi="Arial Unicode MS"/>
        <w:b/>
        <w:i w:val="0"/>
        <w:sz w:val="20"/>
        <w:szCs w:val="20"/>
      </w:rPr>
    </w:tblStylePr>
    <w:tblStylePr w:type="lastRow">
      <w:rPr>
        <w:b w:val="0"/>
        <w:i w:val="0"/>
        <w:iCs/>
        <w:sz w:val="20"/>
        <w:szCs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 Unicode MS" w:hAnsi="Arial Unicode MS"/>
        <w:b w:val="0"/>
        <w:i w:val="0"/>
        <w:iCs/>
        <w:sz w:val="20"/>
        <w:szCs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rsid w:val="00CD6A54"/>
    <w:pPr>
      <w:spacing w:line="240" w:lineRule="auto"/>
    </w:pPr>
    <w:rPr>
      <w:sz w:val="20"/>
    </w:rPr>
  </w:style>
  <w:style w:type="paragraph" w:styleId="TOC2">
    <w:name w:val="toc 2"/>
    <w:basedOn w:val="Normal"/>
    <w:next w:val="Normal"/>
    <w:autoRedefine/>
    <w:rsid w:val="00CD6A54"/>
    <w:pPr>
      <w:spacing w:line="240" w:lineRule="auto"/>
      <w:ind w:left="220"/>
    </w:pPr>
    <w:rPr>
      <w:sz w:val="20"/>
    </w:rPr>
  </w:style>
  <w:style w:type="paragraph" w:styleId="TOC3">
    <w:name w:val="toc 3"/>
    <w:basedOn w:val="Normal"/>
    <w:next w:val="Normal"/>
    <w:autoRedefine/>
    <w:rsid w:val="00CD6A54"/>
    <w:pPr>
      <w:spacing w:line="240" w:lineRule="auto"/>
      <w:ind w:left="440"/>
    </w:pPr>
    <w:rPr>
      <w:sz w:val="20"/>
    </w:rPr>
  </w:style>
  <w:style w:type="paragraph" w:styleId="TOC4">
    <w:name w:val="toc 4"/>
    <w:basedOn w:val="Normal"/>
    <w:next w:val="Normal"/>
    <w:autoRedefine/>
    <w:rsid w:val="00CD6A54"/>
    <w:pPr>
      <w:spacing w:line="240" w:lineRule="auto"/>
      <w:ind w:left="660"/>
    </w:pPr>
    <w:rPr>
      <w:sz w:val="20"/>
    </w:rPr>
  </w:style>
  <w:style w:type="paragraph" w:customStyle="1" w:styleId="Numberedlist">
    <w:name w:val="Numbered list"/>
    <w:basedOn w:val="Normal"/>
    <w:rsid w:val="00CD6A54"/>
    <w:pPr>
      <w:numPr>
        <w:numId w:val="4"/>
      </w:numPr>
      <w:ind w:left="357" w:hanging="357"/>
      <w:contextualSpacing/>
    </w:pPr>
  </w:style>
  <w:style w:type="paragraph" w:customStyle="1" w:styleId="Tablebullet2">
    <w:name w:val="Table bullet 2"/>
    <w:basedOn w:val="Tablebullet1"/>
    <w:rsid w:val="00CD6A54"/>
    <w:pPr>
      <w:numPr>
        <w:numId w:val="14"/>
      </w:numPr>
    </w:pPr>
  </w:style>
  <w:style w:type="paragraph" w:customStyle="1" w:styleId="Tablebullet3">
    <w:name w:val="Table bullet 3"/>
    <w:basedOn w:val="Tablebullet2"/>
    <w:rsid w:val="00CD6A5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D0C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7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B9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B95"/>
    <w:rPr>
      <w:rFonts w:ascii="Tahoma" w:eastAsia="Times New Roman" w:hAnsi="Tahom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B95"/>
    <w:rPr>
      <w:rFonts w:ascii="Tahoma" w:eastAsia="Times New Roman" w:hAnsi="Tahoma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E6BD2"/>
    <w:pPr>
      <w:spacing w:before="0"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Revision">
    <w:name w:val="Revision"/>
    <w:hidden/>
    <w:uiPriority w:val="99"/>
    <w:semiHidden/>
    <w:rsid w:val="00E614E6"/>
    <w:rPr>
      <w:rFonts w:ascii="Tahoma" w:eastAsia="Times New Roman" w:hAnsi="Tahoma"/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E2177D"/>
    <w:rPr>
      <w:color w:val="0000FF"/>
      <w:u w:val="single"/>
    </w:rPr>
  </w:style>
  <w:style w:type="character" w:customStyle="1" w:styleId="highlight">
    <w:name w:val="highlight"/>
    <w:basedOn w:val="DefaultParagraphFont"/>
    <w:rsid w:val="00F12FAA"/>
  </w:style>
  <w:style w:type="character" w:customStyle="1" w:styleId="st">
    <w:name w:val="st"/>
    <w:basedOn w:val="DefaultParagraphFont"/>
    <w:rsid w:val="00F12FAA"/>
  </w:style>
  <w:style w:type="paragraph" w:styleId="PlainText">
    <w:name w:val="Plain Text"/>
    <w:basedOn w:val="Normal"/>
    <w:link w:val="PlainTextChar"/>
    <w:uiPriority w:val="99"/>
    <w:unhideWhenUsed/>
    <w:rsid w:val="00C169CD"/>
    <w:pPr>
      <w:spacing w:before="0"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169CD"/>
    <w:rPr>
      <w:rFonts w:ascii="Calibri" w:hAnsi="Calibri" w:cs="Consolas"/>
      <w:sz w:val="22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F33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54"/>
    <w:pPr>
      <w:spacing w:before="120" w:after="120" w:line="480" w:lineRule="auto"/>
    </w:pPr>
    <w:rPr>
      <w:rFonts w:ascii="Tahoma" w:eastAsia="Times New Roman" w:hAnsi="Tahoma"/>
      <w:sz w:val="22"/>
      <w:lang w:eastAsia="en-GB"/>
    </w:rPr>
  </w:style>
  <w:style w:type="paragraph" w:styleId="Heading1">
    <w:name w:val="heading 1"/>
    <w:next w:val="Normal"/>
    <w:link w:val="Heading1Char"/>
    <w:qFormat/>
    <w:rsid w:val="00CD6A54"/>
    <w:pPr>
      <w:keepNext/>
      <w:spacing w:before="480" w:after="240" w:line="480" w:lineRule="exact"/>
      <w:outlineLvl w:val="0"/>
    </w:pPr>
    <w:rPr>
      <w:rFonts w:ascii="Tahoma" w:eastAsia="Times New Roman" w:hAnsi="Tahoma"/>
      <w:b/>
      <w:sz w:val="28"/>
      <w:lang w:eastAsia="en-GB"/>
    </w:rPr>
  </w:style>
  <w:style w:type="paragraph" w:styleId="Heading2">
    <w:name w:val="heading 2"/>
    <w:next w:val="Normal"/>
    <w:link w:val="Heading2Char"/>
    <w:qFormat/>
    <w:rsid w:val="00CD6A54"/>
    <w:pPr>
      <w:keepNext/>
      <w:spacing w:after="240" w:line="480" w:lineRule="exact"/>
      <w:outlineLvl w:val="1"/>
    </w:pPr>
    <w:rPr>
      <w:rFonts w:ascii="Tahoma" w:eastAsia="Times New Roman" w:hAnsi="Tahoma"/>
      <w:b/>
      <w:sz w:val="24"/>
      <w:lang w:eastAsia="en-GB"/>
    </w:rPr>
  </w:style>
  <w:style w:type="paragraph" w:styleId="Heading3">
    <w:name w:val="heading 3"/>
    <w:next w:val="Normal"/>
    <w:link w:val="Heading3Char"/>
    <w:qFormat/>
    <w:rsid w:val="00CD6A54"/>
    <w:pPr>
      <w:keepNext/>
      <w:spacing w:after="240" w:line="480" w:lineRule="exact"/>
      <w:outlineLvl w:val="2"/>
    </w:pPr>
    <w:rPr>
      <w:rFonts w:ascii="Tahoma" w:eastAsia="Times New Roman" w:hAnsi="Tahoma"/>
      <w:b/>
      <w:i/>
      <w:sz w:val="24"/>
      <w:lang w:eastAsia="en-GB"/>
    </w:rPr>
  </w:style>
  <w:style w:type="paragraph" w:styleId="Heading4">
    <w:name w:val="heading 4"/>
    <w:next w:val="Normal"/>
    <w:link w:val="Heading4Char"/>
    <w:qFormat/>
    <w:rsid w:val="00CD6A54"/>
    <w:pPr>
      <w:keepNext/>
      <w:spacing w:after="240" w:line="480" w:lineRule="exact"/>
      <w:outlineLvl w:val="3"/>
    </w:pPr>
    <w:rPr>
      <w:rFonts w:ascii="Tahoma" w:eastAsia="Times New Roman" w:hAnsi="Tahoma"/>
      <w:i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  <w:rsid w:val="00CD6A5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D6A54"/>
  </w:style>
  <w:style w:type="character" w:customStyle="1" w:styleId="Heading1Char">
    <w:name w:val="Heading 1 Char"/>
    <w:basedOn w:val="DefaultParagraphFont"/>
    <w:link w:val="Heading1"/>
    <w:rsid w:val="00CD6A54"/>
    <w:rPr>
      <w:rFonts w:ascii="Tahoma" w:eastAsia="Times New Roman" w:hAnsi="Tahoma"/>
      <w:b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CD6A54"/>
    <w:rPr>
      <w:rFonts w:ascii="Tahoma" w:eastAsia="Times New Roman" w:hAnsi="Tahoma"/>
      <w:b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CD6A54"/>
    <w:rPr>
      <w:rFonts w:ascii="Tahoma" w:eastAsia="Times New Roman" w:hAnsi="Tahoma"/>
      <w:b/>
      <w:i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CD6A54"/>
    <w:rPr>
      <w:rFonts w:ascii="Tahoma" w:eastAsia="Times New Roman" w:hAnsi="Tahoma"/>
      <w:i/>
      <w:sz w:val="24"/>
      <w:lang w:eastAsia="en-GB"/>
    </w:rPr>
  </w:style>
  <w:style w:type="paragraph" w:customStyle="1" w:styleId="Boxedtextinsingletablecell">
    <w:name w:val="Boxed text (in single table cell)"/>
    <w:next w:val="Normal"/>
    <w:rsid w:val="00CD6A54"/>
    <w:pPr>
      <w:spacing w:before="240" w:after="240" w:line="480" w:lineRule="auto"/>
      <w:contextualSpacing/>
    </w:pPr>
    <w:rPr>
      <w:rFonts w:ascii="Tahoma" w:eastAsia="Times New Roman" w:hAnsi="Tahoma"/>
      <w:b/>
      <w:sz w:val="22"/>
      <w:szCs w:val="22"/>
      <w:lang w:eastAsia="en-GB"/>
    </w:rPr>
  </w:style>
  <w:style w:type="paragraph" w:customStyle="1" w:styleId="Callout--">
    <w:name w:val="Callout --"/>
    <w:next w:val="Normal"/>
    <w:autoRedefine/>
    <w:rsid w:val="00CD6A54"/>
    <w:pPr>
      <w:spacing w:after="240" w:line="480" w:lineRule="auto"/>
    </w:pPr>
    <w:rPr>
      <w:rFonts w:ascii="Tahoma" w:eastAsia="Times New Roman" w:hAnsi="Tahoma"/>
      <w:b/>
      <w:i/>
      <w:sz w:val="22"/>
      <w:lang w:eastAsia="en-GB"/>
    </w:rPr>
  </w:style>
  <w:style w:type="paragraph" w:customStyle="1" w:styleId="Projecttitle">
    <w:name w:val="Project title"/>
    <w:next w:val="Heading1"/>
    <w:rsid w:val="00CD6A54"/>
    <w:pPr>
      <w:keepNext/>
      <w:spacing w:after="600" w:line="480" w:lineRule="exact"/>
      <w:jc w:val="center"/>
    </w:pPr>
    <w:rPr>
      <w:rFonts w:ascii="Tahoma" w:eastAsia="Times New Roman" w:hAnsi="Tahoma"/>
      <w:b/>
      <w:sz w:val="32"/>
      <w:lang w:eastAsia="en-GB"/>
    </w:rPr>
  </w:style>
  <w:style w:type="paragraph" w:customStyle="1" w:styleId="Figureandtablelegend">
    <w:name w:val="Figure and table legend"/>
    <w:rsid w:val="00CD6A54"/>
    <w:pPr>
      <w:keepNext/>
      <w:keepLines/>
      <w:spacing w:after="240"/>
    </w:pPr>
    <w:rPr>
      <w:rFonts w:ascii="Tahoma" w:eastAsia="Times New Roman" w:hAnsi="Tahoma"/>
      <w:b/>
      <w:lang w:eastAsia="en-GB"/>
    </w:rPr>
  </w:style>
  <w:style w:type="paragraph" w:styleId="Footer">
    <w:name w:val="footer"/>
    <w:basedOn w:val="Normal"/>
    <w:link w:val="FooterChar"/>
    <w:rsid w:val="00CD6A54"/>
    <w:pPr>
      <w:tabs>
        <w:tab w:val="center" w:pos="4153"/>
        <w:tab w:val="right" w:pos="8306"/>
      </w:tabs>
      <w:spacing w:after="0" w:line="240" w:lineRule="auto"/>
      <w:contextualSpacing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CD6A54"/>
    <w:rPr>
      <w:rFonts w:ascii="Tahoma" w:eastAsia="Times New Roman" w:hAnsi="Tahoma"/>
      <w:sz w:val="18"/>
      <w:lang w:eastAsia="en-GB"/>
    </w:rPr>
  </w:style>
  <w:style w:type="paragraph" w:styleId="Header">
    <w:name w:val="header"/>
    <w:basedOn w:val="Normal"/>
    <w:link w:val="HeaderChar"/>
    <w:rsid w:val="00CD6A54"/>
    <w:pPr>
      <w:tabs>
        <w:tab w:val="center" w:pos="4153"/>
        <w:tab w:val="right" w:pos="8306"/>
      </w:tabs>
      <w:spacing w:before="0" w:line="240" w:lineRule="auto"/>
      <w:contextualSpacing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D6A54"/>
    <w:rPr>
      <w:rFonts w:ascii="Tahoma" w:eastAsia="Times New Roman" w:hAnsi="Tahoma"/>
      <w:sz w:val="18"/>
      <w:lang w:eastAsia="en-GB"/>
    </w:rPr>
  </w:style>
  <w:style w:type="paragraph" w:customStyle="1" w:styleId="References">
    <w:name w:val="References"/>
    <w:rsid w:val="00CD6A54"/>
    <w:pPr>
      <w:tabs>
        <w:tab w:val="right" w:pos="576"/>
      </w:tabs>
      <w:spacing w:after="120"/>
      <w:ind w:left="357" w:hanging="357"/>
    </w:pPr>
    <w:rPr>
      <w:rFonts w:ascii="Tahoma" w:eastAsia="Times New Roman" w:hAnsi="Tahoma"/>
      <w:lang w:eastAsia="en-GB"/>
    </w:rPr>
  </w:style>
  <w:style w:type="paragraph" w:customStyle="1" w:styleId="SummaryorBiography">
    <w:name w:val="Summary or Biography"/>
    <w:next w:val="Normal"/>
    <w:rsid w:val="00CD6A54"/>
    <w:pPr>
      <w:spacing w:after="240" w:line="480" w:lineRule="auto"/>
      <w:contextualSpacing/>
    </w:pPr>
    <w:rPr>
      <w:rFonts w:ascii="Tahoma" w:eastAsia="Times New Roman" w:hAnsi="Tahoma"/>
      <w:i/>
      <w:sz w:val="22"/>
      <w:lang w:eastAsia="en-GB"/>
    </w:rPr>
  </w:style>
  <w:style w:type="paragraph" w:customStyle="1" w:styleId="Tabletext">
    <w:name w:val="Table text"/>
    <w:rsid w:val="00CD6A54"/>
    <w:pPr>
      <w:spacing w:before="40" w:after="40"/>
    </w:pPr>
    <w:rPr>
      <w:rFonts w:ascii="Tahoma" w:eastAsia="Times New Roman" w:hAnsi="Tahoma"/>
      <w:lang w:eastAsia="en-GB"/>
    </w:rPr>
  </w:style>
  <w:style w:type="paragraph" w:customStyle="1" w:styleId="Tablebullet1">
    <w:name w:val="Table bullet 1"/>
    <w:basedOn w:val="Tabletext"/>
    <w:rsid w:val="00CD6A54"/>
    <w:pPr>
      <w:numPr>
        <w:numId w:val="7"/>
      </w:numPr>
    </w:pPr>
  </w:style>
  <w:style w:type="paragraph" w:customStyle="1" w:styleId="Bullet2">
    <w:name w:val="Bullet 2"/>
    <w:basedOn w:val="Bullet1"/>
    <w:rsid w:val="00CD6A54"/>
    <w:pPr>
      <w:numPr>
        <w:numId w:val="2"/>
      </w:numPr>
    </w:pPr>
  </w:style>
  <w:style w:type="paragraph" w:customStyle="1" w:styleId="Notetoclient">
    <w:name w:val="[Note to client]"/>
    <w:basedOn w:val="Normal"/>
    <w:rsid w:val="00CD6A54"/>
    <w:pPr>
      <w:shd w:val="clear" w:color="auto" w:fill="FFFF00"/>
      <w:spacing w:after="240"/>
    </w:pPr>
    <w:rPr>
      <w:b/>
      <w:color w:val="004FA3"/>
    </w:rPr>
  </w:style>
  <w:style w:type="paragraph" w:customStyle="1" w:styleId="Bullet1">
    <w:name w:val="Bullet 1"/>
    <w:rsid w:val="00CD6A54"/>
    <w:pPr>
      <w:numPr>
        <w:numId w:val="1"/>
      </w:numPr>
      <w:spacing w:before="120" w:after="120" w:line="480" w:lineRule="auto"/>
      <w:contextualSpacing/>
    </w:pPr>
    <w:rPr>
      <w:rFonts w:ascii="Tahoma" w:eastAsia="Times New Roman" w:hAnsi="Tahoma"/>
      <w:sz w:val="22"/>
      <w:szCs w:val="24"/>
      <w:lang w:eastAsia="en-GB"/>
    </w:rPr>
  </w:style>
  <w:style w:type="paragraph" w:styleId="BalloonText">
    <w:name w:val="Balloon Text"/>
    <w:basedOn w:val="Normal"/>
    <w:link w:val="BalloonTextChar"/>
    <w:semiHidden/>
    <w:rsid w:val="00CD6A5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6A54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Figurefootnote">
    <w:name w:val="Figure footnote"/>
    <w:basedOn w:val="Normal"/>
    <w:rsid w:val="00CD6A54"/>
    <w:pPr>
      <w:spacing w:after="480" w:line="240" w:lineRule="auto"/>
      <w:contextualSpacing/>
    </w:pPr>
    <w:rPr>
      <w:b/>
      <w:sz w:val="20"/>
    </w:rPr>
  </w:style>
  <w:style w:type="paragraph" w:customStyle="1" w:styleId="NotetoStudio">
    <w:name w:val="[Note to Studio]"/>
    <w:basedOn w:val="Normal"/>
    <w:rsid w:val="00CD6A54"/>
    <w:rPr>
      <w:b/>
      <w:color w:val="00A1DE"/>
      <w:szCs w:val="22"/>
    </w:rPr>
  </w:style>
  <w:style w:type="paragraph" w:customStyle="1" w:styleId="Tablefootnote">
    <w:name w:val="Table footnote"/>
    <w:basedOn w:val="Tabletext"/>
    <w:rsid w:val="00CD6A54"/>
    <w:pPr>
      <w:spacing w:after="480"/>
    </w:pPr>
  </w:style>
  <w:style w:type="paragraph" w:customStyle="1" w:styleId="Bullet3">
    <w:name w:val="Bullet 3"/>
    <w:basedOn w:val="Bullet2"/>
    <w:rsid w:val="00CD6A54"/>
    <w:pPr>
      <w:numPr>
        <w:numId w:val="3"/>
      </w:numPr>
    </w:pPr>
  </w:style>
  <w:style w:type="paragraph" w:customStyle="1" w:styleId="Pre-ContentsHeading1">
    <w:name w:val="Pre-Contents Heading 1"/>
    <w:basedOn w:val="Normal"/>
    <w:next w:val="Normal"/>
    <w:rsid w:val="00CD6A54"/>
    <w:pPr>
      <w:keepNext/>
      <w:keepLines/>
      <w:spacing w:before="0" w:after="240" w:line="480" w:lineRule="exact"/>
      <w:jc w:val="center"/>
    </w:pPr>
    <w:rPr>
      <w:b/>
      <w:sz w:val="28"/>
    </w:rPr>
  </w:style>
  <w:style w:type="paragraph" w:customStyle="1" w:styleId="Glossary">
    <w:name w:val="Glossary:"/>
    <w:basedOn w:val="References"/>
    <w:rsid w:val="00CD6A54"/>
    <w:pPr>
      <w:spacing w:line="360" w:lineRule="auto"/>
      <w:ind w:left="0" w:firstLine="0"/>
    </w:pPr>
  </w:style>
  <w:style w:type="table" w:styleId="TableGrid">
    <w:name w:val="Table Grid"/>
    <w:basedOn w:val="TableNormal"/>
    <w:rsid w:val="00CD6A54"/>
    <w:pPr>
      <w:spacing w:before="40" w:after="40"/>
    </w:pPr>
    <w:rPr>
      <w:rFonts w:ascii="Tahoma" w:eastAsia="Times New Roman" w:hAnsi="Tahom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</w:pPr>
      <w:rPr>
        <w:rFonts w:ascii="Arial Unicode MS" w:hAnsi="Arial Unicode MS"/>
        <w:b/>
        <w:i w:val="0"/>
        <w:sz w:val="20"/>
        <w:szCs w:val="20"/>
      </w:rPr>
    </w:tblStylePr>
    <w:tblStylePr w:type="lastRow">
      <w:rPr>
        <w:b w:val="0"/>
        <w:i w:val="0"/>
        <w:iCs/>
        <w:sz w:val="20"/>
        <w:szCs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 Unicode MS" w:hAnsi="Arial Unicode MS"/>
        <w:b w:val="0"/>
        <w:i w:val="0"/>
        <w:iCs/>
        <w:sz w:val="20"/>
        <w:szCs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rsid w:val="00CD6A54"/>
    <w:pPr>
      <w:spacing w:line="240" w:lineRule="auto"/>
    </w:pPr>
    <w:rPr>
      <w:sz w:val="20"/>
    </w:rPr>
  </w:style>
  <w:style w:type="paragraph" w:styleId="TOC2">
    <w:name w:val="toc 2"/>
    <w:basedOn w:val="Normal"/>
    <w:next w:val="Normal"/>
    <w:autoRedefine/>
    <w:rsid w:val="00CD6A54"/>
    <w:pPr>
      <w:spacing w:line="240" w:lineRule="auto"/>
      <w:ind w:left="220"/>
    </w:pPr>
    <w:rPr>
      <w:sz w:val="20"/>
    </w:rPr>
  </w:style>
  <w:style w:type="paragraph" w:styleId="TOC3">
    <w:name w:val="toc 3"/>
    <w:basedOn w:val="Normal"/>
    <w:next w:val="Normal"/>
    <w:autoRedefine/>
    <w:rsid w:val="00CD6A54"/>
    <w:pPr>
      <w:spacing w:line="240" w:lineRule="auto"/>
      <w:ind w:left="440"/>
    </w:pPr>
    <w:rPr>
      <w:sz w:val="20"/>
    </w:rPr>
  </w:style>
  <w:style w:type="paragraph" w:styleId="TOC4">
    <w:name w:val="toc 4"/>
    <w:basedOn w:val="Normal"/>
    <w:next w:val="Normal"/>
    <w:autoRedefine/>
    <w:rsid w:val="00CD6A54"/>
    <w:pPr>
      <w:spacing w:line="240" w:lineRule="auto"/>
      <w:ind w:left="660"/>
    </w:pPr>
    <w:rPr>
      <w:sz w:val="20"/>
    </w:rPr>
  </w:style>
  <w:style w:type="paragraph" w:customStyle="1" w:styleId="Numberedlist">
    <w:name w:val="Numbered list"/>
    <w:basedOn w:val="Normal"/>
    <w:rsid w:val="00CD6A54"/>
    <w:pPr>
      <w:numPr>
        <w:numId w:val="4"/>
      </w:numPr>
      <w:ind w:left="357" w:hanging="357"/>
      <w:contextualSpacing/>
    </w:pPr>
  </w:style>
  <w:style w:type="paragraph" w:customStyle="1" w:styleId="Tablebullet2">
    <w:name w:val="Table bullet 2"/>
    <w:basedOn w:val="Tablebullet1"/>
    <w:rsid w:val="00CD6A54"/>
    <w:pPr>
      <w:numPr>
        <w:numId w:val="14"/>
      </w:numPr>
    </w:pPr>
  </w:style>
  <w:style w:type="paragraph" w:customStyle="1" w:styleId="Tablebullet3">
    <w:name w:val="Table bullet 3"/>
    <w:basedOn w:val="Tablebullet2"/>
    <w:rsid w:val="00CD6A5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D0C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7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B9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B95"/>
    <w:rPr>
      <w:rFonts w:ascii="Tahoma" w:eastAsia="Times New Roman" w:hAnsi="Tahom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B95"/>
    <w:rPr>
      <w:rFonts w:ascii="Tahoma" w:eastAsia="Times New Roman" w:hAnsi="Tahoma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E6BD2"/>
    <w:pPr>
      <w:spacing w:before="0"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Revision">
    <w:name w:val="Revision"/>
    <w:hidden/>
    <w:uiPriority w:val="99"/>
    <w:semiHidden/>
    <w:rsid w:val="00E614E6"/>
    <w:rPr>
      <w:rFonts w:ascii="Tahoma" w:eastAsia="Times New Roman" w:hAnsi="Tahoma"/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E2177D"/>
    <w:rPr>
      <w:color w:val="0000FF"/>
      <w:u w:val="single"/>
    </w:rPr>
  </w:style>
  <w:style w:type="character" w:customStyle="1" w:styleId="highlight">
    <w:name w:val="highlight"/>
    <w:basedOn w:val="DefaultParagraphFont"/>
    <w:rsid w:val="00F12FAA"/>
  </w:style>
  <w:style w:type="character" w:customStyle="1" w:styleId="st">
    <w:name w:val="st"/>
    <w:basedOn w:val="DefaultParagraphFont"/>
    <w:rsid w:val="00F12FAA"/>
  </w:style>
  <w:style w:type="paragraph" w:styleId="PlainText">
    <w:name w:val="Plain Text"/>
    <w:basedOn w:val="Normal"/>
    <w:link w:val="PlainTextChar"/>
    <w:uiPriority w:val="99"/>
    <w:unhideWhenUsed/>
    <w:rsid w:val="00C169CD"/>
    <w:pPr>
      <w:spacing w:before="0"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169CD"/>
    <w:rPr>
      <w:rFonts w:ascii="Calibri" w:hAnsi="Calibri" w:cs="Consolas"/>
      <w:sz w:val="22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F3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mith\AppData\Roaming\Microsoft\Templates\ARM_Word_template_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ARM_Word_template_c</Template>
  <TotalTime>5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Alpharmaxim</dc:creator>
  <cp:lastModifiedBy>Andrea Smith</cp:lastModifiedBy>
  <cp:revision>6</cp:revision>
  <cp:lastPrinted>2015-08-04T10:57:00Z</cp:lastPrinted>
  <dcterms:created xsi:type="dcterms:W3CDTF">2015-11-09T12:57:00Z</dcterms:created>
  <dcterms:modified xsi:type="dcterms:W3CDTF">2016-06-15T10:38:00Z</dcterms:modified>
</cp:coreProperties>
</file>