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A9" w:rsidRDefault="00541AEF" w:rsidP="001E79CD">
      <w:pPr>
        <w:spacing w:before="24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2418A9" w:rsidRPr="00177554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2418A9" w:rsidRPr="001775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418A9" w:rsidRPr="00177554">
        <w:rPr>
          <w:rFonts w:ascii="Times New Roman" w:hAnsi="Times New Roman" w:cs="Times New Roman"/>
          <w:sz w:val="24"/>
          <w:szCs w:val="24"/>
          <w:lang w:val="en-US"/>
        </w:rPr>
        <w:t xml:space="preserve"> Geometric parameters by X-ray for TABA and theoretical calculations at B3LYP/6-311++</w:t>
      </w:r>
      <w:proofErr w:type="gramStart"/>
      <w:r w:rsidR="002418A9" w:rsidRPr="00177554">
        <w:rPr>
          <w:rFonts w:ascii="Times New Roman" w:hAnsi="Times New Roman" w:cs="Times New Roman"/>
          <w:sz w:val="24"/>
          <w:szCs w:val="24"/>
          <w:lang w:val="en-US"/>
        </w:rPr>
        <w:t>G(</w:t>
      </w:r>
      <w:proofErr w:type="gramEnd"/>
      <w:r w:rsidR="002418A9" w:rsidRPr="00177554">
        <w:rPr>
          <w:rFonts w:ascii="Times New Roman" w:hAnsi="Times New Roman" w:cs="Times New Roman"/>
          <w:sz w:val="24"/>
          <w:szCs w:val="24"/>
          <w:lang w:val="en-US"/>
        </w:rPr>
        <w:t xml:space="preserve">2d,p) </w:t>
      </w:r>
      <w:r w:rsidR="001E79CD" w:rsidRPr="00177554">
        <w:rPr>
          <w:rFonts w:ascii="Times New Roman" w:hAnsi="Times New Roman" w:cs="Times New Roman"/>
          <w:sz w:val="24"/>
          <w:szCs w:val="24"/>
          <w:lang w:val="en-US"/>
        </w:rPr>
        <w:t xml:space="preserve">and B97D/6-311++G(2d,p) </w:t>
      </w:r>
      <w:r w:rsidR="002418A9" w:rsidRPr="00177554">
        <w:rPr>
          <w:rFonts w:ascii="Times New Roman" w:hAnsi="Times New Roman" w:cs="Times New Roman"/>
          <w:sz w:val="24"/>
          <w:szCs w:val="24"/>
          <w:lang w:val="en-US"/>
        </w:rPr>
        <w:t>level of theory</w:t>
      </w:r>
      <w:r w:rsidR="001E79CD" w:rsidRPr="00177554">
        <w:rPr>
          <w:rFonts w:ascii="Times New Roman" w:hAnsi="Times New Roman" w:cs="Times New Roman"/>
          <w:sz w:val="24"/>
          <w:szCs w:val="24"/>
          <w:lang w:val="en-US"/>
        </w:rPr>
        <w:t xml:space="preserve"> for the monomer and dimer, respectively</w:t>
      </w:r>
      <w:r w:rsidR="002418A9" w:rsidRPr="00177554">
        <w:rPr>
          <w:rFonts w:ascii="Times New Roman" w:hAnsi="Times New Roman" w:cs="Times New Roman"/>
          <w:sz w:val="24"/>
          <w:szCs w:val="24"/>
          <w:lang w:val="en-US"/>
        </w:rPr>
        <w:t>. The bond lengths are given in angstrom</w:t>
      </w:r>
      <w:r w:rsidR="001E79CD" w:rsidRPr="001775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18A9" w:rsidRPr="00177554">
        <w:rPr>
          <w:rFonts w:ascii="Times New Roman" w:hAnsi="Times New Roman" w:cs="Times New Roman"/>
          <w:sz w:val="24"/>
          <w:szCs w:val="24"/>
          <w:lang w:val="en-US"/>
        </w:rPr>
        <w:t xml:space="preserve"> and the bond angles and dihedr</w:t>
      </w:r>
      <w:r w:rsidR="001E79CD" w:rsidRPr="00177554">
        <w:rPr>
          <w:rFonts w:ascii="Times New Roman" w:hAnsi="Times New Roman" w:cs="Times New Roman"/>
          <w:sz w:val="24"/>
          <w:szCs w:val="24"/>
          <w:lang w:val="en-US"/>
        </w:rPr>
        <w:t>al angles are given in degrees. All the calculations were carried out at gas phase.</w:t>
      </w:r>
    </w:p>
    <w:p w:rsidR="00987708" w:rsidRPr="001E79CD" w:rsidRDefault="00987708" w:rsidP="001E79CD">
      <w:pPr>
        <w:spacing w:before="24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9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804"/>
        <w:gridCol w:w="1061"/>
        <w:gridCol w:w="882"/>
        <w:gridCol w:w="2333"/>
        <w:gridCol w:w="990"/>
        <w:gridCol w:w="1170"/>
        <w:gridCol w:w="990"/>
      </w:tblGrid>
      <w:tr w:rsidR="00AB5336" w:rsidRPr="00177554" w:rsidTr="0063312C"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Bond length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Exp.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1E79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Calculated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Bond angle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 xml:space="preserve">     Exp.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 xml:space="preserve">      Calculated</w:t>
            </w:r>
          </w:p>
        </w:tc>
      </w:tr>
      <w:tr w:rsidR="00AB5336" w:rsidRPr="00177554" w:rsidTr="0063312C"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AB5336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AB5336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AB53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Monomer</w:t>
            </w:r>
          </w:p>
          <w:p w:rsidR="00AB5336" w:rsidRPr="00177554" w:rsidRDefault="00AB5336" w:rsidP="00AB53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B3LYP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AB5336" w:rsidRPr="00177554" w:rsidRDefault="00AB5336" w:rsidP="00AB5336">
            <w:pPr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Dimer</w:t>
            </w:r>
          </w:p>
          <w:p w:rsidR="00AB5336" w:rsidRPr="00177554" w:rsidRDefault="00AB5336" w:rsidP="00AB5336">
            <w:pPr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B97D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AB5336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AB5336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36" w:rsidRPr="00177554" w:rsidRDefault="00AB5336" w:rsidP="00AB53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Monomer</w:t>
            </w:r>
          </w:p>
          <w:p w:rsidR="00AB5336" w:rsidRPr="00177554" w:rsidRDefault="00AB5336" w:rsidP="00AB53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B3LYP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5336" w:rsidRPr="00177554" w:rsidRDefault="00AB5336" w:rsidP="00AB5336">
            <w:pPr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Dimer</w:t>
            </w:r>
          </w:p>
          <w:p w:rsidR="00AB5336" w:rsidRPr="00177554" w:rsidRDefault="00AB5336" w:rsidP="00AB5336">
            <w:pPr>
              <w:rPr>
                <w:rFonts w:ascii="Times New Roman" w:hAnsi="Times New Roman"/>
                <w:b/>
                <w:lang w:val="en-US"/>
              </w:rPr>
            </w:pPr>
            <w:r w:rsidRPr="00177554">
              <w:rPr>
                <w:rFonts w:ascii="Times New Roman" w:hAnsi="Times New Roman"/>
                <w:b/>
                <w:lang w:val="en-US"/>
              </w:rPr>
              <w:t>B97D</w:t>
            </w:r>
          </w:p>
        </w:tc>
      </w:tr>
      <w:tr w:rsidR="00AB5336" w:rsidRPr="00177554" w:rsidTr="0063312C"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C(1)−C(2)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1.487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1.486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AB5336" w:rsidRPr="00177554" w:rsidRDefault="0014237D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1.491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C(2)−C(1)−O(1)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116.76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113.08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114.53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C(1)−O(1)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1.276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1.355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1.325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C(2)−C(1)−O(2)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119.15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124.67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121.61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C(1)−O(2)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1.251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1.207</w:t>
            </w:r>
          </w:p>
        </w:tc>
        <w:tc>
          <w:tcPr>
            <w:tcW w:w="882" w:type="dxa"/>
          </w:tcPr>
          <w:p w:rsidR="00AB5336" w:rsidRPr="00177554" w:rsidRDefault="001E79C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1.238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C(2)−C(3)−C(4)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120.33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119.57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119.66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C(2)−C(3)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1.382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1.395</w:t>
            </w:r>
          </w:p>
        </w:tc>
        <w:tc>
          <w:tcPr>
            <w:tcW w:w="882" w:type="dxa"/>
          </w:tcPr>
          <w:p w:rsidR="00AB5336" w:rsidRPr="00177554" w:rsidRDefault="001E79C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  <w:r w:rsidR="0014237D" w:rsidRPr="0017755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C(3)−C(4)−C(5)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120.40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120.59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120.66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C(2)−C(7)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1.392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1.394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1.403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C(4)−C(5)−C(6)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118.76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119.46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119.29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C(3)−C(4)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1.372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1.380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1.387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C(5)−C(6)−C(7)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121.53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120.57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120.76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C(4)−C(5)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1.386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1.392</w:t>
            </w:r>
          </w:p>
        </w:tc>
        <w:tc>
          <w:tcPr>
            <w:tcW w:w="882" w:type="dxa"/>
          </w:tcPr>
          <w:p w:rsidR="00AB5336" w:rsidRPr="00177554" w:rsidRDefault="009D54D3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1.400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C(6)−C(7)−C(2)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118.67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119.39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119.49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C(4)−O(3)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1.396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1.389</w:t>
            </w:r>
          </w:p>
        </w:tc>
        <w:tc>
          <w:tcPr>
            <w:tcW w:w="882" w:type="dxa"/>
          </w:tcPr>
          <w:p w:rsidR="00AB5336" w:rsidRPr="00177554" w:rsidRDefault="009D54D3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1.393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C(7)−C(2)−C(3)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120.24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120.41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120.14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C(5)−C(6)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1.388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1.392</w:t>
            </w:r>
          </w:p>
        </w:tc>
        <w:tc>
          <w:tcPr>
            <w:tcW w:w="882" w:type="dxa"/>
          </w:tcPr>
          <w:p w:rsidR="00AB5336" w:rsidRPr="00177554" w:rsidRDefault="009D54D3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1.398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C(4)−O(3)−C(8)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117.79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117.61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117.38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C(5)−O(5)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1.384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1.380</w:t>
            </w:r>
          </w:p>
        </w:tc>
        <w:tc>
          <w:tcPr>
            <w:tcW w:w="882" w:type="dxa"/>
          </w:tcPr>
          <w:p w:rsidR="00AB5336" w:rsidRPr="00177554" w:rsidRDefault="009D54D3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1.384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O(3)−C(8)−O(4)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122.36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123.26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123.73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C(6)−C(7)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1.377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1.385</w:t>
            </w:r>
          </w:p>
        </w:tc>
        <w:tc>
          <w:tcPr>
            <w:tcW w:w="882" w:type="dxa"/>
          </w:tcPr>
          <w:p w:rsidR="00AB5336" w:rsidRPr="00177554" w:rsidRDefault="009D54D3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1.390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O(3)−C(8)−C(9)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110.25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109.98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109.19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C(6)−O(7)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1.394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1.386</w:t>
            </w:r>
          </w:p>
        </w:tc>
        <w:tc>
          <w:tcPr>
            <w:tcW w:w="882" w:type="dxa"/>
          </w:tcPr>
          <w:p w:rsidR="00AB5336" w:rsidRPr="00177554" w:rsidRDefault="009D54D3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1.392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C(5)−O(5)−C(10)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116.74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117.54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117.03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C(8)−O(3)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1.363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1.379</w:t>
            </w:r>
          </w:p>
        </w:tc>
        <w:tc>
          <w:tcPr>
            <w:tcW w:w="882" w:type="dxa"/>
          </w:tcPr>
          <w:p w:rsidR="00AB5336" w:rsidRPr="00177554" w:rsidRDefault="009D54D3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1.393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O(5)−C(10)−O(6)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122.05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123.18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123.61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C(8)−O(4)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1.197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1.196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1.202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O(5)−C(10)−C(11)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109.96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109.90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109.14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C(8)−C(9)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1.493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1.502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1.510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C(6)−O(7)−C(12)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117.10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119.15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117.87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C(10)−O(5)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1.381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1.382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1.395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O(7)−C(12)−O(8)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122.31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123.64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123.88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C(10)−O(6)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1.192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1.195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1.202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O(7)−C(12)−C(13)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110.25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109.75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109.07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C(10)−C(11)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1.478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1.501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1.509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C(3)−C(2)−C(1) −O(2)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-0.53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C(12)−O(7)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1.365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1.380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1.394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C(3)−C(2)−C(1) −O(1)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-175.92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-179.69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179.39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C(12)−O(8)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1.192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1.196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1.202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C(4)−C(3)−C(2) −C(1)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-179.85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179.70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-179.94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C(12)−C(13)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1.483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1.502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1.510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C(5)−C(4)−C(3) −C(2)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1.23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-0.68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O(1)−H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0.820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0.980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1.016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C(2)−C(3)−C(4) −O(3)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-176.16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-176.10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175.81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C(3)−H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0.930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1.081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1.086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C(3)−C(4)−O(3) −C(8)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-109.23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-100.26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107.38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C(7)−H</w:t>
            </w: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0.930</w:t>
            </w: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1.079</w:t>
            </w:r>
          </w:p>
        </w:tc>
        <w:tc>
          <w:tcPr>
            <w:tcW w:w="882" w:type="dxa"/>
          </w:tcPr>
          <w:p w:rsidR="00AB5336" w:rsidRPr="00177554" w:rsidRDefault="0014237D" w:rsidP="001423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1.084</w:t>
            </w: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C(4)−O(3)−C(8) −O(4)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-11.47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-0.17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-2.91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C(4)−O(3)−C(8) −C(9)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169.53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179.26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177.42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C(4)−C(5)−O(5) −C(10)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118.38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98.49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-96.69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C(5)−O(5)−C(10) −O(6)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-14.27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-1.98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2.227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C(5)−O(5)−C(10) −C(11)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165.64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178.08</w:t>
            </w:r>
          </w:p>
        </w:tc>
        <w:tc>
          <w:tcPr>
            <w:tcW w:w="990" w:type="dxa"/>
          </w:tcPr>
          <w:p w:rsidR="00AB5336" w:rsidRPr="00177554" w:rsidRDefault="0063312C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-177.65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C(4)−C(5)−C(6) −O(7)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179.91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-176.44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175.56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C(5)−C(6)−O(7) −C(12)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112.99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-122.11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112.02</w:t>
            </w:r>
          </w:p>
        </w:tc>
      </w:tr>
      <w:tr w:rsidR="00AB5336" w:rsidRPr="00177554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C(6)−O(7)−C(12) −O(8)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4.07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0.10</w:t>
            </w:r>
          </w:p>
        </w:tc>
      </w:tr>
      <w:tr w:rsidR="00AB5336" w:rsidTr="0063312C">
        <w:tc>
          <w:tcPr>
            <w:tcW w:w="1490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vAlign w:val="center"/>
          </w:tcPr>
          <w:p w:rsidR="00AB5336" w:rsidRPr="00177554" w:rsidRDefault="00AB5336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AB5336" w:rsidRPr="00177554" w:rsidRDefault="00AB5336" w:rsidP="00263EB0">
            <w:pPr>
              <w:rPr>
                <w:rFonts w:ascii="Times New Roman" w:hAnsi="Times New Roman"/>
                <w:lang w:val="en-US"/>
              </w:rPr>
            </w:pPr>
            <w:r w:rsidRPr="00177554">
              <w:rPr>
                <w:rFonts w:ascii="Times New Roman" w:hAnsi="Times New Roman"/>
                <w:lang w:val="en-US"/>
              </w:rPr>
              <w:t>C(6)−O(7)−C(12) −C(13)</w:t>
            </w:r>
          </w:p>
        </w:tc>
        <w:tc>
          <w:tcPr>
            <w:tcW w:w="99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-175.75</w:t>
            </w:r>
          </w:p>
        </w:tc>
        <w:tc>
          <w:tcPr>
            <w:tcW w:w="1170" w:type="dxa"/>
            <w:vAlign w:val="center"/>
          </w:tcPr>
          <w:p w:rsidR="00AB5336" w:rsidRPr="00177554" w:rsidRDefault="00AB5336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-179.80</w:t>
            </w:r>
          </w:p>
        </w:tc>
        <w:tc>
          <w:tcPr>
            <w:tcW w:w="990" w:type="dxa"/>
          </w:tcPr>
          <w:p w:rsidR="00AB5336" w:rsidRPr="00177554" w:rsidRDefault="007D6102" w:rsidP="00263E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54">
              <w:rPr>
                <w:rFonts w:ascii="Times New Roman" w:hAnsi="Times New Roman"/>
                <w:sz w:val="24"/>
                <w:szCs w:val="24"/>
                <w:lang w:val="en-US"/>
              </w:rPr>
              <w:t>-179.85</w:t>
            </w:r>
          </w:p>
        </w:tc>
      </w:tr>
    </w:tbl>
    <w:p w:rsidR="002418A9" w:rsidRDefault="002418A9" w:rsidP="002418A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418A9" w:rsidSect="003A0F42">
      <w:pgSz w:w="12240" w:h="15840"/>
      <w:pgMar w:top="1304" w:right="1361" w:bottom="1361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86"/>
    <w:multiLevelType w:val="hybridMultilevel"/>
    <w:tmpl w:val="C09819A4"/>
    <w:lvl w:ilvl="0" w:tplc="7134477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35F9C"/>
    <w:multiLevelType w:val="hybridMultilevel"/>
    <w:tmpl w:val="487AC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4D6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3AB"/>
    <w:multiLevelType w:val="hybridMultilevel"/>
    <w:tmpl w:val="73C2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A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55B2D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2208"/>
    <w:multiLevelType w:val="hybridMultilevel"/>
    <w:tmpl w:val="FB2C5D8C"/>
    <w:lvl w:ilvl="0" w:tplc="713447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EAC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rystal Growth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9D53AA"/>
    <w:rsid w:val="00001C42"/>
    <w:rsid w:val="000110FB"/>
    <w:rsid w:val="00024D40"/>
    <w:rsid w:val="00025868"/>
    <w:rsid w:val="0004597D"/>
    <w:rsid w:val="000501B4"/>
    <w:rsid w:val="000568E6"/>
    <w:rsid w:val="0006269E"/>
    <w:rsid w:val="0006313B"/>
    <w:rsid w:val="00064BE1"/>
    <w:rsid w:val="000733BA"/>
    <w:rsid w:val="00076A86"/>
    <w:rsid w:val="0007755F"/>
    <w:rsid w:val="00082E5C"/>
    <w:rsid w:val="00084BFF"/>
    <w:rsid w:val="00086F9F"/>
    <w:rsid w:val="00091A03"/>
    <w:rsid w:val="00096BD9"/>
    <w:rsid w:val="000A10ED"/>
    <w:rsid w:val="000A2051"/>
    <w:rsid w:val="000A591E"/>
    <w:rsid w:val="000A5D56"/>
    <w:rsid w:val="000A7466"/>
    <w:rsid w:val="000B79EB"/>
    <w:rsid w:val="000D45B2"/>
    <w:rsid w:val="0011040A"/>
    <w:rsid w:val="0011458C"/>
    <w:rsid w:val="00120C1E"/>
    <w:rsid w:val="001236B3"/>
    <w:rsid w:val="00124185"/>
    <w:rsid w:val="00126787"/>
    <w:rsid w:val="00131EFF"/>
    <w:rsid w:val="001340A2"/>
    <w:rsid w:val="0014185E"/>
    <w:rsid w:val="00141D1A"/>
    <w:rsid w:val="0014237D"/>
    <w:rsid w:val="0014419F"/>
    <w:rsid w:val="00156092"/>
    <w:rsid w:val="00156C80"/>
    <w:rsid w:val="00161932"/>
    <w:rsid w:val="00162410"/>
    <w:rsid w:val="00171D5F"/>
    <w:rsid w:val="00172B0B"/>
    <w:rsid w:val="0017649E"/>
    <w:rsid w:val="00177554"/>
    <w:rsid w:val="00177879"/>
    <w:rsid w:val="00195C3E"/>
    <w:rsid w:val="001A093E"/>
    <w:rsid w:val="001B14C0"/>
    <w:rsid w:val="001B7A1B"/>
    <w:rsid w:val="001C44B2"/>
    <w:rsid w:val="001D569F"/>
    <w:rsid w:val="001E0B9A"/>
    <w:rsid w:val="001E79CD"/>
    <w:rsid w:val="001F3324"/>
    <w:rsid w:val="001F7874"/>
    <w:rsid w:val="001F7B3B"/>
    <w:rsid w:val="00205EC3"/>
    <w:rsid w:val="00211C85"/>
    <w:rsid w:val="00212F95"/>
    <w:rsid w:val="0021335B"/>
    <w:rsid w:val="0022552D"/>
    <w:rsid w:val="00240F71"/>
    <w:rsid w:val="002418A9"/>
    <w:rsid w:val="002445B0"/>
    <w:rsid w:val="00250448"/>
    <w:rsid w:val="00251304"/>
    <w:rsid w:val="002514F2"/>
    <w:rsid w:val="00255AD1"/>
    <w:rsid w:val="00262C62"/>
    <w:rsid w:val="00263EB0"/>
    <w:rsid w:val="002726F4"/>
    <w:rsid w:val="00272BE7"/>
    <w:rsid w:val="0027406C"/>
    <w:rsid w:val="00275B49"/>
    <w:rsid w:val="00291879"/>
    <w:rsid w:val="00294F8B"/>
    <w:rsid w:val="002A1927"/>
    <w:rsid w:val="002A63F4"/>
    <w:rsid w:val="002B2777"/>
    <w:rsid w:val="002B50A2"/>
    <w:rsid w:val="002B5438"/>
    <w:rsid w:val="002C359C"/>
    <w:rsid w:val="002C4AA4"/>
    <w:rsid w:val="002C53B6"/>
    <w:rsid w:val="002C7154"/>
    <w:rsid w:val="002E0A32"/>
    <w:rsid w:val="002E2899"/>
    <w:rsid w:val="002F1A1D"/>
    <w:rsid w:val="002F211D"/>
    <w:rsid w:val="002F33A7"/>
    <w:rsid w:val="002F443B"/>
    <w:rsid w:val="00300DFD"/>
    <w:rsid w:val="0030351E"/>
    <w:rsid w:val="00306696"/>
    <w:rsid w:val="00323EA0"/>
    <w:rsid w:val="0033192B"/>
    <w:rsid w:val="00332011"/>
    <w:rsid w:val="003333B2"/>
    <w:rsid w:val="003465EB"/>
    <w:rsid w:val="00350601"/>
    <w:rsid w:val="003569CE"/>
    <w:rsid w:val="003602E9"/>
    <w:rsid w:val="00361F53"/>
    <w:rsid w:val="00363ACB"/>
    <w:rsid w:val="0036522A"/>
    <w:rsid w:val="00365D06"/>
    <w:rsid w:val="00370B4D"/>
    <w:rsid w:val="00370B70"/>
    <w:rsid w:val="00384270"/>
    <w:rsid w:val="00386BAD"/>
    <w:rsid w:val="00395BA7"/>
    <w:rsid w:val="003A0F42"/>
    <w:rsid w:val="003A471F"/>
    <w:rsid w:val="003A5B17"/>
    <w:rsid w:val="003A605A"/>
    <w:rsid w:val="003B571B"/>
    <w:rsid w:val="003C4327"/>
    <w:rsid w:val="003C5B1B"/>
    <w:rsid w:val="003D14FD"/>
    <w:rsid w:val="003E6A16"/>
    <w:rsid w:val="003F5CBC"/>
    <w:rsid w:val="00412EF9"/>
    <w:rsid w:val="0042416D"/>
    <w:rsid w:val="00431A6F"/>
    <w:rsid w:val="00434A8D"/>
    <w:rsid w:val="004368D2"/>
    <w:rsid w:val="004534F4"/>
    <w:rsid w:val="004634B4"/>
    <w:rsid w:val="00473E16"/>
    <w:rsid w:val="0048672C"/>
    <w:rsid w:val="00490744"/>
    <w:rsid w:val="00490D6D"/>
    <w:rsid w:val="00497FC9"/>
    <w:rsid w:val="004A4827"/>
    <w:rsid w:val="004A6132"/>
    <w:rsid w:val="004A68C5"/>
    <w:rsid w:val="004A6A9C"/>
    <w:rsid w:val="004B18A8"/>
    <w:rsid w:val="004B2EB8"/>
    <w:rsid w:val="004B4865"/>
    <w:rsid w:val="004C01A8"/>
    <w:rsid w:val="004C65FA"/>
    <w:rsid w:val="004D05CC"/>
    <w:rsid w:val="004D2EB7"/>
    <w:rsid w:val="004D7504"/>
    <w:rsid w:val="004E33B6"/>
    <w:rsid w:val="004E35CE"/>
    <w:rsid w:val="004E37A6"/>
    <w:rsid w:val="004E4D14"/>
    <w:rsid w:val="004E5ACA"/>
    <w:rsid w:val="004E6CAC"/>
    <w:rsid w:val="004F1A89"/>
    <w:rsid w:val="004F4947"/>
    <w:rsid w:val="004F7530"/>
    <w:rsid w:val="00506935"/>
    <w:rsid w:val="0050695E"/>
    <w:rsid w:val="00513297"/>
    <w:rsid w:val="005266BB"/>
    <w:rsid w:val="005313C6"/>
    <w:rsid w:val="00541AEF"/>
    <w:rsid w:val="00552219"/>
    <w:rsid w:val="00562705"/>
    <w:rsid w:val="00574F0D"/>
    <w:rsid w:val="00575880"/>
    <w:rsid w:val="00590619"/>
    <w:rsid w:val="005A2C75"/>
    <w:rsid w:val="005A46DA"/>
    <w:rsid w:val="005A5DD8"/>
    <w:rsid w:val="005B080B"/>
    <w:rsid w:val="005B356E"/>
    <w:rsid w:val="005B58E4"/>
    <w:rsid w:val="005B5F7A"/>
    <w:rsid w:val="005C22B4"/>
    <w:rsid w:val="005C3BA5"/>
    <w:rsid w:val="005C4135"/>
    <w:rsid w:val="005C420A"/>
    <w:rsid w:val="005C47B5"/>
    <w:rsid w:val="005C5EE4"/>
    <w:rsid w:val="005D5350"/>
    <w:rsid w:val="005E0650"/>
    <w:rsid w:val="005E7BFE"/>
    <w:rsid w:val="005F65D6"/>
    <w:rsid w:val="005F6719"/>
    <w:rsid w:val="00604BE9"/>
    <w:rsid w:val="00615BE2"/>
    <w:rsid w:val="00616290"/>
    <w:rsid w:val="00627063"/>
    <w:rsid w:val="00631411"/>
    <w:rsid w:val="00631D7A"/>
    <w:rsid w:val="0063312C"/>
    <w:rsid w:val="006352E1"/>
    <w:rsid w:val="00647BCA"/>
    <w:rsid w:val="00650DF1"/>
    <w:rsid w:val="00682169"/>
    <w:rsid w:val="0069079C"/>
    <w:rsid w:val="00695A9B"/>
    <w:rsid w:val="006A2F45"/>
    <w:rsid w:val="006B3CA2"/>
    <w:rsid w:val="006C090E"/>
    <w:rsid w:val="006C0EC7"/>
    <w:rsid w:val="006D0355"/>
    <w:rsid w:val="006D12F2"/>
    <w:rsid w:val="006D16C5"/>
    <w:rsid w:val="006D43F3"/>
    <w:rsid w:val="006E5EE9"/>
    <w:rsid w:val="006F3469"/>
    <w:rsid w:val="006F6399"/>
    <w:rsid w:val="007033EA"/>
    <w:rsid w:val="007108E8"/>
    <w:rsid w:val="00712B16"/>
    <w:rsid w:val="007134D0"/>
    <w:rsid w:val="007138A8"/>
    <w:rsid w:val="00720778"/>
    <w:rsid w:val="00722337"/>
    <w:rsid w:val="00726E48"/>
    <w:rsid w:val="00730BF0"/>
    <w:rsid w:val="007431B3"/>
    <w:rsid w:val="00750A08"/>
    <w:rsid w:val="00750F22"/>
    <w:rsid w:val="00772BB7"/>
    <w:rsid w:val="00774210"/>
    <w:rsid w:val="00781982"/>
    <w:rsid w:val="007873F1"/>
    <w:rsid w:val="007915E2"/>
    <w:rsid w:val="00791B44"/>
    <w:rsid w:val="00793A13"/>
    <w:rsid w:val="00794B39"/>
    <w:rsid w:val="007A7F1E"/>
    <w:rsid w:val="007B2E1E"/>
    <w:rsid w:val="007C38C0"/>
    <w:rsid w:val="007C546C"/>
    <w:rsid w:val="007C6671"/>
    <w:rsid w:val="007D02F4"/>
    <w:rsid w:val="007D412C"/>
    <w:rsid w:val="007D6102"/>
    <w:rsid w:val="007E21DA"/>
    <w:rsid w:val="007E23A9"/>
    <w:rsid w:val="007F32A3"/>
    <w:rsid w:val="007F43CF"/>
    <w:rsid w:val="007F4D6C"/>
    <w:rsid w:val="007F672F"/>
    <w:rsid w:val="0080183E"/>
    <w:rsid w:val="00801CEB"/>
    <w:rsid w:val="00810315"/>
    <w:rsid w:val="00813AD7"/>
    <w:rsid w:val="00814718"/>
    <w:rsid w:val="0081759A"/>
    <w:rsid w:val="00822586"/>
    <w:rsid w:val="0083678E"/>
    <w:rsid w:val="008368E3"/>
    <w:rsid w:val="0084194C"/>
    <w:rsid w:val="00842697"/>
    <w:rsid w:val="00843496"/>
    <w:rsid w:val="00844A15"/>
    <w:rsid w:val="0084624B"/>
    <w:rsid w:val="008643CB"/>
    <w:rsid w:val="00867BB8"/>
    <w:rsid w:val="00871AD9"/>
    <w:rsid w:val="00873067"/>
    <w:rsid w:val="00874506"/>
    <w:rsid w:val="00880937"/>
    <w:rsid w:val="00884E4E"/>
    <w:rsid w:val="00892EDE"/>
    <w:rsid w:val="008A1DAE"/>
    <w:rsid w:val="008A251D"/>
    <w:rsid w:val="008A4412"/>
    <w:rsid w:val="008B2E54"/>
    <w:rsid w:val="008B3A15"/>
    <w:rsid w:val="008B44C1"/>
    <w:rsid w:val="008C5DBE"/>
    <w:rsid w:val="008C6A57"/>
    <w:rsid w:val="008C6ADC"/>
    <w:rsid w:val="008D1A62"/>
    <w:rsid w:val="008D1EDD"/>
    <w:rsid w:val="008D7FDE"/>
    <w:rsid w:val="008E34EF"/>
    <w:rsid w:val="008F6C2D"/>
    <w:rsid w:val="00912CBA"/>
    <w:rsid w:val="00913A6A"/>
    <w:rsid w:val="00920A9B"/>
    <w:rsid w:val="00921A66"/>
    <w:rsid w:val="00926C4B"/>
    <w:rsid w:val="009365A2"/>
    <w:rsid w:val="009441BF"/>
    <w:rsid w:val="00950823"/>
    <w:rsid w:val="00964508"/>
    <w:rsid w:val="00970A5D"/>
    <w:rsid w:val="00976305"/>
    <w:rsid w:val="0098094A"/>
    <w:rsid w:val="0098569D"/>
    <w:rsid w:val="00987708"/>
    <w:rsid w:val="009A28E5"/>
    <w:rsid w:val="009C0BB0"/>
    <w:rsid w:val="009C0E3B"/>
    <w:rsid w:val="009C1824"/>
    <w:rsid w:val="009C4759"/>
    <w:rsid w:val="009D0B20"/>
    <w:rsid w:val="009D53AA"/>
    <w:rsid w:val="009D54D3"/>
    <w:rsid w:val="009D57A9"/>
    <w:rsid w:val="009D58C4"/>
    <w:rsid w:val="009E27FC"/>
    <w:rsid w:val="009E518C"/>
    <w:rsid w:val="009E5B5F"/>
    <w:rsid w:val="009E5CA2"/>
    <w:rsid w:val="00A16459"/>
    <w:rsid w:val="00A276FA"/>
    <w:rsid w:val="00A3294B"/>
    <w:rsid w:val="00A42948"/>
    <w:rsid w:val="00A650CA"/>
    <w:rsid w:val="00A7535D"/>
    <w:rsid w:val="00A75A8D"/>
    <w:rsid w:val="00A807A2"/>
    <w:rsid w:val="00A83D65"/>
    <w:rsid w:val="00A9130E"/>
    <w:rsid w:val="00A91787"/>
    <w:rsid w:val="00AB505A"/>
    <w:rsid w:val="00AB5336"/>
    <w:rsid w:val="00AC5C0C"/>
    <w:rsid w:val="00AD0620"/>
    <w:rsid w:val="00AD7812"/>
    <w:rsid w:val="00AE7C92"/>
    <w:rsid w:val="00B00342"/>
    <w:rsid w:val="00B1524D"/>
    <w:rsid w:val="00B15790"/>
    <w:rsid w:val="00B16FBD"/>
    <w:rsid w:val="00B260C9"/>
    <w:rsid w:val="00B307C0"/>
    <w:rsid w:val="00B325B5"/>
    <w:rsid w:val="00B405E3"/>
    <w:rsid w:val="00B62FAF"/>
    <w:rsid w:val="00B70ED6"/>
    <w:rsid w:val="00B747B0"/>
    <w:rsid w:val="00B752EA"/>
    <w:rsid w:val="00B8130E"/>
    <w:rsid w:val="00B937F4"/>
    <w:rsid w:val="00B94D67"/>
    <w:rsid w:val="00B97489"/>
    <w:rsid w:val="00BA033D"/>
    <w:rsid w:val="00BC134D"/>
    <w:rsid w:val="00BC34B0"/>
    <w:rsid w:val="00BC7DCF"/>
    <w:rsid w:val="00BF0651"/>
    <w:rsid w:val="00BF4AAB"/>
    <w:rsid w:val="00C053A3"/>
    <w:rsid w:val="00C07186"/>
    <w:rsid w:val="00C1281F"/>
    <w:rsid w:val="00C14EA5"/>
    <w:rsid w:val="00C17A31"/>
    <w:rsid w:val="00C20591"/>
    <w:rsid w:val="00C20BAA"/>
    <w:rsid w:val="00C23EB2"/>
    <w:rsid w:val="00C27CA1"/>
    <w:rsid w:val="00C43616"/>
    <w:rsid w:val="00C44855"/>
    <w:rsid w:val="00C604B1"/>
    <w:rsid w:val="00C643CF"/>
    <w:rsid w:val="00C66AD7"/>
    <w:rsid w:val="00C72631"/>
    <w:rsid w:val="00C747F2"/>
    <w:rsid w:val="00C83D7F"/>
    <w:rsid w:val="00C8622F"/>
    <w:rsid w:val="00C87E76"/>
    <w:rsid w:val="00C9557A"/>
    <w:rsid w:val="00CA1922"/>
    <w:rsid w:val="00CA2134"/>
    <w:rsid w:val="00CA2503"/>
    <w:rsid w:val="00CB159C"/>
    <w:rsid w:val="00CB7A2A"/>
    <w:rsid w:val="00CC36F2"/>
    <w:rsid w:val="00CD0B58"/>
    <w:rsid w:val="00CD242F"/>
    <w:rsid w:val="00CD4D89"/>
    <w:rsid w:val="00CE461D"/>
    <w:rsid w:val="00D11975"/>
    <w:rsid w:val="00D2744F"/>
    <w:rsid w:val="00D3389B"/>
    <w:rsid w:val="00D44ECB"/>
    <w:rsid w:val="00D513A9"/>
    <w:rsid w:val="00D513B4"/>
    <w:rsid w:val="00D55874"/>
    <w:rsid w:val="00D64A5E"/>
    <w:rsid w:val="00D65B74"/>
    <w:rsid w:val="00D7541D"/>
    <w:rsid w:val="00D778B9"/>
    <w:rsid w:val="00D80124"/>
    <w:rsid w:val="00D91743"/>
    <w:rsid w:val="00D969AF"/>
    <w:rsid w:val="00DB616D"/>
    <w:rsid w:val="00DB6CAE"/>
    <w:rsid w:val="00DB6E6D"/>
    <w:rsid w:val="00DE489A"/>
    <w:rsid w:val="00DE5990"/>
    <w:rsid w:val="00DE7179"/>
    <w:rsid w:val="00DF07DC"/>
    <w:rsid w:val="00E11CB7"/>
    <w:rsid w:val="00E24B3C"/>
    <w:rsid w:val="00E56ACA"/>
    <w:rsid w:val="00E7164E"/>
    <w:rsid w:val="00E76CEC"/>
    <w:rsid w:val="00E80B09"/>
    <w:rsid w:val="00E81F77"/>
    <w:rsid w:val="00E9722A"/>
    <w:rsid w:val="00EB0B0A"/>
    <w:rsid w:val="00EB1A09"/>
    <w:rsid w:val="00EB21D1"/>
    <w:rsid w:val="00EB2A73"/>
    <w:rsid w:val="00ED4ABF"/>
    <w:rsid w:val="00ED6E48"/>
    <w:rsid w:val="00ED7943"/>
    <w:rsid w:val="00EE1903"/>
    <w:rsid w:val="00EF255D"/>
    <w:rsid w:val="00F07741"/>
    <w:rsid w:val="00F07A97"/>
    <w:rsid w:val="00F4195E"/>
    <w:rsid w:val="00F538F8"/>
    <w:rsid w:val="00F616A6"/>
    <w:rsid w:val="00F75BF9"/>
    <w:rsid w:val="00F76E1A"/>
    <w:rsid w:val="00F80264"/>
    <w:rsid w:val="00F8644D"/>
    <w:rsid w:val="00F92ABD"/>
    <w:rsid w:val="00F92CF6"/>
    <w:rsid w:val="00FA47EE"/>
    <w:rsid w:val="00FC226E"/>
    <w:rsid w:val="00FC4B56"/>
    <w:rsid w:val="00FC53E7"/>
    <w:rsid w:val="00FD60A2"/>
    <w:rsid w:val="00FE1F3F"/>
    <w:rsid w:val="00FE3A8F"/>
    <w:rsid w:val="00FF226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1D737-A595-4EE9-A3AC-2D6C72AC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Hamilton Barbosa Napolitano</cp:lastModifiedBy>
  <cp:revision>26</cp:revision>
  <dcterms:created xsi:type="dcterms:W3CDTF">2016-06-13T19:49:00Z</dcterms:created>
  <dcterms:modified xsi:type="dcterms:W3CDTF">2016-06-14T23:35:00Z</dcterms:modified>
</cp:coreProperties>
</file>