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5B31" w14:textId="77777777" w:rsidR="009E2889" w:rsidRDefault="009E2889" w:rsidP="009E2889">
      <w:pPr>
        <w:rPr>
          <w:rFonts w:ascii="Times New Roman" w:hAnsi="Times New Roman"/>
          <w:b/>
          <w:sz w:val="24"/>
          <w:szCs w:val="24"/>
        </w:rPr>
      </w:pPr>
      <w:r>
        <w:rPr>
          <w:rFonts w:ascii="Times New Roman" w:hAnsi="Times New Roman"/>
          <w:b/>
          <w:sz w:val="24"/>
          <w:szCs w:val="24"/>
        </w:rPr>
        <w:t>SUPPORTING INFORMATION</w:t>
      </w:r>
    </w:p>
    <w:p w14:paraId="62C4328D" w14:textId="77777777" w:rsidR="009E2889" w:rsidRPr="006B6CCF" w:rsidRDefault="009E2889" w:rsidP="009E2889">
      <w:pPr>
        <w:rPr>
          <w:rFonts w:ascii="Times New Roman" w:hAnsi="Times New Roman"/>
          <w:sz w:val="24"/>
          <w:szCs w:val="24"/>
        </w:rPr>
      </w:pPr>
      <w:r>
        <w:rPr>
          <w:rFonts w:ascii="Times New Roman" w:hAnsi="Times New Roman"/>
          <w:b/>
          <w:sz w:val="24"/>
          <w:szCs w:val="24"/>
        </w:rPr>
        <w:t xml:space="preserve">Materials and Methods </w:t>
      </w:r>
      <w:r>
        <w:rPr>
          <w:rFonts w:ascii="Times New Roman" w:hAnsi="Times New Roman"/>
          <w:sz w:val="24"/>
          <w:szCs w:val="24"/>
        </w:rPr>
        <w:t>(detailed version)</w:t>
      </w:r>
    </w:p>
    <w:p w14:paraId="1BD43D91" w14:textId="77777777" w:rsidR="009E2889" w:rsidRPr="00684161" w:rsidRDefault="009E2889" w:rsidP="009E2889">
      <w:pPr>
        <w:spacing w:after="0" w:line="480" w:lineRule="auto"/>
        <w:rPr>
          <w:rFonts w:ascii="Times New Roman" w:hAnsi="Times New Roman"/>
          <w:i/>
          <w:sz w:val="24"/>
          <w:szCs w:val="24"/>
        </w:rPr>
      </w:pPr>
      <w:r>
        <w:rPr>
          <w:rFonts w:ascii="Times New Roman" w:hAnsi="Times New Roman"/>
          <w:i/>
          <w:sz w:val="24"/>
          <w:szCs w:val="24"/>
        </w:rPr>
        <w:t>Inclusion and exclusion criteria</w:t>
      </w:r>
    </w:p>
    <w:p w14:paraId="384A9E32" w14:textId="77777777" w:rsidR="009E2889" w:rsidRDefault="009E2889" w:rsidP="009E2889">
      <w:pPr>
        <w:spacing w:after="0" w:line="480" w:lineRule="auto"/>
        <w:ind w:firstLine="720"/>
        <w:rPr>
          <w:rFonts w:ascii="Times New Roman" w:hAnsi="Times New Roman"/>
          <w:sz w:val="24"/>
          <w:szCs w:val="24"/>
        </w:rPr>
      </w:pPr>
      <w:r>
        <w:rPr>
          <w:rFonts w:ascii="Times New Roman" w:hAnsi="Times New Roman"/>
          <w:sz w:val="24"/>
          <w:szCs w:val="24"/>
        </w:rPr>
        <w:t xml:space="preserve">Serum biochemical profiles were collected from the database of the Royal Veterinary College (RVC) Diagnostic Laboratory (DL) </w:t>
      </w:r>
      <w:r w:rsidRPr="004E2D1B">
        <w:rPr>
          <w:rFonts w:ascii="Times New Roman" w:hAnsi="Times New Roman"/>
          <w:sz w:val="24"/>
          <w:szCs w:val="24"/>
        </w:rPr>
        <w:t>from January 2004 to October 2013</w:t>
      </w:r>
      <w:r>
        <w:rPr>
          <w:rFonts w:ascii="Times New Roman" w:hAnsi="Times New Roman"/>
          <w:sz w:val="24"/>
          <w:szCs w:val="24"/>
        </w:rPr>
        <w:t xml:space="preserve">, which receives samples from both its own small animal hospitals (the Queen Mother Hospital for Animals, a primary, secondary and tertiary care </w:t>
      </w:r>
      <w:proofErr w:type="spellStart"/>
      <w:r>
        <w:rPr>
          <w:rFonts w:ascii="Times New Roman" w:hAnsi="Times New Roman"/>
          <w:sz w:val="24"/>
          <w:szCs w:val="24"/>
        </w:rPr>
        <w:t>center</w:t>
      </w:r>
      <w:proofErr w:type="spellEnd"/>
      <w:r>
        <w:rPr>
          <w:rFonts w:ascii="Times New Roman" w:hAnsi="Times New Roman"/>
          <w:sz w:val="24"/>
          <w:szCs w:val="24"/>
        </w:rPr>
        <w:t xml:space="preserve">, and the Beaumont Sainsbury Animal Hospital, a primary care </w:t>
      </w:r>
      <w:proofErr w:type="spellStart"/>
      <w:r>
        <w:rPr>
          <w:rFonts w:ascii="Times New Roman" w:hAnsi="Times New Roman"/>
          <w:sz w:val="24"/>
          <w:szCs w:val="24"/>
        </w:rPr>
        <w:t>center</w:t>
      </w:r>
      <w:proofErr w:type="spellEnd"/>
      <w:r>
        <w:rPr>
          <w:rFonts w:ascii="Times New Roman" w:hAnsi="Times New Roman"/>
          <w:sz w:val="24"/>
          <w:szCs w:val="24"/>
        </w:rPr>
        <w:t xml:space="preserve">) and external veterinary practices. The database was interrogated over the period of time from its inception in January 2004 to October 2013, </w:t>
      </w:r>
      <w:r w:rsidRPr="000A55D5">
        <w:rPr>
          <w:rFonts w:ascii="Times New Roman" w:hAnsi="Times New Roman"/>
          <w:sz w:val="24"/>
          <w:szCs w:val="24"/>
        </w:rPr>
        <w:t xml:space="preserve">comparing each dog’s profile to the generic reference intervals used by the DL for all mixed and pure breed dogs, derived by reference intervals </w:t>
      </w:r>
      <w:r>
        <w:rPr>
          <w:rFonts w:ascii="Times New Roman" w:hAnsi="Times New Roman"/>
          <w:sz w:val="24"/>
          <w:szCs w:val="24"/>
        </w:rPr>
        <w:t xml:space="preserve">studies carried out on </w:t>
      </w:r>
      <w:r w:rsidRPr="000A55D5">
        <w:rPr>
          <w:rFonts w:ascii="Times New Roman" w:hAnsi="Times New Roman"/>
          <w:sz w:val="24"/>
          <w:szCs w:val="24"/>
        </w:rPr>
        <w:t>approximately 40 healthy staff dogs of various breeds, ages, sexes and neutering status.</w:t>
      </w:r>
      <w:r>
        <w:rPr>
          <w:rFonts w:ascii="Times New Roman" w:hAnsi="Times New Roman"/>
          <w:sz w:val="24"/>
          <w:szCs w:val="24"/>
        </w:rPr>
        <w:t xml:space="preserve"> Serum biochemical profiles were included in the study if every </w:t>
      </w:r>
      <w:proofErr w:type="spellStart"/>
      <w:r>
        <w:rPr>
          <w:rFonts w:ascii="Times New Roman" w:hAnsi="Times New Roman"/>
          <w:sz w:val="24"/>
          <w:szCs w:val="24"/>
        </w:rPr>
        <w:t>analyte</w:t>
      </w:r>
      <w:proofErr w:type="spellEnd"/>
      <w:r>
        <w:rPr>
          <w:rFonts w:ascii="Times New Roman" w:hAnsi="Times New Roman"/>
          <w:sz w:val="24"/>
          <w:szCs w:val="24"/>
        </w:rPr>
        <w:t xml:space="preserve"> fell within the reference interval, excluding glucose measurement, which were interpreted separately. Profiles with missing data values were excluded from analysis, as were those associated with insufficiently specific breed descriptors or missing </w:t>
      </w:r>
      <w:proofErr w:type="spellStart"/>
      <w:r>
        <w:rPr>
          <w:rFonts w:ascii="Times New Roman" w:hAnsi="Times New Roman"/>
          <w:sz w:val="24"/>
          <w:szCs w:val="24"/>
        </w:rPr>
        <w:t>signalment</w:t>
      </w:r>
      <w:proofErr w:type="spellEnd"/>
      <w:r>
        <w:rPr>
          <w:rFonts w:ascii="Times New Roman" w:hAnsi="Times New Roman"/>
          <w:sz w:val="24"/>
          <w:szCs w:val="24"/>
        </w:rPr>
        <w:t xml:space="preserve"> information. Data were collected from both pure breed dogs and a control group of mixed breed dogs, </w:t>
      </w:r>
      <w:proofErr w:type="spellStart"/>
      <w:r>
        <w:rPr>
          <w:rFonts w:ascii="Times New Roman" w:hAnsi="Times New Roman"/>
          <w:sz w:val="24"/>
          <w:szCs w:val="24"/>
        </w:rPr>
        <w:t>anonymizing</w:t>
      </w:r>
      <w:proofErr w:type="spellEnd"/>
      <w:r>
        <w:rPr>
          <w:rFonts w:ascii="Times New Roman" w:hAnsi="Times New Roman"/>
          <w:sz w:val="24"/>
          <w:szCs w:val="24"/>
        </w:rPr>
        <w:t xml:space="preserve"> all patient details in accordance with general guidelines laid down by the Royal Veterinary College Ethics and Welfare Committee. </w:t>
      </w:r>
    </w:p>
    <w:p w14:paraId="21A3B8AF" w14:textId="77777777" w:rsidR="009E2889" w:rsidRDefault="009E2889" w:rsidP="009E2889">
      <w:pPr>
        <w:spacing w:after="0" w:line="480" w:lineRule="auto"/>
        <w:rPr>
          <w:rFonts w:ascii="Times New Roman" w:hAnsi="Times New Roman"/>
          <w:sz w:val="24"/>
          <w:szCs w:val="24"/>
        </w:rPr>
      </w:pPr>
      <w:r>
        <w:rPr>
          <w:rFonts w:ascii="Times New Roman" w:hAnsi="Times New Roman"/>
          <w:i/>
          <w:sz w:val="24"/>
          <w:szCs w:val="24"/>
        </w:rPr>
        <w:t>Specimen collection, analysis, and quality control</w:t>
      </w:r>
    </w:p>
    <w:p w14:paraId="20F0E738" w14:textId="77777777" w:rsidR="009E2889" w:rsidRDefault="009E2889" w:rsidP="009E2889">
      <w:pPr>
        <w:spacing w:after="0" w:line="480" w:lineRule="auto"/>
        <w:ind w:firstLine="720"/>
        <w:rPr>
          <w:rFonts w:ascii="Times New Roman" w:hAnsi="Times New Roman"/>
          <w:sz w:val="24"/>
          <w:szCs w:val="24"/>
        </w:rPr>
      </w:pPr>
      <w:proofErr w:type="gramStart"/>
      <w:r>
        <w:rPr>
          <w:rFonts w:ascii="Times New Roman" w:hAnsi="Times New Roman"/>
          <w:sz w:val="24"/>
          <w:szCs w:val="24"/>
        </w:rPr>
        <w:t xml:space="preserve">All blood samples were collected </w:t>
      </w:r>
      <w:r w:rsidRPr="000A55D5">
        <w:rPr>
          <w:rFonts w:ascii="Times New Roman" w:hAnsi="Times New Roman"/>
          <w:sz w:val="24"/>
          <w:szCs w:val="24"/>
        </w:rPr>
        <w:t>by licensed veterinarians</w:t>
      </w:r>
      <w:proofErr w:type="gramEnd"/>
      <w:r>
        <w:rPr>
          <w:rFonts w:ascii="Times New Roman" w:hAnsi="Times New Roman"/>
          <w:sz w:val="24"/>
          <w:szCs w:val="24"/>
        </w:rPr>
        <w:t xml:space="preserve"> for routine diagnostic purposes under the Veterinary Surgeons Act (1966), following written informed consent by the owners of the dogs. The vast majority of blood samples were collected into plain serum tubes (99.8%) and</w:t>
      </w:r>
      <w:r w:rsidRPr="008169BF">
        <w:rPr>
          <w:rFonts w:ascii="Times New Roman" w:hAnsi="Times New Roman"/>
          <w:sz w:val="24"/>
          <w:szCs w:val="24"/>
        </w:rPr>
        <w:t xml:space="preserve"> analysed using an IL600 Clinical </w:t>
      </w:r>
      <w:r w:rsidRPr="008169BF">
        <w:rPr>
          <w:rFonts w:ascii="Times New Roman" w:hAnsi="Times New Roman"/>
          <w:sz w:val="24"/>
          <w:szCs w:val="24"/>
        </w:rPr>
        <w:lastRenderedPageBreak/>
        <w:t xml:space="preserve">Chemistry </w:t>
      </w:r>
      <w:proofErr w:type="spellStart"/>
      <w:r w:rsidRPr="008169BF">
        <w:rPr>
          <w:rFonts w:ascii="Times New Roman" w:hAnsi="Times New Roman"/>
          <w:sz w:val="24"/>
          <w:szCs w:val="24"/>
        </w:rPr>
        <w:t>Analyzer</w:t>
      </w:r>
      <w:proofErr w:type="spellEnd"/>
      <w:r w:rsidRPr="008169BF">
        <w:rPr>
          <w:rFonts w:ascii="Times New Roman" w:hAnsi="Times New Roman"/>
          <w:sz w:val="24"/>
          <w:szCs w:val="24"/>
        </w:rPr>
        <w:t xml:space="preserve"> (Instrumentation Laboratory Ltd, Cheshire; UK). </w:t>
      </w:r>
      <w:r>
        <w:rPr>
          <w:rFonts w:ascii="Times New Roman" w:hAnsi="Times New Roman"/>
          <w:sz w:val="24"/>
          <w:szCs w:val="24"/>
        </w:rPr>
        <w:t xml:space="preserve">Stable performance of the </w:t>
      </w:r>
      <w:proofErr w:type="spellStart"/>
      <w:r>
        <w:rPr>
          <w:rFonts w:ascii="Times New Roman" w:hAnsi="Times New Roman"/>
          <w:sz w:val="24"/>
          <w:szCs w:val="24"/>
        </w:rPr>
        <w:t>analyzer</w:t>
      </w:r>
      <w:proofErr w:type="spellEnd"/>
      <w:r>
        <w:rPr>
          <w:rFonts w:ascii="Times New Roman" w:hAnsi="Times New Roman"/>
          <w:sz w:val="24"/>
          <w:szCs w:val="24"/>
        </w:rPr>
        <w:t xml:space="preserve"> was monitored by both internal and external quality control and assurance schemes throughout the study period. </w:t>
      </w:r>
      <w:r w:rsidRPr="008169BF">
        <w:rPr>
          <w:rFonts w:ascii="Times New Roman" w:hAnsi="Times New Roman"/>
          <w:sz w:val="24"/>
          <w:szCs w:val="24"/>
        </w:rPr>
        <w:t xml:space="preserve">Reported </w:t>
      </w:r>
      <w:proofErr w:type="spellStart"/>
      <w:r>
        <w:rPr>
          <w:rFonts w:ascii="Times New Roman" w:hAnsi="Times New Roman"/>
          <w:sz w:val="24"/>
          <w:szCs w:val="24"/>
        </w:rPr>
        <w:t>analytes</w:t>
      </w:r>
      <w:proofErr w:type="spellEnd"/>
      <w:r w:rsidRPr="008169BF">
        <w:rPr>
          <w:rFonts w:ascii="Times New Roman" w:hAnsi="Times New Roman"/>
          <w:sz w:val="24"/>
          <w:szCs w:val="24"/>
        </w:rPr>
        <w:t xml:space="preserve"> included total protein, albumin, globulin, sodium, potassium, chloride, calcium, inorganic phosphorus, urea, </w:t>
      </w:r>
      <w:proofErr w:type="spellStart"/>
      <w:r w:rsidRPr="008169BF">
        <w:rPr>
          <w:rFonts w:ascii="Times New Roman" w:hAnsi="Times New Roman"/>
          <w:sz w:val="24"/>
          <w:szCs w:val="24"/>
        </w:rPr>
        <w:t>creatinine</w:t>
      </w:r>
      <w:proofErr w:type="spellEnd"/>
      <w:r w:rsidRPr="008169BF">
        <w:rPr>
          <w:rFonts w:ascii="Times New Roman" w:hAnsi="Times New Roman"/>
          <w:sz w:val="24"/>
          <w:szCs w:val="24"/>
        </w:rPr>
        <w:t xml:space="preserve">, cholesterol, total bilirubin, alanine </w:t>
      </w:r>
      <w:proofErr w:type="spellStart"/>
      <w:r w:rsidRPr="008169BF">
        <w:rPr>
          <w:rFonts w:ascii="Times New Roman" w:hAnsi="Times New Roman"/>
          <w:sz w:val="24"/>
          <w:szCs w:val="24"/>
        </w:rPr>
        <w:t>transferase</w:t>
      </w:r>
      <w:proofErr w:type="spellEnd"/>
      <w:r w:rsidRPr="008169BF">
        <w:rPr>
          <w:rFonts w:ascii="Times New Roman" w:hAnsi="Times New Roman"/>
          <w:sz w:val="24"/>
          <w:szCs w:val="24"/>
        </w:rPr>
        <w:t xml:space="preserve"> (ALT), alkaline phosphatase (ALP), </w:t>
      </w:r>
      <w:proofErr w:type="spellStart"/>
      <w:r w:rsidRPr="008169BF">
        <w:rPr>
          <w:rFonts w:ascii="Times New Roman" w:hAnsi="Times New Roman"/>
          <w:sz w:val="24"/>
          <w:szCs w:val="24"/>
        </w:rPr>
        <w:t>creatinine</w:t>
      </w:r>
      <w:proofErr w:type="spellEnd"/>
      <w:r w:rsidRPr="008169BF">
        <w:rPr>
          <w:rFonts w:ascii="Times New Roman" w:hAnsi="Times New Roman"/>
          <w:sz w:val="24"/>
          <w:szCs w:val="24"/>
        </w:rPr>
        <w:t xml:space="preserve"> kinase (CK</w:t>
      </w:r>
      <w:r>
        <w:rPr>
          <w:rFonts w:ascii="Times New Roman" w:hAnsi="Times New Roman"/>
          <w:sz w:val="24"/>
          <w:szCs w:val="24"/>
        </w:rPr>
        <w:t xml:space="preserve">), </w:t>
      </w:r>
      <w:r w:rsidRPr="008169BF">
        <w:rPr>
          <w:rFonts w:ascii="Times New Roman" w:hAnsi="Times New Roman"/>
          <w:sz w:val="24"/>
          <w:szCs w:val="24"/>
        </w:rPr>
        <w:t xml:space="preserve">amylase, lipase and glucose. </w:t>
      </w:r>
    </w:p>
    <w:p w14:paraId="54E31A6C" w14:textId="77777777" w:rsidR="009E2889" w:rsidRDefault="009E2889" w:rsidP="009E2889">
      <w:pPr>
        <w:spacing w:after="0" w:line="480" w:lineRule="auto"/>
        <w:rPr>
          <w:rFonts w:ascii="Times New Roman" w:hAnsi="Times New Roman"/>
          <w:sz w:val="24"/>
          <w:szCs w:val="24"/>
        </w:rPr>
      </w:pPr>
      <w:r>
        <w:rPr>
          <w:rFonts w:ascii="Times New Roman" w:hAnsi="Times New Roman"/>
          <w:i/>
          <w:sz w:val="24"/>
          <w:szCs w:val="24"/>
        </w:rPr>
        <w:t>Statistical analysis</w:t>
      </w:r>
    </w:p>
    <w:p w14:paraId="27797B3A" w14:textId="77777777" w:rsidR="009E2889" w:rsidRDefault="009E2889" w:rsidP="009E2889">
      <w:pPr>
        <w:spacing w:after="0" w:line="480" w:lineRule="auto"/>
        <w:ind w:firstLine="720"/>
        <w:rPr>
          <w:rFonts w:ascii="Times New Roman" w:hAnsi="Times New Roman"/>
          <w:sz w:val="24"/>
          <w:szCs w:val="24"/>
        </w:rPr>
      </w:pPr>
      <w:r>
        <w:rPr>
          <w:rFonts w:ascii="Times New Roman" w:hAnsi="Times New Roman"/>
          <w:sz w:val="24"/>
          <w:szCs w:val="24"/>
        </w:rPr>
        <w:t xml:space="preserve">Age of the dogs was classified into eight mutually exclusive categories, namely less than or equal to one year of age (designated ≤1), greater than one year to less than or equal to two years of age (designated &gt;1:≤2), and &gt;2:≤4, &gt;4:≤6, &gt;6:≤8, &gt;8:≤10, and &gt;10 years of age. (For clarity of expression in the text of the Results and Discussion sections, these age categories are respectively </w:t>
      </w:r>
      <w:proofErr w:type="spellStart"/>
      <w:r>
        <w:rPr>
          <w:rFonts w:ascii="Times New Roman" w:hAnsi="Times New Roman"/>
          <w:sz w:val="24"/>
          <w:szCs w:val="24"/>
        </w:rPr>
        <w:t>labeled</w:t>
      </w:r>
      <w:proofErr w:type="spellEnd"/>
      <w:r>
        <w:rPr>
          <w:rFonts w:ascii="Times New Roman" w:hAnsi="Times New Roman"/>
          <w:sz w:val="24"/>
          <w:szCs w:val="24"/>
        </w:rPr>
        <w:t xml:space="preserve"> in abbreviated form: ≤1, 1‒2, 2‒4, 4‒6, 6‒8, 8‒10 and &gt;10 years.) A linear mixed effects model was used to assess the effect of age, sex, neutering status, and all two-way and three-way interactions on each </w:t>
      </w:r>
      <w:proofErr w:type="spellStart"/>
      <w:r>
        <w:rPr>
          <w:rFonts w:ascii="Times New Roman" w:hAnsi="Times New Roman"/>
          <w:sz w:val="24"/>
          <w:szCs w:val="24"/>
        </w:rPr>
        <w:t>analyte</w:t>
      </w:r>
      <w:proofErr w:type="spellEnd"/>
      <w:r>
        <w:rPr>
          <w:rFonts w:ascii="Times New Roman" w:hAnsi="Times New Roman"/>
          <w:sz w:val="24"/>
          <w:szCs w:val="24"/>
        </w:rPr>
        <w:t xml:space="preserve">, taking breed as a random effect. Type I error rate was set at 5%. There were no significant interactions between age and sex, or between age, sex and neutering status, for any of the measured </w:t>
      </w:r>
      <w:proofErr w:type="spellStart"/>
      <w:r>
        <w:rPr>
          <w:rFonts w:ascii="Times New Roman" w:hAnsi="Times New Roman"/>
          <w:sz w:val="24"/>
          <w:szCs w:val="24"/>
        </w:rPr>
        <w:t>analytes</w:t>
      </w:r>
      <w:proofErr w:type="spellEnd"/>
      <w:r>
        <w:rPr>
          <w:rFonts w:ascii="Times New Roman" w:hAnsi="Times New Roman"/>
          <w:sz w:val="24"/>
          <w:szCs w:val="24"/>
        </w:rPr>
        <w:t xml:space="preserve">; these interactions were therefore removed from the linear mixed effects model. Residuals were defined as the observed values minus the estimated fixed effects of age, sex, and neutering status. For those breeds represented by at least 10 dogs, principal component analysis (PCA) by best linear unbiased prediction of the random breed effects was undertaken on all but the mixed breed dogs to summarize correlated breed effects on serum biochemical </w:t>
      </w:r>
      <w:proofErr w:type="spellStart"/>
      <w:r>
        <w:rPr>
          <w:rFonts w:ascii="Times New Roman" w:hAnsi="Times New Roman"/>
          <w:sz w:val="24"/>
          <w:szCs w:val="24"/>
        </w:rPr>
        <w:t>analytes</w:t>
      </w:r>
      <w:proofErr w:type="spellEnd"/>
      <w:r>
        <w:rPr>
          <w:rFonts w:ascii="Times New Roman" w:hAnsi="Times New Roman"/>
          <w:sz w:val="24"/>
          <w:szCs w:val="24"/>
        </w:rPr>
        <w:t xml:space="preserve">. Those breeds with at least one principal component of less than -2 or greater than +2 were considered to have distinctive phenotypes. </w:t>
      </w:r>
    </w:p>
    <w:p w14:paraId="7A791950" w14:textId="77777777" w:rsidR="009E2889" w:rsidRDefault="009E2889" w:rsidP="009E2889">
      <w:pPr>
        <w:spacing w:after="0" w:line="480" w:lineRule="auto"/>
        <w:ind w:firstLine="720"/>
        <w:rPr>
          <w:rFonts w:ascii="Times New Roman" w:hAnsi="Times New Roman"/>
          <w:sz w:val="24"/>
          <w:szCs w:val="24"/>
        </w:rPr>
      </w:pPr>
      <w:r>
        <w:rPr>
          <w:rFonts w:ascii="Times New Roman" w:hAnsi="Times New Roman"/>
          <w:sz w:val="24"/>
          <w:szCs w:val="24"/>
        </w:rPr>
        <w:t xml:space="preserve">A complementary analytical approach was then adopted to verify the conclusions of PCA. For each biochemical </w:t>
      </w:r>
      <w:proofErr w:type="spellStart"/>
      <w:r>
        <w:rPr>
          <w:rFonts w:ascii="Times New Roman" w:hAnsi="Times New Roman"/>
          <w:sz w:val="24"/>
          <w:szCs w:val="24"/>
        </w:rPr>
        <w:t>analyte</w:t>
      </w:r>
      <w:proofErr w:type="spellEnd"/>
      <w:r>
        <w:rPr>
          <w:rFonts w:ascii="Times New Roman" w:hAnsi="Times New Roman"/>
          <w:sz w:val="24"/>
          <w:szCs w:val="24"/>
        </w:rPr>
        <w:t>, the distributions of residuals for all breeds represented by at least 10 dogs were compared with those of the mixed breed dogs by two-sample Kolmogorov-Smirnov (KS) tests</w:t>
      </w:r>
      <w:r w:rsidRPr="002E522B">
        <w:rPr>
          <w:rFonts w:ascii="Times New Roman" w:hAnsi="Times New Roman"/>
          <w:sz w:val="24"/>
          <w:szCs w:val="24"/>
        </w:rPr>
        <w:t xml:space="preserve">. Since there were 60 breeds represented by at least 10 dogs, a </w:t>
      </w:r>
      <w:proofErr w:type="spellStart"/>
      <w:r w:rsidRPr="002E522B">
        <w:rPr>
          <w:rFonts w:ascii="Times New Roman" w:hAnsi="Times New Roman"/>
          <w:sz w:val="24"/>
          <w:szCs w:val="24"/>
        </w:rPr>
        <w:t>Bonferroni</w:t>
      </w:r>
      <w:proofErr w:type="spellEnd"/>
      <w:r w:rsidRPr="002E522B">
        <w:rPr>
          <w:rFonts w:ascii="Times New Roman" w:hAnsi="Times New Roman"/>
          <w:sz w:val="24"/>
          <w:szCs w:val="24"/>
        </w:rPr>
        <w:t xml:space="preserve"> correction of 0.05/60=8.3 x 10</w:t>
      </w:r>
      <w:r w:rsidRPr="002E522B">
        <w:rPr>
          <w:rFonts w:ascii="Times New Roman" w:hAnsi="Times New Roman"/>
          <w:sz w:val="24"/>
          <w:szCs w:val="24"/>
          <w:vertAlign w:val="superscript"/>
        </w:rPr>
        <w:t xml:space="preserve">-4 </w:t>
      </w:r>
      <w:r w:rsidRPr="002E522B">
        <w:rPr>
          <w:rFonts w:ascii="Times New Roman" w:hAnsi="Times New Roman"/>
          <w:sz w:val="24"/>
          <w:szCs w:val="24"/>
        </w:rPr>
        <w:t>was applied.</w:t>
      </w:r>
      <w:r>
        <w:rPr>
          <w:rFonts w:ascii="Times New Roman" w:hAnsi="Times New Roman"/>
          <w:sz w:val="24"/>
          <w:szCs w:val="24"/>
        </w:rPr>
        <w:t xml:space="preserve"> In an effort to increase the rigor of the statistical analysis and further minimize the possibility of a type 1 error inherent in multiple comparisons, a threshold of p=10</w:t>
      </w:r>
      <w:r w:rsidRPr="00BF6D6A">
        <w:rPr>
          <w:rFonts w:ascii="Times New Roman" w:hAnsi="Times New Roman"/>
          <w:sz w:val="24"/>
          <w:szCs w:val="24"/>
          <w:vertAlign w:val="superscript"/>
        </w:rPr>
        <w:t>-4</w:t>
      </w:r>
      <w:r>
        <w:rPr>
          <w:rFonts w:ascii="Times New Roman" w:hAnsi="Times New Roman"/>
          <w:sz w:val="24"/>
          <w:szCs w:val="24"/>
        </w:rPr>
        <w:t xml:space="preserve"> was applied in these analyses. To facilitate the pictorial representation of the data </w:t>
      </w:r>
      <w:proofErr w:type="spellStart"/>
      <w:r>
        <w:rPr>
          <w:rFonts w:ascii="Times New Roman" w:hAnsi="Times New Roman"/>
          <w:sz w:val="24"/>
          <w:szCs w:val="24"/>
        </w:rPr>
        <w:t>analyzed</w:t>
      </w:r>
      <w:proofErr w:type="spellEnd"/>
      <w:r>
        <w:rPr>
          <w:rFonts w:ascii="Times New Roman" w:hAnsi="Times New Roman"/>
          <w:sz w:val="24"/>
          <w:szCs w:val="24"/>
        </w:rPr>
        <w:t xml:space="preserve"> by KS tests, all breeds were classified into groups previously defined by haplotype analysis of single nucleotide polymorphisms (SNPs) </w:t>
      </w:r>
      <w:r>
        <w:rPr>
          <w:rFonts w:ascii="Times New Roman" w:hAnsi="Times New Roman"/>
          <w:noProof/>
          <w:sz w:val="24"/>
          <w:szCs w:val="24"/>
        </w:rPr>
        <w:t>[1]</w:t>
      </w:r>
      <w:r>
        <w:rPr>
          <w:rFonts w:ascii="Times New Roman" w:hAnsi="Times New Roman"/>
          <w:sz w:val="24"/>
          <w:szCs w:val="24"/>
        </w:rPr>
        <w:t xml:space="preserve">, or to their closest matches based on publically available information about breed heritage. These groups were: Ancient, Toy, Working, Sight Hound, Mastiff-like, Retriever/other Mastiff-like, Herding, Terrier, Scent Hound and Spaniel/Pointer (Supplementary Tables 1 to 18). Those breeds not identified in this haplotype analysis and without an obvious nearest match were considered in a miscellaneous group </w:t>
      </w:r>
      <w:proofErr w:type="spellStart"/>
      <w:r>
        <w:rPr>
          <w:rFonts w:ascii="Times New Roman" w:hAnsi="Times New Roman"/>
          <w:sz w:val="24"/>
          <w:szCs w:val="24"/>
        </w:rPr>
        <w:t>labeled</w:t>
      </w:r>
      <w:proofErr w:type="spellEnd"/>
      <w:r>
        <w:rPr>
          <w:rFonts w:ascii="Times New Roman" w:hAnsi="Times New Roman"/>
          <w:sz w:val="24"/>
          <w:szCs w:val="24"/>
        </w:rPr>
        <w:t xml:space="preserve"> ‘Other’. Data from breeds having values significantly different from the mixed breed control group were displayed in combined box-and-whisker / dot plots. </w:t>
      </w:r>
    </w:p>
    <w:p w14:paraId="12CD0994" w14:textId="77777777" w:rsidR="009E2889" w:rsidRPr="00512094" w:rsidRDefault="009E2889" w:rsidP="009E2889">
      <w:pPr>
        <w:spacing w:after="0" w:line="480" w:lineRule="auto"/>
        <w:ind w:firstLine="720"/>
        <w:rPr>
          <w:rFonts w:ascii="Times New Roman" w:hAnsi="Times New Roman"/>
          <w:sz w:val="24"/>
          <w:szCs w:val="24"/>
        </w:rPr>
      </w:pPr>
      <w:r>
        <w:rPr>
          <w:rFonts w:ascii="Times New Roman" w:hAnsi="Times New Roman"/>
          <w:sz w:val="24"/>
          <w:szCs w:val="24"/>
        </w:rPr>
        <w:t xml:space="preserve">Where significant differences were identified for breeds </w:t>
      </w:r>
      <w:r w:rsidRPr="00E65C59">
        <w:rPr>
          <w:rFonts w:ascii="Times New Roman" w:hAnsi="Times New Roman"/>
          <w:sz w:val="24"/>
          <w:szCs w:val="24"/>
        </w:rPr>
        <w:t>with at least 120 individuals</w:t>
      </w:r>
      <w:r>
        <w:rPr>
          <w:rFonts w:ascii="Times New Roman" w:hAnsi="Times New Roman"/>
          <w:sz w:val="24"/>
          <w:szCs w:val="24"/>
        </w:rPr>
        <w:t xml:space="preserve">, tentative breed-specific reference intervals were calculated based on the ASVCP guidelines [2]. Normality of the </w:t>
      </w:r>
      <w:proofErr w:type="spellStart"/>
      <w:r>
        <w:rPr>
          <w:rFonts w:ascii="Times New Roman" w:hAnsi="Times New Roman"/>
          <w:sz w:val="24"/>
          <w:szCs w:val="24"/>
        </w:rPr>
        <w:t>analytes</w:t>
      </w:r>
      <w:proofErr w:type="spellEnd"/>
      <w:r>
        <w:rPr>
          <w:rFonts w:ascii="Times New Roman" w:hAnsi="Times New Roman"/>
          <w:sz w:val="24"/>
          <w:szCs w:val="24"/>
        </w:rPr>
        <w:t xml:space="preserve"> </w:t>
      </w:r>
      <w:proofErr w:type="gramStart"/>
      <w:r>
        <w:rPr>
          <w:rFonts w:ascii="Times New Roman" w:hAnsi="Times New Roman"/>
          <w:sz w:val="24"/>
          <w:szCs w:val="24"/>
        </w:rPr>
        <w:t>were</w:t>
      </w:r>
      <w:proofErr w:type="gramEnd"/>
      <w:r>
        <w:rPr>
          <w:rFonts w:ascii="Times New Roman" w:hAnsi="Times New Roman"/>
          <w:sz w:val="24"/>
          <w:szCs w:val="24"/>
        </w:rPr>
        <w:t xml:space="preserve"> assessed by the </w:t>
      </w:r>
      <w:r w:rsidRPr="00E65C59">
        <w:rPr>
          <w:rFonts w:ascii="Times New Roman" w:hAnsi="Times New Roman"/>
          <w:sz w:val="24"/>
          <w:szCs w:val="24"/>
        </w:rPr>
        <w:t>Kolmogorov-Smirnov</w:t>
      </w:r>
      <w:r>
        <w:rPr>
          <w:rFonts w:ascii="Times New Roman" w:hAnsi="Times New Roman"/>
          <w:sz w:val="24"/>
          <w:szCs w:val="24"/>
        </w:rPr>
        <w:t xml:space="preserve"> </w:t>
      </w:r>
      <w:r w:rsidRPr="00E65C59">
        <w:rPr>
          <w:rFonts w:ascii="Times New Roman" w:hAnsi="Times New Roman"/>
          <w:sz w:val="24"/>
          <w:szCs w:val="24"/>
        </w:rPr>
        <w:t>tests</w:t>
      </w:r>
      <w:r>
        <w:rPr>
          <w:rFonts w:ascii="Times New Roman" w:hAnsi="Times New Roman"/>
          <w:sz w:val="24"/>
          <w:szCs w:val="24"/>
        </w:rPr>
        <w:t xml:space="preserve"> and outliers assessed using Horn’s algorithm. Non-parametric methods were employed to establish the 95% reference intervals and the 90% confidence interval of the reference limits. </w:t>
      </w:r>
      <w:r w:rsidRPr="004233AB">
        <w:rPr>
          <w:rFonts w:ascii="Times New Roman" w:hAnsi="Times New Roman"/>
          <w:sz w:val="24"/>
          <w:szCs w:val="24"/>
        </w:rPr>
        <w:t xml:space="preserve">The lower (upper) limit for the 95% breed-specific reference interval per </w:t>
      </w:r>
      <w:proofErr w:type="spellStart"/>
      <w:r>
        <w:rPr>
          <w:rFonts w:ascii="Times New Roman" w:hAnsi="Times New Roman"/>
          <w:sz w:val="24"/>
          <w:szCs w:val="24"/>
        </w:rPr>
        <w:t>analyte</w:t>
      </w:r>
      <w:proofErr w:type="spellEnd"/>
      <w:r w:rsidRPr="004233AB">
        <w:rPr>
          <w:rFonts w:ascii="Times New Roman" w:hAnsi="Times New Roman"/>
          <w:sz w:val="24"/>
          <w:szCs w:val="24"/>
        </w:rPr>
        <w:t xml:space="preserve"> </w:t>
      </w:r>
      <w:r>
        <w:rPr>
          <w:rFonts w:ascii="Times New Roman" w:hAnsi="Times New Roman"/>
          <w:sz w:val="24"/>
          <w:szCs w:val="24"/>
        </w:rPr>
        <w:t>may be overestimated (underestimated)</w:t>
      </w:r>
      <w:r w:rsidRPr="004233AB">
        <w:rPr>
          <w:rFonts w:ascii="Times New Roman" w:hAnsi="Times New Roman"/>
          <w:sz w:val="24"/>
          <w:szCs w:val="24"/>
        </w:rPr>
        <w:t xml:space="preserve"> </w:t>
      </w:r>
      <w:r w:rsidRPr="00512094">
        <w:rPr>
          <w:rFonts w:ascii="Times New Roman" w:hAnsi="Times New Roman"/>
          <w:sz w:val="24"/>
          <w:szCs w:val="24"/>
        </w:rPr>
        <w:t>if more than 2% of the recorded data were equal to the existing RVC DL lower (upper) reference limit, thus suggesting ‘truncation’ of the data.</w:t>
      </w:r>
      <w:r w:rsidRPr="004233AB">
        <w:rPr>
          <w:rFonts w:ascii="Times New Roman" w:hAnsi="Times New Roman"/>
          <w:sz w:val="24"/>
          <w:szCs w:val="24"/>
        </w:rPr>
        <w:t xml:space="preserve"> This truncation was not applicable to </w:t>
      </w:r>
      <w:r>
        <w:rPr>
          <w:rFonts w:ascii="Times New Roman" w:hAnsi="Times New Roman"/>
          <w:sz w:val="24"/>
          <w:szCs w:val="24"/>
        </w:rPr>
        <w:t>the lower limit for total bilirubin since its</w:t>
      </w:r>
      <w:r w:rsidRPr="004233AB">
        <w:rPr>
          <w:rFonts w:ascii="Times New Roman" w:hAnsi="Times New Roman"/>
          <w:sz w:val="24"/>
          <w:szCs w:val="24"/>
        </w:rPr>
        <w:t xml:space="preserve"> </w:t>
      </w:r>
      <w:r>
        <w:rPr>
          <w:rFonts w:ascii="Times New Roman" w:hAnsi="Times New Roman"/>
          <w:sz w:val="24"/>
          <w:szCs w:val="24"/>
        </w:rPr>
        <w:t xml:space="preserve">value </w:t>
      </w:r>
      <w:r w:rsidRPr="004233AB">
        <w:rPr>
          <w:rFonts w:ascii="Times New Roman" w:hAnsi="Times New Roman"/>
          <w:sz w:val="24"/>
          <w:szCs w:val="24"/>
        </w:rPr>
        <w:t xml:space="preserve">was already 0. </w:t>
      </w:r>
    </w:p>
    <w:p w14:paraId="5EF51B73" w14:textId="77777777" w:rsidR="00DA5ED3" w:rsidRDefault="00DA5ED3"/>
    <w:p w14:paraId="7C2AFCD1" w14:textId="77777777" w:rsidR="00647D8D" w:rsidRDefault="00647D8D" w:rsidP="00647D8D">
      <w:pPr>
        <w:spacing w:after="0"/>
        <w:rPr>
          <w:rFonts w:ascii="Times New Roman" w:hAnsi="Times New Roman"/>
          <w:b/>
          <w:sz w:val="24"/>
          <w:szCs w:val="24"/>
        </w:rPr>
      </w:pPr>
      <w:r>
        <w:rPr>
          <w:rFonts w:ascii="Times New Roman" w:hAnsi="Times New Roman"/>
          <w:b/>
          <w:sz w:val="24"/>
          <w:szCs w:val="24"/>
        </w:rPr>
        <w:t>REFERENCES FOR SUPPORTING INFORMATION</w:t>
      </w:r>
    </w:p>
    <w:p w14:paraId="1831C94D" w14:textId="77777777" w:rsidR="00647D8D" w:rsidRDefault="00647D8D" w:rsidP="00647D8D">
      <w:pPr>
        <w:spacing w:after="0" w:line="240" w:lineRule="auto"/>
        <w:rPr>
          <w:rFonts w:ascii="Times New Roman" w:hAnsi="Times New Roman"/>
          <w:b/>
          <w:sz w:val="24"/>
          <w:szCs w:val="24"/>
        </w:rPr>
      </w:pPr>
    </w:p>
    <w:p w14:paraId="49044DB0" w14:textId="77777777" w:rsidR="00647D8D" w:rsidRDefault="00647D8D" w:rsidP="00647D8D">
      <w:pPr>
        <w:spacing w:line="480" w:lineRule="auto"/>
        <w:ind w:left="720" w:hanging="720"/>
        <w:rPr>
          <w:rFonts w:ascii="Times New Roman" w:hAnsi="Times New Roman"/>
          <w:noProof/>
          <w:sz w:val="24"/>
          <w:szCs w:val="24"/>
        </w:rPr>
      </w:pPr>
      <w:bookmarkStart w:id="0" w:name="_ENREF_2"/>
      <w:r>
        <w:rPr>
          <w:rFonts w:ascii="Times New Roman" w:hAnsi="Times New Roman"/>
          <w:noProof/>
          <w:sz w:val="24"/>
          <w:szCs w:val="24"/>
        </w:rPr>
        <w:t>1</w:t>
      </w:r>
      <w:r w:rsidRPr="00783B2A">
        <w:rPr>
          <w:rFonts w:ascii="Times New Roman" w:hAnsi="Times New Roman"/>
          <w:noProof/>
          <w:sz w:val="24"/>
          <w:szCs w:val="24"/>
        </w:rPr>
        <w:t>. Vonholdt BM, Pollinger JP, Lohmueller KE, Han E, Parker HG, et al. (2010) Genome-wide SNP and haplotype analyses reveal a rich history underlying dog domestication. Nature 464: 898-902.</w:t>
      </w:r>
      <w:bookmarkEnd w:id="0"/>
    </w:p>
    <w:p w14:paraId="4525340D" w14:textId="77777777" w:rsidR="00647D8D" w:rsidRPr="00783B2A" w:rsidRDefault="00647D8D" w:rsidP="00647D8D">
      <w:pPr>
        <w:spacing w:line="480" w:lineRule="auto"/>
        <w:ind w:left="720" w:hanging="720"/>
        <w:rPr>
          <w:rFonts w:ascii="Times New Roman" w:hAnsi="Times New Roman"/>
          <w:noProof/>
          <w:sz w:val="24"/>
          <w:szCs w:val="24"/>
        </w:rPr>
      </w:pPr>
      <w:r>
        <w:rPr>
          <w:rFonts w:ascii="Times New Roman" w:hAnsi="Times New Roman"/>
          <w:noProof/>
          <w:sz w:val="24"/>
          <w:szCs w:val="24"/>
        </w:rPr>
        <w:t>2. Friedrichs KR, Harr KE, Freeman KP, Szladovits B, Walton RM, et al. (2012) ASVCP reference interval guidelines: determinnation of de novo reference intervals in veterinary species and other related topics. Vet Clin Path 41: 441-453.</w:t>
      </w:r>
    </w:p>
    <w:p w14:paraId="3F4AABC4" w14:textId="77777777" w:rsidR="00647D8D" w:rsidRDefault="00647D8D">
      <w:bookmarkStart w:id="1" w:name="_GoBack"/>
      <w:bookmarkEnd w:id="1"/>
    </w:p>
    <w:sectPr w:rsidR="00647D8D" w:rsidSect="00751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89"/>
    <w:rsid w:val="00647D8D"/>
    <w:rsid w:val="007519D4"/>
    <w:rsid w:val="009E2889"/>
    <w:rsid w:val="00DA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90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89"/>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89"/>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5438</Characters>
  <Application>Microsoft Macintosh Word</Application>
  <DocSecurity>0</DocSecurity>
  <Lines>45</Lines>
  <Paragraphs>12</Paragraphs>
  <ScaleCrop>false</ScaleCrop>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Yu-mei Chang</dc:creator>
  <cp:keywords/>
  <dc:description/>
  <cp:lastModifiedBy>Yu-mei Chang</cp:lastModifiedBy>
  <cp:revision>2</cp:revision>
  <dcterms:created xsi:type="dcterms:W3CDTF">2016-02-07T18:35:00Z</dcterms:created>
  <dcterms:modified xsi:type="dcterms:W3CDTF">2016-02-07T18:43:00Z</dcterms:modified>
</cp:coreProperties>
</file>