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29" w:rsidRDefault="00AC2629" w:rsidP="00AC2629">
      <w:pPr>
        <w:jc w:val="both"/>
        <w:rPr>
          <w:rFonts w:ascii="Verdana" w:hAnsi="Verdana"/>
          <w:sz w:val="24"/>
          <w:szCs w:val="24"/>
          <w:lang w:val="en-US"/>
        </w:rPr>
      </w:pPr>
      <w:r>
        <w:rPr>
          <w:rFonts w:ascii="Verdana" w:hAnsi="Verdana"/>
          <w:sz w:val="24"/>
          <w:szCs w:val="24"/>
          <w:lang w:val="en-US"/>
        </w:rPr>
        <w:t>S1</w:t>
      </w:r>
      <w:r w:rsidR="004427C9">
        <w:rPr>
          <w:rFonts w:ascii="Verdana" w:hAnsi="Verdana"/>
          <w:sz w:val="24"/>
          <w:szCs w:val="24"/>
          <w:lang w:val="en-US"/>
        </w:rPr>
        <w:t xml:space="preserve"> Text</w:t>
      </w:r>
      <w:r>
        <w:rPr>
          <w:rFonts w:ascii="Verdana" w:hAnsi="Verdana"/>
          <w:sz w:val="24"/>
          <w:szCs w:val="24"/>
          <w:lang w:val="en-US"/>
        </w:rPr>
        <w:t xml:space="preserve"> </w:t>
      </w:r>
    </w:p>
    <w:p w:rsidR="00AC2629" w:rsidRPr="000F2449" w:rsidRDefault="00AC2629" w:rsidP="00AC2629">
      <w:pPr>
        <w:jc w:val="both"/>
        <w:rPr>
          <w:rFonts w:ascii="Verdana" w:hAnsi="Verdana"/>
          <w:lang w:val="en-US"/>
        </w:rPr>
      </w:pPr>
      <w:r w:rsidRPr="000F2449">
        <w:rPr>
          <w:rFonts w:ascii="Verdana" w:hAnsi="Verdana"/>
          <w:lang w:val="en-US"/>
        </w:rPr>
        <w:t>Time-dependent analysis</w:t>
      </w:r>
    </w:p>
    <w:p w:rsidR="00AC2629" w:rsidRDefault="00AC2629" w:rsidP="00AC2629">
      <w:pPr>
        <w:jc w:val="both"/>
        <w:rPr>
          <w:rFonts w:ascii="Verdana" w:hAnsi="Verdana"/>
          <w:sz w:val="20"/>
          <w:szCs w:val="20"/>
          <w:lang w:val="en-US"/>
        </w:rPr>
      </w:pPr>
      <w:r>
        <w:rPr>
          <w:rFonts w:ascii="Verdana" w:hAnsi="Verdana"/>
          <w:sz w:val="20"/>
          <w:szCs w:val="20"/>
          <w:lang w:val="en-US"/>
        </w:rPr>
        <w:t xml:space="preserve">Generally one can expect that, because of the continuous reinforcing of wealth in a country, the gross urban product of cities will increase slowly as a function of time </w:t>
      </w:r>
      <w:r w:rsidR="00AE4F2F">
        <w:rPr>
          <w:rFonts w:ascii="Verdana" w:hAnsi="Verdana"/>
          <w:sz w:val="20"/>
          <w:szCs w:val="20"/>
          <w:lang w:val="en-US"/>
        </w:rPr>
        <w:t>(</w:t>
      </w:r>
      <w:r w:rsidRPr="00F00C6C">
        <w:rPr>
          <w:rFonts w:ascii="Verdana" w:hAnsi="Verdana"/>
          <w:sz w:val="20"/>
          <w:szCs w:val="20"/>
          <w:lang w:val="en-US"/>
        </w:rPr>
        <w:t xml:space="preserve">average annual rate </w:t>
      </w:r>
      <w:r>
        <w:rPr>
          <w:rFonts w:ascii="Verdana" w:hAnsi="Verdana"/>
          <w:sz w:val="20"/>
          <w:szCs w:val="20"/>
          <w:lang w:val="en-US"/>
        </w:rPr>
        <w:t>in the Netherlands of</w:t>
      </w:r>
      <w:r w:rsidRPr="00F00C6C">
        <w:rPr>
          <w:rFonts w:ascii="Verdana" w:hAnsi="Verdana"/>
          <w:sz w:val="20"/>
          <w:szCs w:val="20"/>
          <w:lang w:val="en-US"/>
        </w:rPr>
        <w:t xml:space="preserve"> </w:t>
      </w:r>
      <w:r w:rsidR="00AE4F2F">
        <w:rPr>
          <w:rFonts w:ascii="Verdana" w:hAnsi="Verdana"/>
          <w:sz w:val="20"/>
          <w:szCs w:val="20"/>
          <w:lang w:val="en-US"/>
        </w:rPr>
        <w:t xml:space="preserve">about 2.0 </w:t>
      </w:r>
      <w:r w:rsidRPr="00F00C6C">
        <w:rPr>
          <w:rFonts w:ascii="Verdana" w:hAnsi="Verdana"/>
          <w:sz w:val="20"/>
          <w:szCs w:val="20"/>
          <w:lang w:val="en-US"/>
        </w:rPr>
        <w:t>per cent in 1987-2012</w:t>
      </w:r>
      <w:r w:rsidR="00AE4F2F">
        <w:rPr>
          <w:rFonts w:ascii="Verdana" w:hAnsi="Verdana"/>
          <w:sz w:val="20"/>
          <w:szCs w:val="20"/>
          <w:lang w:val="en-US"/>
        </w:rPr>
        <w:t>)</w:t>
      </w:r>
      <w:r>
        <w:rPr>
          <w:rFonts w:ascii="Verdana" w:hAnsi="Verdana"/>
          <w:sz w:val="20"/>
          <w:szCs w:val="20"/>
          <w:lang w:val="en-US"/>
        </w:rPr>
        <w:t>. In the case of cities with a slow increase of population, this situation will be characterized by an ‘artificially’ very large power-law exponent for the gross urban product as a function of population, as explained mathematically at the end of this section. As an example we show in S1</w:t>
      </w:r>
      <w:r w:rsidR="00AE4F2F">
        <w:rPr>
          <w:rFonts w:ascii="Verdana" w:hAnsi="Verdana"/>
          <w:sz w:val="20"/>
          <w:szCs w:val="20"/>
          <w:lang w:val="en-US"/>
        </w:rPr>
        <w:t xml:space="preserve"> Fig</w:t>
      </w:r>
      <w:r>
        <w:rPr>
          <w:rFonts w:ascii="Verdana" w:hAnsi="Verdana"/>
          <w:sz w:val="20"/>
          <w:szCs w:val="20"/>
          <w:lang w:val="en-US"/>
        </w:rPr>
        <w:t xml:space="preserve"> the scaling of the gross urban product </w:t>
      </w:r>
      <w:r w:rsidR="00CD054C">
        <w:rPr>
          <w:rFonts w:ascii="Verdana" w:hAnsi="Verdana"/>
          <w:sz w:val="20"/>
          <w:szCs w:val="20"/>
          <w:lang w:val="en-US"/>
        </w:rPr>
        <w:t>with</w:t>
      </w:r>
      <w:r>
        <w:rPr>
          <w:rFonts w:ascii="Verdana" w:hAnsi="Verdana"/>
          <w:sz w:val="20"/>
          <w:szCs w:val="20"/>
          <w:lang w:val="en-US"/>
        </w:rPr>
        <w:t xml:space="preserve"> population of Eindhoven, one of the major industrial centers (Philips, ASML) in the Netherlands. In the period covered by our study (1988-2013) the population of the city (municipality) of Eindhoven (around 200,000 inhabitants) increased with 14 percent and the population of the Eindhoven urban area (around 450,000 inhabitants) with 21 per cent. The GUP (inflation corrected, index 2013) however increased in the same period for the city with 60 percent and for the urban area with 82 percent. As a consequence, we find very high exponents: 3.92 for the city and 3.01 for urban area. Thus it is clear that for cities with a small increase in population the measurement of the scaling behavior of socioeconomic variable with population and resulting exponents is meaningless.</w:t>
      </w:r>
    </w:p>
    <w:p w:rsidR="00AC2629" w:rsidRDefault="00AC2629" w:rsidP="00AC2629">
      <w:pPr>
        <w:jc w:val="both"/>
        <w:rPr>
          <w:rFonts w:ascii="Verdana" w:hAnsi="Verdana"/>
          <w:sz w:val="20"/>
          <w:szCs w:val="20"/>
          <w:lang w:val="en-US"/>
        </w:rPr>
      </w:pPr>
      <w:r>
        <w:rPr>
          <w:rFonts w:ascii="Verdana" w:hAnsi="Verdana"/>
          <w:sz w:val="20"/>
          <w:szCs w:val="20"/>
          <w:lang w:val="en-US"/>
        </w:rPr>
        <w:t xml:space="preserve">However, </w:t>
      </w:r>
      <w:r w:rsidR="00AE4F2F">
        <w:rPr>
          <w:rFonts w:ascii="Verdana" w:hAnsi="Verdana"/>
          <w:sz w:val="20"/>
          <w:szCs w:val="20"/>
          <w:lang w:val="en-US"/>
        </w:rPr>
        <w:t xml:space="preserve">for </w:t>
      </w:r>
      <w:r>
        <w:rPr>
          <w:rFonts w:ascii="Verdana" w:hAnsi="Verdana"/>
          <w:sz w:val="20"/>
          <w:szCs w:val="20"/>
          <w:lang w:val="en-US"/>
        </w:rPr>
        <w:t>cities that have grown rapidly in the covered time period</w:t>
      </w:r>
      <w:r w:rsidR="00AE4F2F">
        <w:rPr>
          <w:rFonts w:ascii="Verdana" w:hAnsi="Verdana"/>
          <w:sz w:val="20"/>
          <w:szCs w:val="20"/>
          <w:lang w:val="en-US"/>
        </w:rPr>
        <w:t>,</w:t>
      </w:r>
      <w:r>
        <w:rPr>
          <w:rFonts w:ascii="Verdana" w:hAnsi="Verdana"/>
          <w:sz w:val="20"/>
          <w:szCs w:val="20"/>
          <w:lang w:val="en-US"/>
        </w:rPr>
        <w:t xml:space="preserve"> the scaling has lower exponents. We present as an example Almere, the new city in the Amsterdam urban area that more than tripled in population from 60,000 in 1988 to about 200,000 now. We find a scaling power-law exponent of 1.16 for the </w:t>
      </w:r>
      <w:r w:rsidRPr="00DE2E55">
        <w:rPr>
          <w:rFonts w:ascii="Verdana" w:hAnsi="Verdana"/>
          <w:sz w:val="20"/>
          <w:szCs w:val="20"/>
          <w:lang w:val="en-US"/>
        </w:rPr>
        <w:t>gross urban product</w:t>
      </w:r>
      <w:r w:rsidR="00E170AB">
        <w:rPr>
          <w:rFonts w:ascii="Verdana" w:hAnsi="Verdana"/>
          <w:sz w:val="20"/>
          <w:szCs w:val="20"/>
          <w:lang w:val="en-US"/>
        </w:rPr>
        <w:t xml:space="preserve">, see </w:t>
      </w:r>
      <w:r>
        <w:rPr>
          <w:rFonts w:ascii="Verdana" w:hAnsi="Verdana"/>
          <w:sz w:val="20"/>
          <w:szCs w:val="20"/>
          <w:lang w:val="en-US"/>
        </w:rPr>
        <w:t>S2</w:t>
      </w:r>
      <w:r w:rsidR="00AE4F2F">
        <w:rPr>
          <w:rFonts w:ascii="Verdana" w:hAnsi="Verdana"/>
          <w:sz w:val="20"/>
          <w:szCs w:val="20"/>
          <w:lang w:val="en-US"/>
        </w:rPr>
        <w:t xml:space="preserve"> Fig</w:t>
      </w:r>
      <w:r>
        <w:rPr>
          <w:rFonts w:ascii="Verdana" w:hAnsi="Verdana"/>
          <w:sz w:val="20"/>
          <w:szCs w:val="20"/>
          <w:lang w:val="en-US"/>
        </w:rPr>
        <w:t xml:space="preserve">. </w:t>
      </w:r>
      <w:r w:rsidR="00AE4F2F">
        <w:rPr>
          <w:rFonts w:ascii="Verdana" w:hAnsi="Verdana"/>
          <w:sz w:val="20"/>
          <w:szCs w:val="20"/>
          <w:lang w:val="en-US"/>
        </w:rPr>
        <w:t xml:space="preserve">This value is in </w:t>
      </w:r>
      <w:r w:rsidR="002F3873">
        <w:rPr>
          <w:rFonts w:ascii="Verdana" w:hAnsi="Verdana"/>
          <w:sz w:val="20"/>
          <w:szCs w:val="20"/>
          <w:lang w:val="en-US"/>
        </w:rPr>
        <w:t xml:space="preserve">good </w:t>
      </w:r>
      <w:r w:rsidR="00AE4F2F">
        <w:rPr>
          <w:rFonts w:ascii="Verdana" w:hAnsi="Verdana"/>
          <w:sz w:val="20"/>
          <w:szCs w:val="20"/>
          <w:lang w:val="en-US"/>
        </w:rPr>
        <w:t>agreement with those previously found in urban scaling studies and with the expected GUP value for doubling of population as presented in Fig 1</w:t>
      </w:r>
      <w:r w:rsidR="00CD054C">
        <w:rPr>
          <w:rFonts w:ascii="Verdana" w:hAnsi="Verdana"/>
          <w:sz w:val="20"/>
          <w:szCs w:val="20"/>
          <w:lang w:val="en-US"/>
        </w:rPr>
        <w:t xml:space="preserve"> (</w:t>
      </w:r>
      <w:r w:rsidR="00E27B9E">
        <w:rPr>
          <w:rFonts w:ascii="Verdana" w:hAnsi="Verdana"/>
          <w:sz w:val="20"/>
          <w:szCs w:val="20"/>
          <w:lang w:val="en-US"/>
        </w:rPr>
        <w:t xml:space="preserve">in the </w:t>
      </w:r>
      <w:r w:rsidR="00CD054C">
        <w:rPr>
          <w:rFonts w:ascii="Verdana" w:hAnsi="Verdana"/>
          <w:sz w:val="20"/>
          <w:szCs w:val="20"/>
          <w:lang w:val="en-US"/>
        </w:rPr>
        <w:t>main text)</w:t>
      </w:r>
      <w:r w:rsidR="00AE4F2F">
        <w:rPr>
          <w:rFonts w:ascii="Verdana" w:hAnsi="Verdana"/>
          <w:sz w:val="20"/>
          <w:szCs w:val="20"/>
          <w:lang w:val="en-US"/>
        </w:rPr>
        <w:t xml:space="preserve">. </w:t>
      </w:r>
      <w:r>
        <w:rPr>
          <w:rFonts w:ascii="Verdana" w:hAnsi="Verdana"/>
          <w:sz w:val="20"/>
          <w:szCs w:val="20"/>
          <w:lang w:val="en-US"/>
        </w:rPr>
        <w:t xml:space="preserve">In this case of a rapidly growing city, it is interesting that we find an exponent of 1.43 for the number of jobs. Time analysis of the ratio of GUP and number of jobs shows that the number of jobs increased more rapidly than the GUP. This means a decreasing added value for the more recent jobs. In Section ‘Residual Analysis of the 50,000+ cities’ </w:t>
      </w:r>
      <w:r w:rsidR="00E27B9E">
        <w:rPr>
          <w:rFonts w:ascii="Verdana" w:hAnsi="Verdana"/>
          <w:sz w:val="20"/>
          <w:szCs w:val="20"/>
          <w:lang w:val="en-US"/>
        </w:rPr>
        <w:t xml:space="preserve">(in the main text) </w:t>
      </w:r>
      <w:r>
        <w:rPr>
          <w:rFonts w:ascii="Verdana" w:hAnsi="Verdana"/>
          <w:sz w:val="20"/>
          <w:szCs w:val="20"/>
          <w:lang w:val="en-US"/>
        </w:rPr>
        <w:t xml:space="preserve">further evidence is found that this new city underperforms considerably as compared to other cities, in agreement with earlier socio-economic studies of cities in the Netherlands. </w:t>
      </w:r>
    </w:p>
    <w:p w:rsidR="00AC2629" w:rsidRPr="00BA64E6" w:rsidRDefault="00AC2629" w:rsidP="00AC2629">
      <w:pPr>
        <w:jc w:val="both"/>
        <w:rPr>
          <w:rFonts w:ascii="Verdana" w:hAnsi="Verdana"/>
          <w:i/>
          <w:sz w:val="16"/>
          <w:szCs w:val="16"/>
          <w:lang w:val="en-US"/>
        </w:rPr>
      </w:pPr>
      <w:r>
        <w:rPr>
          <w:rFonts w:ascii="Verdana" w:hAnsi="Verdana"/>
          <w:sz w:val="20"/>
          <w:szCs w:val="20"/>
          <w:lang w:val="en-US"/>
        </w:rPr>
        <w:t xml:space="preserve">Other fast growing cities show similar and even higher power-law exponents. These fast growing cities are characterized by a typical residential role in the beginning (most of these fast growing cities are within the larger urban areas of major cities). But as these cities became larger they started to attract business companies and thus reinforced their socioeconomic position in a relatively great pace, often in a situation where the population was not growing that rapidly anymore. So also in these cases, the high </w:t>
      </w:r>
      <w:proofErr w:type="spellStart"/>
      <w:r>
        <w:rPr>
          <w:rFonts w:ascii="Verdana" w:hAnsi="Verdana"/>
          <w:sz w:val="20"/>
          <w:szCs w:val="20"/>
          <w:lang w:val="en-US"/>
        </w:rPr>
        <w:t>superlinear</w:t>
      </w:r>
      <w:proofErr w:type="spellEnd"/>
      <w:r>
        <w:rPr>
          <w:rFonts w:ascii="Verdana" w:hAnsi="Verdana"/>
          <w:sz w:val="20"/>
          <w:szCs w:val="20"/>
          <w:lang w:val="en-US"/>
        </w:rPr>
        <w:t xml:space="preserve"> exponents can be explained, at least a part of it, by the similar mathematical model as discussed </w:t>
      </w:r>
      <w:r w:rsidR="001374F0">
        <w:rPr>
          <w:rFonts w:ascii="Verdana" w:hAnsi="Verdana"/>
          <w:sz w:val="20"/>
          <w:szCs w:val="20"/>
          <w:lang w:val="en-US"/>
        </w:rPr>
        <w:t>here below</w:t>
      </w:r>
      <w:r>
        <w:rPr>
          <w:rFonts w:ascii="Verdana" w:hAnsi="Verdana"/>
          <w:sz w:val="20"/>
          <w:szCs w:val="20"/>
          <w:lang w:val="en-US"/>
        </w:rPr>
        <w:t xml:space="preserve">. </w:t>
      </w:r>
    </w:p>
    <w:p w:rsidR="00AC2629" w:rsidRDefault="00AC2629" w:rsidP="001374F0">
      <w:pPr>
        <w:jc w:val="both"/>
        <w:rPr>
          <w:rFonts w:ascii="Verdana" w:hAnsi="Verdana"/>
          <w:sz w:val="20"/>
          <w:szCs w:val="20"/>
          <w:lang w:val="en-US"/>
        </w:rPr>
      </w:pPr>
      <w:r>
        <w:rPr>
          <w:rFonts w:ascii="Verdana" w:hAnsi="Verdana"/>
          <w:sz w:val="20"/>
          <w:szCs w:val="20"/>
          <w:lang w:val="en-US"/>
        </w:rPr>
        <w:t xml:space="preserve">We conclude that </w:t>
      </w:r>
      <w:r w:rsidR="00AE4F2F">
        <w:rPr>
          <w:rFonts w:ascii="Verdana" w:hAnsi="Verdana"/>
          <w:sz w:val="20"/>
          <w:szCs w:val="20"/>
          <w:lang w:val="en-US"/>
        </w:rPr>
        <w:t>a time-dependent</w:t>
      </w:r>
      <w:r>
        <w:rPr>
          <w:rFonts w:ascii="Verdana" w:hAnsi="Verdana"/>
          <w:sz w:val="20"/>
          <w:szCs w:val="20"/>
          <w:lang w:val="en-US"/>
        </w:rPr>
        <w:t xml:space="preserve"> analysis of cities indeed reveals </w:t>
      </w:r>
      <w:r w:rsidR="002F3873">
        <w:rPr>
          <w:rFonts w:ascii="Verdana" w:hAnsi="Verdana"/>
          <w:sz w:val="20"/>
          <w:szCs w:val="20"/>
          <w:lang w:val="en-US"/>
        </w:rPr>
        <w:t xml:space="preserve">the expected </w:t>
      </w:r>
      <w:r>
        <w:rPr>
          <w:rFonts w:ascii="Verdana" w:hAnsi="Verdana"/>
          <w:sz w:val="20"/>
          <w:szCs w:val="20"/>
          <w:lang w:val="en-US"/>
        </w:rPr>
        <w:t xml:space="preserve">scaling behavior, but only in the case of a substantial increase of population, for instance rapidly growing new cities. For slowly growing cities with a relative strong increase of GUP we find very high exponents, as illustrated by the Eindhoven case. It illustrates the difficulty to investigate the scaling behavior with time series data. </w:t>
      </w:r>
    </w:p>
    <w:p w:rsidR="001374F0" w:rsidRDefault="001374F0" w:rsidP="001374F0">
      <w:pPr>
        <w:spacing w:line="240" w:lineRule="auto"/>
        <w:jc w:val="both"/>
        <w:rPr>
          <w:rFonts w:ascii="Verdana" w:hAnsi="Verdana"/>
          <w:lang w:val="en-US"/>
        </w:rPr>
      </w:pPr>
    </w:p>
    <w:p w:rsidR="00AC2629" w:rsidRDefault="0027707E" w:rsidP="0027707E">
      <w:pPr>
        <w:spacing w:line="240" w:lineRule="auto"/>
        <w:jc w:val="both"/>
        <w:rPr>
          <w:rFonts w:ascii="Verdana" w:hAnsi="Verdana"/>
          <w:sz w:val="20"/>
          <w:szCs w:val="20"/>
          <w:lang w:val="en-US"/>
        </w:rPr>
      </w:pPr>
      <w:r w:rsidRPr="0027707E">
        <w:rPr>
          <w:rFonts w:ascii="Verdana" w:hAnsi="Verdana"/>
          <w:sz w:val="20"/>
          <w:szCs w:val="20"/>
          <w:lang w:val="en-US"/>
        </w:rPr>
        <w:lastRenderedPageBreak/>
        <w:t xml:space="preserve">To conclude this section, we present a </w:t>
      </w:r>
      <w:r>
        <w:rPr>
          <w:rFonts w:ascii="Verdana" w:hAnsi="Verdana"/>
          <w:sz w:val="20"/>
          <w:szCs w:val="20"/>
          <w:lang w:val="en-US"/>
        </w:rPr>
        <w:t>m</w:t>
      </w:r>
      <w:r w:rsidR="00AC2629" w:rsidRPr="0027707E">
        <w:rPr>
          <w:rFonts w:ascii="Verdana" w:hAnsi="Verdana"/>
          <w:sz w:val="20"/>
          <w:szCs w:val="20"/>
          <w:lang w:val="en-US"/>
        </w:rPr>
        <w:t>athematical explanation of large power-law exponents</w:t>
      </w:r>
      <w:r>
        <w:rPr>
          <w:rFonts w:ascii="Verdana" w:hAnsi="Verdana"/>
          <w:sz w:val="20"/>
          <w:szCs w:val="20"/>
          <w:lang w:val="en-US"/>
        </w:rPr>
        <w:t xml:space="preserve">. </w:t>
      </w:r>
      <w:bookmarkStart w:id="0" w:name="_GoBack"/>
      <w:bookmarkEnd w:id="0"/>
      <w:r w:rsidR="00AC2629">
        <w:rPr>
          <w:rFonts w:ascii="Verdana" w:hAnsi="Verdana"/>
          <w:sz w:val="20"/>
          <w:szCs w:val="20"/>
          <w:lang w:val="en-US"/>
        </w:rPr>
        <w:t xml:space="preserve">Suppose we have a slowly growing gross urban product </w:t>
      </w:r>
    </w:p>
    <w:p w:rsidR="00AC2629" w:rsidRPr="00174D2A" w:rsidRDefault="00D82EEA" w:rsidP="001374F0">
      <w:pPr>
        <w:jc w:val="both"/>
        <w:rPr>
          <w:rFonts w:ascii="Verdana" w:hAnsi="Verdana"/>
          <w:lang w:val="en-US"/>
        </w:rPr>
      </w:pPr>
      <m:oMath>
        <m:sSup>
          <m:sSupPr>
            <m:ctrlPr>
              <w:rPr>
                <w:rFonts w:ascii="Cambria Math" w:hAnsi="Cambria Math"/>
                <w:i/>
                <w:lang w:val="en-US"/>
              </w:rPr>
            </m:ctrlPr>
          </m:sSupPr>
          <m:e>
            <m:r>
              <w:rPr>
                <w:rFonts w:ascii="Cambria Math" w:hAnsi="Cambria Math"/>
                <w:lang w:val="en-US"/>
              </w:rPr>
              <m:t>G</m:t>
            </m:r>
            <m:d>
              <m:dPr>
                <m:ctrlPr>
                  <w:rPr>
                    <w:rFonts w:ascii="Cambria Math" w:hAnsi="Cambria Math"/>
                    <w:i/>
                    <w:lang w:val="en-US"/>
                  </w:rPr>
                </m:ctrlPr>
              </m:dPr>
              <m:e>
                <m:r>
                  <w:rPr>
                    <w:rFonts w:ascii="Cambria Math" w:hAnsi="Cambria Math"/>
                    <w:lang w:val="en-US"/>
                  </w:rPr>
                  <m:t>t</m:t>
                </m:r>
              </m:e>
            </m:d>
            <m:r>
              <w:rPr>
                <w:rFonts w:ascii="Cambria Math" w:hAnsi="Cambria Math"/>
                <w:lang w:val="en-US"/>
              </w:rPr>
              <m:t>~ e</m:t>
            </m:r>
          </m:e>
          <m:sup>
            <m:r>
              <w:rPr>
                <w:rFonts w:ascii="Cambria Math" w:hAnsi="Cambria Math"/>
                <w:lang w:val="en-US"/>
              </w:rPr>
              <m:t>αt</m:t>
            </m:r>
          </m:sup>
        </m:sSup>
      </m:oMath>
      <w:r w:rsidR="00AC2629">
        <w:rPr>
          <w:rFonts w:ascii="Verdana" w:hAnsi="Verdana"/>
          <w:lang w:val="en-US"/>
        </w:rPr>
        <w:tab/>
      </w:r>
      <w:r w:rsidR="00AC2629">
        <w:rPr>
          <w:rFonts w:ascii="Verdana" w:hAnsi="Verdana"/>
          <w:lang w:val="en-US"/>
        </w:rPr>
        <w:tab/>
      </w:r>
      <w:r w:rsidR="00AC2629">
        <w:rPr>
          <w:rFonts w:ascii="Verdana" w:hAnsi="Verdana"/>
          <w:lang w:val="en-US"/>
        </w:rPr>
        <w:tab/>
      </w:r>
      <w:r w:rsidR="00AC2629">
        <w:rPr>
          <w:rFonts w:ascii="Verdana" w:hAnsi="Verdana"/>
          <w:lang w:val="en-US"/>
        </w:rPr>
        <w:tab/>
      </w:r>
      <w:r w:rsidR="00AC2629">
        <w:rPr>
          <w:rFonts w:ascii="Verdana" w:hAnsi="Verdana"/>
          <w:lang w:val="en-US"/>
        </w:rPr>
        <w:tab/>
      </w:r>
      <w:r w:rsidR="00AC2629">
        <w:rPr>
          <w:rFonts w:ascii="Verdana" w:hAnsi="Verdana"/>
          <w:lang w:val="en-US"/>
        </w:rPr>
        <w:tab/>
      </w:r>
      <w:r w:rsidR="00AC2629">
        <w:rPr>
          <w:rFonts w:ascii="Verdana" w:hAnsi="Verdana"/>
          <w:lang w:val="en-US"/>
        </w:rPr>
        <w:tab/>
      </w:r>
      <w:r w:rsidR="00AC2629">
        <w:rPr>
          <w:rFonts w:ascii="Verdana" w:hAnsi="Verdana"/>
          <w:lang w:val="en-US"/>
        </w:rPr>
        <w:tab/>
      </w:r>
      <w:r w:rsidR="00AC2629">
        <w:rPr>
          <w:rFonts w:ascii="Verdana" w:hAnsi="Verdana"/>
          <w:lang w:val="en-US"/>
        </w:rPr>
        <w:tab/>
      </w:r>
      <w:r w:rsidR="00AC2629">
        <w:rPr>
          <w:rFonts w:ascii="Verdana" w:hAnsi="Verdana"/>
          <w:lang w:val="en-US"/>
        </w:rPr>
        <w:tab/>
      </w:r>
      <w:r w:rsidR="00AC2629">
        <w:rPr>
          <w:rFonts w:ascii="Verdana" w:hAnsi="Verdana"/>
          <w:lang w:val="en-US"/>
        </w:rPr>
        <w:tab/>
      </w:r>
      <w:r w:rsidR="00E170AB">
        <w:rPr>
          <w:rFonts w:ascii="Verdana" w:hAnsi="Verdana"/>
          <w:sz w:val="20"/>
          <w:szCs w:val="20"/>
          <w:lang w:val="en-US"/>
        </w:rPr>
        <w:t>(</w:t>
      </w:r>
      <w:r w:rsidR="00AC2629">
        <w:rPr>
          <w:rFonts w:ascii="Verdana" w:hAnsi="Verdana"/>
          <w:sz w:val="20"/>
          <w:szCs w:val="20"/>
          <w:lang w:val="en-US"/>
        </w:rPr>
        <w:t xml:space="preserve">1) </w:t>
      </w:r>
    </w:p>
    <w:p w:rsidR="001374F0" w:rsidRDefault="00AC2629" w:rsidP="001374F0">
      <w:pPr>
        <w:rPr>
          <w:rFonts w:ascii="Verdana" w:hAnsi="Verdana"/>
          <w:sz w:val="20"/>
          <w:szCs w:val="20"/>
          <w:lang w:val="en-US"/>
        </w:rPr>
      </w:pPr>
      <w:r>
        <w:rPr>
          <w:rFonts w:ascii="Verdana" w:hAnsi="Verdana"/>
          <w:sz w:val="20"/>
          <w:szCs w:val="20"/>
          <w:lang w:val="en-US"/>
        </w:rPr>
        <w:t xml:space="preserve">and an even slower growing population </w:t>
      </w:r>
    </w:p>
    <w:p w:rsidR="00AC2629" w:rsidRPr="00174D2A" w:rsidRDefault="00AC2629" w:rsidP="001374F0">
      <w:pPr>
        <w:rPr>
          <w:rFonts w:ascii="Verdana" w:hAnsi="Verdana"/>
          <w:lang w:val="en-US"/>
        </w:rPr>
      </w:pPr>
      <m:oMathPara>
        <m:oMath>
          <m:r>
            <m:rPr>
              <m:sty m:val="p"/>
            </m:rPr>
            <w:rPr>
              <w:rFonts w:ascii="Cambria Math" w:hAnsi="Cambria Math"/>
              <w:lang w:val="en-US"/>
            </w:rPr>
            <w:br/>
          </m:r>
          <m:sSup>
            <m:sSupPr>
              <m:ctrlPr>
                <w:rPr>
                  <w:rFonts w:ascii="Cambria Math" w:hAnsi="Cambria Math"/>
                  <w:i/>
                  <w:lang w:val="en-US"/>
                </w:rPr>
              </m:ctrlPr>
            </m:sSupPr>
            <m:e>
              <m:r>
                <w:rPr>
                  <w:rFonts w:ascii="Cambria Math" w:hAnsi="Cambria Math"/>
                  <w:lang w:val="en-US"/>
                </w:rPr>
                <m:t>P</m:t>
              </m:r>
              <m:d>
                <m:dPr>
                  <m:ctrlPr>
                    <w:rPr>
                      <w:rFonts w:ascii="Cambria Math" w:hAnsi="Cambria Math"/>
                      <w:i/>
                      <w:lang w:val="en-US"/>
                    </w:rPr>
                  </m:ctrlPr>
                </m:dPr>
                <m:e>
                  <m:r>
                    <w:rPr>
                      <w:rFonts w:ascii="Cambria Math" w:hAnsi="Cambria Math"/>
                      <w:lang w:val="en-US"/>
                    </w:rPr>
                    <m:t>t</m:t>
                  </m:r>
                </m:e>
              </m:d>
              <m:r>
                <w:rPr>
                  <w:rFonts w:ascii="Cambria Math" w:hAnsi="Cambria Math"/>
                  <w:lang w:val="en-US"/>
                </w:rPr>
                <m:t>~ e</m:t>
              </m:r>
            </m:e>
            <m:sup>
              <m:r>
                <w:rPr>
                  <w:rFonts w:ascii="Cambria Math" w:hAnsi="Cambria Math"/>
                  <w:lang w:val="en-US"/>
                </w:rPr>
                <m:t>βt</m:t>
              </m:r>
            </m:sup>
          </m:sSup>
          <m:r>
            <w:rPr>
              <w:rFonts w:ascii="Cambria Math" w:hAnsi="Cambria Math"/>
              <w:lang w:val="en-US"/>
            </w:rPr>
            <m:t>,  β&lt;α</m:t>
          </m:r>
        </m:oMath>
      </m:oMathPara>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Pr>
          <w:rFonts w:ascii="Verdana" w:hAnsi="Verdana"/>
          <w:lang w:val="en-US"/>
        </w:rPr>
        <w:tab/>
      </w:r>
      <w:r w:rsidR="00E170AB">
        <w:rPr>
          <w:rFonts w:ascii="Verdana" w:hAnsi="Verdana"/>
          <w:sz w:val="20"/>
          <w:szCs w:val="20"/>
          <w:lang w:val="en-US"/>
        </w:rPr>
        <w:t>(</w:t>
      </w:r>
      <w:r>
        <w:rPr>
          <w:rFonts w:ascii="Verdana" w:hAnsi="Verdana"/>
          <w:sz w:val="20"/>
          <w:szCs w:val="20"/>
          <w:lang w:val="en-US"/>
        </w:rPr>
        <w:t>2)</w:t>
      </w:r>
    </w:p>
    <w:p w:rsidR="00AC2629" w:rsidRDefault="00AC2629" w:rsidP="001374F0">
      <w:pPr>
        <w:jc w:val="both"/>
        <w:rPr>
          <w:rFonts w:ascii="Verdana" w:hAnsi="Verdana"/>
          <w:sz w:val="20"/>
          <w:szCs w:val="20"/>
          <w:lang w:val="en-US"/>
        </w:rPr>
      </w:pPr>
      <w:r w:rsidRPr="00F83700">
        <w:rPr>
          <w:rFonts w:ascii="Verdana" w:hAnsi="Verdana"/>
          <w:sz w:val="20"/>
          <w:szCs w:val="20"/>
          <w:lang w:val="en-US"/>
        </w:rPr>
        <w:t>Say we ar</w:t>
      </w:r>
      <w:r>
        <w:rPr>
          <w:rFonts w:ascii="Verdana" w:hAnsi="Verdana"/>
          <w:sz w:val="20"/>
          <w:szCs w:val="20"/>
          <w:lang w:val="en-US"/>
        </w:rPr>
        <w:t xml:space="preserve">e interested in the gross urban </w:t>
      </w:r>
      <w:r w:rsidRPr="00F83700">
        <w:rPr>
          <w:rFonts w:ascii="Verdana" w:hAnsi="Verdana"/>
          <w:sz w:val="20"/>
          <w:szCs w:val="20"/>
          <w:lang w:val="en-US"/>
        </w:rPr>
        <w:t>product</w:t>
      </w:r>
      <w:r w:rsidRPr="00F83700">
        <w:rPr>
          <w:rFonts w:ascii="Verdana" w:hAnsi="Verdana"/>
          <w:sz w:val="20"/>
          <w:szCs w:val="20"/>
          <w:vertAlign w:val="superscript"/>
          <w:lang w:val="en-US"/>
        </w:rPr>
        <w:t xml:space="preserve"> </w:t>
      </w:r>
      <w:r>
        <w:rPr>
          <w:rFonts w:ascii="Verdana" w:hAnsi="Verdana"/>
          <w:sz w:val="20"/>
          <w:szCs w:val="20"/>
          <w:lang w:val="en-US"/>
        </w:rPr>
        <w:t xml:space="preserve">as a function of P, </w:t>
      </w:r>
      <w:r w:rsidRPr="00F83700">
        <w:rPr>
          <w:rFonts w:ascii="Verdana" w:hAnsi="Verdana"/>
          <w:sz w:val="20"/>
          <w:szCs w:val="20"/>
          <w:lang w:val="en-US"/>
        </w:rPr>
        <w:t xml:space="preserve">then </w:t>
      </w:r>
      <w:r>
        <w:rPr>
          <w:rFonts w:ascii="Verdana" w:hAnsi="Verdana"/>
          <w:sz w:val="20"/>
          <w:szCs w:val="20"/>
          <w:lang w:val="en-US"/>
        </w:rPr>
        <w:t>from</w:t>
      </w:r>
      <w:r w:rsidRPr="00F83700">
        <w:rPr>
          <w:rFonts w:ascii="Verdana" w:hAnsi="Verdana"/>
          <w:sz w:val="20"/>
          <w:szCs w:val="20"/>
          <w:lang w:val="en-US"/>
        </w:rPr>
        <w:t xml:space="preserve"> </w:t>
      </w:r>
      <w:r>
        <w:rPr>
          <w:rFonts w:ascii="Verdana" w:hAnsi="Verdana"/>
          <w:sz w:val="20"/>
          <w:szCs w:val="20"/>
          <w:lang w:val="en-US"/>
        </w:rPr>
        <w:t>the necessary condition</w:t>
      </w:r>
    </w:p>
    <w:p w:rsidR="00AC2629" w:rsidRPr="00174D2A" w:rsidRDefault="00D82EEA" w:rsidP="001374F0">
      <w:pPr>
        <w:jc w:val="both"/>
        <w:rPr>
          <w:rFonts w:ascii="Verdana" w:eastAsiaTheme="minorEastAsia" w:hAnsi="Verdana"/>
          <w:lang w:val="en-US"/>
        </w:rPr>
      </w:pPr>
      <m:oMath>
        <m:nary>
          <m:naryPr>
            <m:limLoc m:val="undOvr"/>
            <m:subHide m:val="1"/>
            <m:supHide m:val="1"/>
            <m:ctrlPr>
              <w:rPr>
                <w:rFonts w:ascii="Cambria Math" w:hAnsi="Cambria Math"/>
                <w:i/>
                <w:lang w:val="en-US"/>
              </w:rPr>
            </m:ctrlPr>
          </m:naryPr>
          <m:sub/>
          <m:sup/>
          <m:e>
            <m:r>
              <w:rPr>
                <w:rFonts w:ascii="Cambria Math" w:hAnsi="Cambria Math"/>
                <w:lang w:val="en-US"/>
              </w:rPr>
              <m:t>G</m:t>
            </m:r>
            <m:d>
              <m:dPr>
                <m:ctrlPr>
                  <w:rPr>
                    <w:rFonts w:ascii="Cambria Math" w:hAnsi="Cambria Math"/>
                    <w:i/>
                    <w:lang w:val="en-US"/>
                  </w:rPr>
                </m:ctrlPr>
              </m:dPr>
              <m:e>
                <m:r>
                  <w:rPr>
                    <w:rFonts w:ascii="Cambria Math" w:hAnsi="Cambria Math"/>
                    <w:lang w:val="en-US"/>
                  </w:rPr>
                  <m:t>t</m:t>
                </m:r>
              </m:e>
            </m:d>
            <m:r>
              <w:rPr>
                <w:rFonts w:ascii="Cambria Math" w:hAnsi="Cambria Math"/>
                <w:lang w:val="en-US"/>
              </w:rPr>
              <m:t xml:space="preserve">dt = </m:t>
            </m:r>
          </m:e>
        </m:nary>
        <m:nary>
          <m:naryPr>
            <m:limLoc m:val="undOvr"/>
            <m:subHide m:val="1"/>
            <m:supHide m:val="1"/>
            <m:ctrlPr>
              <w:rPr>
                <w:rFonts w:ascii="Cambria Math" w:hAnsi="Cambria Math"/>
                <w:i/>
                <w:lang w:val="en-US"/>
              </w:rPr>
            </m:ctrlPr>
          </m:naryPr>
          <m:sub/>
          <m:sup/>
          <m:e>
            <m:r>
              <w:rPr>
                <w:rFonts w:ascii="Cambria Math" w:hAnsi="Cambria Math"/>
                <w:lang w:val="en-US"/>
              </w:rPr>
              <m:t xml:space="preserve">G(P)dP </m:t>
            </m:r>
          </m:e>
        </m:nary>
      </m:oMath>
      <w:r w:rsidR="00AC2629">
        <w:rPr>
          <w:rFonts w:ascii="Verdana" w:eastAsiaTheme="minorEastAsia" w:hAnsi="Verdana"/>
          <w:lang w:val="en-US"/>
        </w:rPr>
        <w:tab/>
      </w:r>
      <w:r w:rsidR="00AC2629">
        <w:rPr>
          <w:rFonts w:ascii="Verdana" w:eastAsiaTheme="minorEastAsia" w:hAnsi="Verdana"/>
          <w:lang w:val="en-US"/>
        </w:rPr>
        <w:tab/>
      </w:r>
      <w:r w:rsidR="00AC2629">
        <w:rPr>
          <w:rFonts w:ascii="Verdana" w:eastAsiaTheme="minorEastAsia" w:hAnsi="Verdana"/>
          <w:lang w:val="en-US"/>
        </w:rPr>
        <w:tab/>
      </w:r>
      <w:r w:rsidR="00AC2629">
        <w:rPr>
          <w:rFonts w:ascii="Verdana" w:eastAsiaTheme="minorEastAsia" w:hAnsi="Verdana"/>
          <w:lang w:val="en-US"/>
        </w:rPr>
        <w:tab/>
      </w:r>
      <w:r w:rsidR="00AC2629">
        <w:rPr>
          <w:rFonts w:ascii="Verdana" w:eastAsiaTheme="minorEastAsia" w:hAnsi="Verdana"/>
          <w:lang w:val="en-US"/>
        </w:rPr>
        <w:tab/>
      </w:r>
      <w:r w:rsidR="00AC2629">
        <w:rPr>
          <w:rFonts w:ascii="Verdana" w:eastAsiaTheme="minorEastAsia" w:hAnsi="Verdana"/>
          <w:lang w:val="en-US"/>
        </w:rPr>
        <w:tab/>
      </w:r>
      <w:r w:rsidR="00AC2629">
        <w:rPr>
          <w:rFonts w:ascii="Verdana" w:eastAsiaTheme="minorEastAsia" w:hAnsi="Verdana"/>
          <w:lang w:val="en-US"/>
        </w:rPr>
        <w:tab/>
      </w:r>
      <w:r w:rsidR="00AC2629">
        <w:rPr>
          <w:rFonts w:ascii="Verdana" w:eastAsiaTheme="minorEastAsia" w:hAnsi="Verdana"/>
          <w:lang w:val="en-US"/>
        </w:rPr>
        <w:tab/>
      </w:r>
      <w:r w:rsidR="00AC2629">
        <w:rPr>
          <w:rFonts w:ascii="Verdana" w:eastAsiaTheme="minorEastAsia" w:hAnsi="Verdana"/>
          <w:lang w:val="en-US"/>
        </w:rPr>
        <w:tab/>
      </w:r>
      <w:r w:rsidR="00AC2629">
        <w:rPr>
          <w:rFonts w:ascii="Verdana" w:eastAsiaTheme="minorEastAsia" w:hAnsi="Verdana"/>
          <w:lang w:val="en-US"/>
        </w:rPr>
        <w:tab/>
      </w:r>
      <w:r w:rsidR="00E170AB">
        <w:rPr>
          <w:rFonts w:ascii="Verdana" w:hAnsi="Verdana"/>
          <w:sz w:val="20"/>
          <w:szCs w:val="20"/>
          <w:lang w:val="en-US"/>
        </w:rPr>
        <w:t>(</w:t>
      </w:r>
      <w:r w:rsidR="00AC2629">
        <w:rPr>
          <w:rFonts w:ascii="Verdana" w:hAnsi="Verdana"/>
          <w:sz w:val="20"/>
          <w:szCs w:val="20"/>
          <w:lang w:val="en-US"/>
        </w:rPr>
        <w:t>3)</w:t>
      </w:r>
    </w:p>
    <w:p w:rsidR="00AC2629" w:rsidRPr="00174D2A" w:rsidRDefault="00E170AB" w:rsidP="001374F0">
      <w:pPr>
        <w:jc w:val="both"/>
        <w:rPr>
          <w:rFonts w:ascii="Verdana" w:hAnsi="Verdana"/>
          <w:sz w:val="20"/>
          <w:szCs w:val="20"/>
          <w:lang w:val="en-US"/>
        </w:rPr>
      </w:pPr>
      <w:r>
        <w:rPr>
          <w:rFonts w:ascii="Verdana" w:hAnsi="Verdana"/>
          <w:sz w:val="20"/>
          <w:szCs w:val="20"/>
          <w:lang w:val="en-US"/>
        </w:rPr>
        <w:t xml:space="preserve">and using Eq. </w:t>
      </w:r>
      <w:r w:rsidR="00AC2629">
        <w:rPr>
          <w:rFonts w:ascii="Verdana" w:hAnsi="Verdana"/>
          <w:sz w:val="20"/>
          <w:szCs w:val="20"/>
          <w:lang w:val="en-US"/>
        </w:rPr>
        <w:t xml:space="preserve">2 from which follows  </w:t>
      </w:r>
      <m:oMath>
        <m:r>
          <w:rPr>
            <w:rFonts w:ascii="Cambria Math" w:eastAsiaTheme="minorEastAsia" w:hAnsi="Cambria Math"/>
            <w:lang w:val="en-US"/>
          </w:rPr>
          <m:t>t ~</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β</m:t>
            </m:r>
          </m:den>
        </m:f>
        <m:r>
          <w:rPr>
            <w:rFonts w:ascii="Cambria Math" w:eastAsiaTheme="minorEastAsia" w:hAnsi="Cambria Math"/>
            <w:lang w:val="en-US"/>
          </w:rPr>
          <m:t xml:space="preserve"> lnP</m:t>
        </m:r>
      </m:oMath>
      <w:r w:rsidR="00AC2629">
        <w:rPr>
          <w:rFonts w:ascii="Verdana" w:eastAsiaTheme="minorEastAsia" w:hAnsi="Verdana"/>
          <w:lang w:val="en-US"/>
        </w:rPr>
        <w:t xml:space="preserve">  </w:t>
      </w:r>
      <w:r w:rsidR="00AC2629">
        <w:rPr>
          <w:rFonts w:ascii="Verdana" w:hAnsi="Verdana"/>
          <w:sz w:val="20"/>
          <w:szCs w:val="20"/>
          <w:lang w:val="en-US"/>
        </w:rPr>
        <w:t>we find</w:t>
      </w:r>
    </w:p>
    <w:p w:rsidR="00AC2629" w:rsidRPr="00174D2A" w:rsidRDefault="00AC2629" w:rsidP="001374F0">
      <w:pPr>
        <w:jc w:val="both"/>
        <w:rPr>
          <w:rFonts w:ascii="Verdana" w:eastAsiaTheme="minorEastAsia" w:hAnsi="Verdana"/>
          <w:lang w:val="en-US"/>
        </w:rPr>
      </w:pPr>
      <m:oMath>
        <m:r>
          <w:rPr>
            <w:rFonts w:ascii="Cambria Math" w:eastAsiaTheme="minorEastAsia" w:hAnsi="Cambria Math"/>
            <w:lang w:val="en-US"/>
          </w:rPr>
          <m:t>G</m:t>
        </m:r>
        <m:d>
          <m:dPr>
            <m:ctrlPr>
              <w:rPr>
                <w:rFonts w:ascii="Cambria Math" w:eastAsiaTheme="minorEastAsia" w:hAnsi="Cambria Math"/>
                <w:i/>
                <w:lang w:val="en-US"/>
              </w:rPr>
            </m:ctrlPr>
          </m:dPr>
          <m:e>
            <m:r>
              <w:rPr>
                <w:rFonts w:ascii="Cambria Math" w:eastAsiaTheme="minorEastAsia" w:hAnsi="Cambria Math"/>
                <w:lang w:val="en-US"/>
              </w:rPr>
              <m:t>P</m:t>
            </m:r>
          </m:e>
        </m:d>
        <m:r>
          <w:rPr>
            <w:rFonts w:ascii="Cambria Math" w:eastAsiaTheme="minorEastAsia" w:hAnsi="Cambria Math"/>
            <w:lang w:val="en-US"/>
          </w:rPr>
          <m:t>=G</m:t>
        </m:r>
        <m:d>
          <m:dPr>
            <m:ctrlPr>
              <w:rPr>
                <w:rFonts w:ascii="Cambria Math" w:eastAsiaTheme="minorEastAsia" w:hAnsi="Cambria Math"/>
                <w:i/>
                <w:lang w:val="en-US"/>
              </w:rPr>
            </m:ctrlPr>
          </m:dPr>
          <m:e>
            <m:r>
              <w:rPr>
                <w:rFonts w:ascii="Cambria Math" w:eastAsiaTheme="minorEastAsia" w:hAnsi="Cambria Math"/>
                <w:lang w:val="en-US"/>
              </w:rPr>
              <m:t>t</m:t>
            </m:r>
          </m:e>
        </m:d>
        <m:f>
          <m:fPr>
            <m:ctrlPr>
              <w:rPr>
                <w:rFonts w:ascii="Cambria Math" w:eastAsiaTheme="minorEastAsia" w:hAnsi="Cambria Math"/>
                <w:i/>
                <w:lang w:val="en-US"/>
              </w:rPr>
            </m:ctrlPr>
          </m:fPr>
          <m:num>
            <m:r>
              <w:rPr>
                <w:rFonts w:ascii="Cambria Math" w:eastAsiaTheme="minorEastAsia" w:hAnsi="Cambria Math"/>
                <w:lang w:val="en-US"/>
              </w:rPr>
              <m:t>dt</m:t>
            </m:r>
          </m:num>
          <m:den>
            <m:r>
              <w:rPr>
                <w:rFonts w:ascii="Cambria Math" w:eastAsiaTheme="minorEastAsia" w:hAnsi="Cambria Math"/>
                <w:lang w:val="en-US"/>
              </w:rPr>
              <m:t>dP</m:t>
            </m:r>
          </m:den>
        </m:f>
        <m:r>
          <w:rPr>
            <w:rFonts w:ascii="Cambria Math" w:eastAsiaTheme="minorEastAsia" w:hAnsi="Cambria Math"/>
            <w:lang w:val="en-US"/>
          </w:rPr>
          <m:t xml:space="preserve"> ~ </m:t>
        </m:r>
        <m:f>
          <m:fPr>
            <m:ctrlPr>
              <w:rPr>
                <w:rFonts w:ascii="Cambria Math" w:eastAsiaTheme="minorEastAsia" w:hAnsi="Cambria Math"/>
                <w:i/>
                <w:lang w:val="en-US"/>
              </w:rPr>
            </m:ctrlPr>
          </m:fPr>
          <m:num>
            <m:sSup>
              <m:sSupPr>
                <m:ctrlPr>
                  <w:rPr>
                    <w:rFonts w:ascii="Cambria Math" w:eastAsiaTheme="minorEastAsia" w:hAnsi="Cambria Math"/>
                    <w:i/>
                    <w:lang w:val="en-US"/>
                  </w:rPr>
                </m:ctrlPr>
              </m:sSupPr>
              <m:e>
                <m:r>
                  <w:rPr>
                    <w:rFonts w:ascii="Cambria Math" w:hAnsi="Cambria Math"/>
                    <w:lang w:val="en-US"/>
                  </w:rPr>
                  <m:t>e</m:t>
                </m:r>
              </m:e>
              <m:sup>
                <m:r>
                  <w:rPr>
                    <w:rFonts w:ascii="Cambria Math" w:hAnsi="Cambria Math"/>
                    <w:lang w:val="en-US"/>
                  </w:rPr>
                  <m:t xml:space="preserve">αt </m:t>
                </m:r>
              </m:sup>
            </m:sSup>
          </m:num>
          <m:den>
            <m:r>
              <w:rPr>
                <w:rFonts w:ascii="Cambria Math" w:eastAsiaTheme="minorEastAsia" w:hAnsi="Cambria Math"/>
                <w:lang w:val="en-US"/>
              </w:rPr>
              <m:t>β</m:t>
            </m:r>
            <m:sSup>
              <m:sSupPr>
                <m:ctrlPr>
                  <w:rPr>
                    <w:rFonts w:ascii="Cambria Math" w:eastAsiaTheme="minorEastAsia" w:hAnsi="Cambria Math"/>
                    <w:i/>
                    <w:lang w:val="en-US"/>
                  </w:rPr>
                </m:ctrlPr>
              </m:sSupPr>
              <m:e>
                <m:r>
                  <w:rPr>
                    <w:rFonts w:ascii="Cambria Math" w:eastAsiaTheme="minorEastAsia" w:hAnsi="Cambria Math"/>
                    <w:lang w:val="en-US"/>
                  </w:rPr>
                  <m:t>e</m:t>
                </m:r>
              </m:e>
              <m:sup>
                <m:r>
                  <w:rPr>
                    <w:rFonts w:ascii="Cambria Math" w:eastAsiaTheme="minorEastAsia" w:hAnsi="Cambria Math"/>
                    <w:lang w:val="en-US"/>
                  </w:rPr>
                  <m:t>βt</m:t>
                </m:r>
              </m:sup>
            </m:sSup>
          </m:den>
        </m:f>
        <m:r>
          <w:rPr>
            <w:rFonts w:ascii="Cambria Math" w:eastAsiaTheme="minorEastAsia" w:hAnsi="Cambria Math"/>
            <w:lang w:val="en-US"/>
          </w:rPr>
          <m:t xml:space="preserve">= </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β</m:t>
            </m:r>
          </m:den>
        </m:f>
        <m:r>
          <w:rPr>
            <w:rFonts w:ascii="Cambria Math" w:eastAsiaTheme="minorEastAsia" w:hAnsi="Cambria Math"/>
            <w:lang w:val="en-US"/>
          </w:rPr>
          <m:t xml:space="preserve"> </m:t>
        </m:r>
        <m:sSup>
          <m:sSupPr>
            <m:ctrlPr>
              <w:rPr>
                <w:rFonts w:ascii="Cambria Math" w:eastAsiaTheme="minorEastAsia" w:hAnsi="Cambria Math"/>
                <w:i/>
                <w:lang w:val="en-US"/>
              </w:rPr>
            </m:ctrlPr>
          </m:sSupPr>
          <m:e>
            <m:r>
              <w:rPr>
                <w:rFonts w:ascii="Cambria Math" w:eastAsiaTheme="minorEastAsia" w:hAnsi="Cambria Math"/>
                <w:lang w:val="en-US"/>
              </w:rPr>
              <m:t>e</m:t>
            </m:r>
          </m:e>
          <m:sup>
            <m:d>
              <m:dPr>
                <m:ctrlPr>
                  <w:rPr>
                    <w:rFonts w:ascii="Cambria Math" w:eastAsiaTheme="minorEastAsia" w:hAnsi="Cambria Math"/>
                    <w:i/>
                    <w:lang w:val="en-US"/>
                  </w:rPr>
                </m:ctrlPr>
              </m:dPr>
              <m:e>
                <m:r>
                  <w:rPr>
                    <w:rFonts w:ascii="Cambria Math" w:eastAsiaTheme="minorEastAsia" w:hAnsi="Cambria Math"/>
                    <w:lang w:val="en-US"/>
                  </w:rPr>
                  <m:t>α-β</m:t>
                </m:r>
              </m:e>
            </m:d>
            <m:d>
              <m:dPr>
                <m:ctrlPr>
                  <w:rPr>
                    <w:rFonts w:ascii="Cambria Math" w:eastAsiaTheme="minorEastAsia" w:hAnsi="Cambria Math"/>
                    <w:i/>
                    <w:lang w:val="en-US"/>
                  </w:rPr>
                </m:ctrlPr>
              </m:dPr>
              <m:e>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β</m:t>
                    </m:r>
                  </m:den>
                </m:f>
              </m:e>
            </m:d>
            <m:r>
              <w:rPr>
                <w:rFonts w:ascii="Cambria Math" w:eastAsiaTheme="minorEastAsia" w:hAnsi="Cambria Math"/>
                <w:lang w:val="en-US"/>
              </w:rPr>
              <m:t>lnP</m:t>
            </m:r>
          </m:sup>
        </m:sSup>
        <m:r>
          <w:rPr>
            <w:rFonts w:ascii="Cambria Math" w:eastAsiaTheme="minorEastAsia" w:hAnsi="Cambria Math"/>
            <w:lang w:val="en-US"/>
          </w:rPr>
          <m:t xml:space="preserve">= </m:t>
        </m:r>
        <m:f>
          <m:fPr>
            <m:ctrlPr>
              <w:rPr>
                <w:rFonts w:ascii="Cambria Math" w:eastAsiaTheme="minorEastAsia" w:hAnsi="Cambria Math"/>
                <w:i/>
                <w:lang w:val="en-US"/>
              </w:rPr>
            </m:ctrlPr>
          </m:fPr>
          <m:num>
            <m:r>
              <w:rPr>
                <w:rFonts w:ascii="Cambria Math" w:eastAsiaTheme="minorEastAsia" w:hAnsi="Cambria Math"/>
                <w:lang w:val="en-US"/>
              </w:rPr>
              <m:t>1</m:t>
            </m:r>
          </m:num>
          <m:den>
            <m:r>
              <w:rPr>
                <w:rFonts w:ascii="Cambria Math" w:eastAsiaTheme="minorEastAsia" w:hAnsi="Cambria Math"/>
                <w:lang w:val="en-US"/>
              </w:rPr>
              <m:t>β</m:t>
            </m:r>
          </m:den>
        </m:f>
        <m:sSup>
          <m:sSupPr>
            <m:ctrlPr>
              <w:rPr>
                <w:rFonts w:ascii="Cambria Math" w:eastAsiaTheme="minorEastAsia" w:hAnsi="Cambria Math"/>
                <w:i/>
                <w:lang w:val="en-US"/>
              </w:rPr>
            </m:ctrlPr>
          </m:sSupPr>
          <m:e>
            <m:r>
              <w:rPr>
                <w:rFonts w:ascii="Cambria Math" w:eastAsiaTheme="minorEastAsia" w:hAnsi="Cambria Math"/>
                <w:lang w:val="en-US"/>
              </w:rPr>
              <m:t>P</m:t>
            </m:r>
          </m:e>
          <m:sup>
            <m:r>
              <w:rPr>
                <w:rFonts w:ascii="Cambria Math" w:eastAsiaTheme="minorEastAsia" w:hAnsi="Cambria Math"/>
                <w:lang w:val="en-US"/>
              </w:rPr>
              <m:t>(</m:t>
            </m:r>
            <m:f>
              <m:fPr>
                <m:ctrlPr>
                  <w:rPr>
                    <w:rFonts w:ascii="Cambria Math" w:eastAsiaTheme="minorEastAsia" w:hAnsi="Cambria Math"/>
                    <w:i/>
                    <w:lang w:val="en-US"/>
                  </w:rPr>
                </m:ctrlPr>
              </m:fPr>
              <m:num>
                <m:r>
                  <w:rPr>
                    <w:rFonts w:ascii="Cambria Math" w:eastAsiaTheme="minorEastAsia" w:hAnsi="Cambria Math"/>
                    <w:lang w:val="en-US"/>
                  </w:rPr>
                  <m:t>α</m:t>
                </m:r>
              </m:num>
              <m:den>
                <m:r>
                  <w:rPr>
                    <w:rFonts w:ascii="Cambria Math" w:eastAsiaTheme="minorEastAsia" w:hAnsi="Cambria Math"/>
                    <w:lang w:val="en-US"/>
                  </w:rPr>
                  <m:t>β</m:t>
                </m:r>
              </m:den>
            </m:f>
            <m:r>
              <w:rPr>
                <w:rFonts w:ascii="Cambria Math" w:eastAsiaTheme="minorEastAsia" w:hAnsi="Cambria Math"/>
                <w:lang w:val="en-US"/>
              </w:rPr>
              <m:t>-1)</m:t>
            </m:r>
          </m:sup>
        </m:sSup>
      </m:oMath>
      <w:r>
        <w:rPr>
          <w:rFonts w:ascii="Verdana" w:eastAsiaTheme="minorEastAsia" w:hAnsi="Verdana"/>
          <w:lang w:val="en-US"/>
        </w:rPr>
        <w:tab/>
      </w:r>
      <w:r>
        <w:rPr>
          <w:rFonts w:ascii="Verdana" w:eastAsiaTheme="minorEastAsia" w:hAnsi="Verdana"/>
          <w:lang w:val="en-US"/>
        </w:rPr>
        <w:tab/>
      </w:r>
      <w:r>
        <w:rPr>
          <w:rFonts w:ascii="Verdana" w:eastAsiaTheme="minorEastAsia" w:hAnsi="Verdana"/>
          <w:lang w:val="en-US"/>
        </w:rPr>
        <w:tab/>
      </w:r>
      <w:r>
        <w:rPr>
          <w:rFonts w:ascii="Verdana" w:eastAsiaTheme="minorEastAsia" w:hAnsi="Verdana"/>
          <w:lang w:val="en-US"/>
        </w:rPr>
        <w:tab/>
      </w:r>
      <w:r>
        <w:rPr>
          <w:rFonts w:ascii="Verdana" w:eastAsiaTheme="minorEastAsia" w:hAnsi="Verdana"/>
          <w:lang w:val="en-US"/>
        </w:rPr>
        <w:tab/>
      </w:r>
      <w:r>
        <w:rPr>
          <w:rFonts w:ascii="Verdana" w:eastAsiaTheme="minorEastAsia" w:hAnsi="Verdana"/>
          <w:lang w:val="en-US"/>
        </w:rPr>
        <w:tab/>
      </w:r>
      <w:r w:rsidRPr="00863208">
        <w:rPr>
          <w:rFonts w:ascii="Verdana" w:hAnsi="Verdana"/>
          <w:sz w:val="20"/>
          <w:szCs w:val="20"/>
          <w:lang w:val="en-US"/>
        </w:rPr>
        <w:t>(4)</w:t>
      </w:r>
    </w:p>
    <w:p w:rsidR="00AC2629" w:rsidRDefault="00AC2629" w:rsidP="001374F0">
      <w:pPr>
        <w:jc w:val="both"/>
        <w:rPr>
          <w:rFonts w:ascii="Verdana" w:hAnsi="Verdana"/>
          <w:sz w:val="20"/>
          <w:szCs w:val="20"/>
          <w:lang w:val="en-US"/>
        </w:rPr>
      </w:pPr>
      <w:r>
        <w:rPr>
          <w:rFonts w:ascii="Verdana" w:hAnsi="Verdana"/>
          <w:sz w:val="20"/>
          <w:szCs w:val="20"/>
          <w:lang w:val="en-US"/>
        </w:rPr>
        <w:t>which is a power-</w:t>
      </w:r>
      <w:r w:rsidRPr="007D59C1">
        <w:rPr>
          <w:rFonts w:ascii="Verdana" w:hAnsi="Verdana"/>
          <w:sz w:val="20"/>
          <w:szCs w:val="20"/>
          <w:lang w:val="en-US"/>
        </w:rPr>
        <w:t xml:space="preserve">law with exponent </w:t>
      </w:r>
      <w:r w:rsidRPr="00174D2A">
        <w:rPr>
          <w:rFonts w:ascii="Times New Roman" w:hAnsi="Times New Roman" w:cs="Times New Roman"/>
          <w:lang w:val="en-US"/>
        </w:rPr>
        <w:t>γ = (α/β – 1).</w:t>
      </w:r>
      <w:r>
        <w:rPr>
          <w:rFonts w:ascii="Verdana" w:hAnsi="Verdana"/>
          <w:sz w:val="20"/>
          <w:szCs w:val="20"/>
          <w:lang w:val="en-US"/>
        </w:rPr>
        <w:t xml:space="preserve"> </w:t>
      </w:r>
    </w:p>
    <w:p w:rsidR="00AC2629" w:rsidRPr="007D59C1" w:rsidRDefault="00E170AB" w:rsidP="001374F0">
      <w:pPr>
        <w:jc w:val="both"/>
        <w:rPr>
          <w:rFonts w:ascii="Verdana" w:hAnsi="Verdana"/>
          <w:sz w:val="20"/>
          <w:szCs w:val="20"/>
          <w:lang w:val="en-US"/>
        </w:rPr>
      </w:pPr>
      <w:r>
        <w:rPr>
          <w:rFonts w:ascii="Verdana" w:hAnsi="Verdana"/>
          <w:sz w:val="20"/>
          <w:szCs w:val="20"/>
          <w:lang w:val="en-US"/>
        </w:rPr>
        <w:t xml:space="preserve">It is now obvious from Eq. </w:t>
      </w:r>
      <w:r w:rsidR="00AC2629">
        <w:rPr>
          <w:rFonts w:ascii="Verdana" w:hAnsi="Verdana"/>
          <w:sz w:val="20"/>
          <w:szCs w:val="20"/>
          <w:lang w:val="en-US"/>
        </w:rPr>
        <w:t>4 that in the case of a very slow increase in population (small β, 0.00</w:t>
      </w:r>
      <w:r w:rsidR="002F3873">
        <w:rPr>
          <w:rFonts w:ascii="Verdana" w:hAnsi="Verdana"/>
          <w:sz w:val="20"/>
          <w:szCs w:val="20"/>
          <w:lang w:val="en-US"/>
        </w:rPr>
        <w:t>6</w:t>
      </w:r>
      <w:r w:rsidR="00AC2629">
        <w:rPr>
          <w:rFonts w:ascii="Verdana" w:hAnsi="Verdana"/>
          <w:sz w:val="20"/>
          <w:szCs w:val="20"/>
          <w:lang w:val="en-US"/>
        </w:rPr>
        <w:t xml:space="preserve"> in </w:t>
      </w:r>
      <w:r w:rsidR="002F3873">
        <w:rPr>
          <w:rFonts w:ascii="Verdana" w:hAnsi="Verdana"/>
          <w:sz w:val="20"/>
          <w:szCs w:val="20"/>
          <w:lang w:val="en-US"/>
        </w:rPr>
        <w:t>the Eindhoven case</w:t>
      </w:r>
      <w:r w:rsidR="00AC2629">
        <w:rPr>
          <w:rFonts w:ascii="Verdana" w:hAnsi="Verdana"/>
          <w:sz w:val="20"/>
          <w:szCs w:val="20"/>
          <w:lang w:val="en-US"/>
        </w:rPr>
        <w:t>) and a general increase of the gross urban product with a larger exponent (α, typically 0.02</w:t>
      </w:r>
      <w:r w:rsidR="002F3873">
        <w:rPr>
          <w:rFonts w:ascii="Verdana" w:hAnsi="Verdana"/>
          <w:sz w:val="20"/>
          <w:szCs w:val="20"/>
          <w:lang w:val="en-US"/>
        </w:rPr>
        <w:t>0</w:t>
      </w:r>
      <w:r w:rsidR="00AC2629">
        <w:rPr>
          <w:rFonts w:ascii="Verdana" w:hAnsi="Verdana"/>
          <w:sz w:val="20"/>
          <w:szCs w:val="20"/>
          <w:lang w:val="en-US"/>
        </w:rPr>
        <w:t>), the power-law exponent of the gross urban product as a function of population will be considerably higher than 1</w:t>
      </w:r>
      <w:r w:rsidR="002F3873">
        <w:rPr>
          <w:rFonts w:ascii="Verdana" w:hAnsi="Verdana"/>
          <w:sz w:val="20"/>
          <w:szCs w:val="20"/>
          <w:lang w:val="en-US"/>
        </w:rPr>
        <w:t xml:space="preserve">, we find an exponent of around 3, as is indeed the case for Eindhoven. </w:t>
      </w:r>
      <w:r w:rsidR="00AC2629">
        <w:rPr>
          <w:rFonts w:ascii="Verdana" w:hAnsi="Verdana"/>
          <w:sz w:val="20"/>
          <w:szCs w:val="20"/>
          <w:lang w:val="en-US"/>
        </w:rPr>
        <w:t xml:space="preserve">   </w:t>
      </w:r>
    </w:p>
    <w:sectPr w:rsidR="00AC2629" w:rsidRPr="007D59C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B1A" w:rsidRDefault="001A2B1A" w:rsidP="00AE4F2F">
      <w:pPr>
        <w:spacing w:after="0" w:line="240" w:lineRule="auto"/>
      </w:pPr>
      <w:r>
        <w:separator/>
      </w:r>
    </w:p>
  </w:endnote>
  <w:endnote w:type="continuationSeparator" w:id="0">
    <w:p w:rsidR="001A2B1A" w:rsidRDefault="001A2B1A" w:rsidP="00AE4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992490"/>
      <w:docPartObj>
        <w:docPartGallery w:val="Page Numbers (Bottom of Page)"/>
        <w:docPartUnique/>
      </w:docPartObj>
    </w:sdtPr>
    <w:sdtEndPr/>
    <w:sdtContent>
      <w:p w:rsidR="00AE4F2F" w:rsidRDefault="00AE4F2F">
        <w:pPr>
          <w:pStyle w:val="Voettekst"/>
          <w:jc w:val="right"/>
        </w:pPr>
        <w:r>
          <w:fldChar w:fldCharType="begin"/>
        </w:r>
        <w:r>
          <w:instrText>PAGE   \* MERGEFORMAT</w:instrText>
        </w:r>
        <w:r>
          <w:fldChar w:fldCharType="separate"/>
        </w:r>
        <w:r w:rsidR="0027707E">
          <w:rPr>
            <w:noProof/>
          </w:rPr>
          <w:t>1</w:t>
        </w:r>
        <w:r>
          <w:fldChar w:fldCharType="end"/>
        </w:r>
      </w:p>
    </w:sdtContent>
  </w:sdt>
  <w:p w:rsidR="00AE4F2F" w:rsidRDefault="00AE4F2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B1A" w:rsidRDefault="001A2B1A" w:rsidP="00AE4F2F">
      <w:pPr>
        <w:spacing w:after="0" w:line="240" w:lineRule="auto"/>
      </w:pPr>
      <w:r>
        <w:separator/>
      </w:r>
    </w:p>
  </w:footnote>
  <w:footnote w:type="continuationSeparator" w:id="0">
    <w:p w:rsidR="001A2B1A" w:rsidRDefault="001A2B1A" w:rsidP="00AE4F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629"/>
    <w:rsid w:val="00013522"/>
    <w:rsid w:val="00064F71"/>
    <w:rsid w:val="0008579A"/>
    <w:rsid w:val="000B452F"/>
    <w:rsid w:val="000C2D22"/>
    <w:rsid w:val="000E7520"/>
    <w:rsid w:val="001374F0"/>
    <w:rsid w:val="00162AD1"/>
    <w:rsid w:val="001902EA"/>
    <w:rsid w:val="001A2B1A"/>
    <w:rsid w:val="001E0896"/>
    <w:rsid w:val="002167FE"/>
    <w:rsid w:val="00267A13"/>
    <w:rsid w:val="0027707E"/>
    <w:rsid w:val="0027778E"/>
    <w:rsid w:val="00280397"/>
    <w:rsid w:val="002C25F3"/>
    <w:rsid w:val="002C28C3"/>
    <w:rsid w:val="002F3873"/>
    <w:rsid w:val="00334795"/>
    <w:rsid w:val="0035741B"/>
    <w:rsid w:val="0036166F"/>
    <w:rsid w:val="003B5AF8"/>
    <w:rsid w:val="003E3482"/>
    <w:rsid w:val="003F385F"/>
    <w:rsid w:val="003F6D72"/>
    <w:rsid w:val="00430F14"/>
    <w:rsid w:val="004427C9"/>
    <w:rsid w:val="004A3117"/>
    <w:rsid w:val="004B2060"/>
    <w:rsid w:val="004C6DD6"/>
    <w:rsid w:val="004E670C"/>
    <w:rsid w:val="004F14CD"/>
    <w:rsid w:val="00564435"/>
    <w:rsid w:val="00585C8D"/>
    <w:rsid w:val="00585FF6"/>
    <w:rsid w:val="005F6988"/>
    <w:rsid w:val="006221D6"/>
    <w:rsid w:val="006B4B24"/>
    <w:rsid w:val="006C00D5"/>
    <w:rsid w:val="006D3CAE"/>
    <w:rsid w:val="00705512"/>
    <w:rsid w:val="00741408"/>
    <w:rsid w:val="00767883"/>
    <w:rsid w:val="007A1C25"/>
    <w:rsid w:val="007E7712"/>
    <w:rsid w:val="007E7A4A"/>
    <w:rsid w:val="00812C5D"/>
    <w:rsid w:val="008513C1"/>
    <w:rsid w:val="00852BC8"/>
    <w:rsid w:val="00872044"/>
    <w:rsid w:val="00874241"/>
    <w:rsid w:val="00896B5A"/>
    <w:rsid w:val="008B3776"/>
    <w:rsid w:val="008D2FA2"/>
    <w:rsid w:val="008F2227"/>
    <w:rsid w:val="008F6DEF"/>
    <w:rsid w:val="00962CE6"/>
    <w:rsid w:val="009D03CD"/>
    <w:rsid w:val="009D1C54"/>
    <w:rsid w:val="00A119C2"/>
    <w:rsid w:val="00A12C38"/>
    <w:rsid w:val="00A74096"/>
    <w:rsid w:val="00AB2FEF"/>
    <w:rsid w:val="00AC25A3"/>
    <w:rsid w:val="00AC2629"/>
    <w:rsid w:val="00AE4F2F"/>
    <w:rsid w:val="00AE77B0"/>
    <w:rsid w:val="00B2320A"/>
    <w:rsid w:val="00BA0C05"/>
    <w:rsid w:val="00BA2DDD"/>
    <w:rsid w:val="00BF440F"/>
    <w:rsid w:val="00C15E65"/>
    <w:rsid w:val="00C6601F"/>
    <w:rsid w:val="00C771B3"/>
    <w:rsid w:val="00C946E5"/>
    <w:rsid w:val="00CD054C"/>
    <w:rsid w:val="00CF29FC"/>
    <w:rsid w:val="00CF2E2E"/>
    <w:rsid w:val="00D12A6A"/>
    <w:rsid w:val="00D57214"/>
    <w:rsid w:val="00D70798"/>
    <w:rsid w:val="00D81438"/>
    <w:rsid w:val="00DD04E8"/>
    <w:rsid w:val="00DD1180"/>
    <w:rsid w:val="00DD778F"/>
    <w:rsid w:val="00E170AB"/>
    <w:rsid w:val="00E27B9E"/>
    <w:rsid w:val="00E51E89"/>
    <w:rsid w:val="00E51EB3"/>
    <w:rsid w:val="00E56FBF"/>
    <w:rsid w:val="00E6516A"/>
    <w:rsid w:val="00E85EF7"/>
    <w:rsid w:val="00EA42AF"/>
    <w:rsid w:val="00ED41EF"/>
    <w:rsid w:val="00F0740B"/>
    <w:rsid w:val="00F11265"/>
    <w:rsid w:val="00F16EEE"/>
    <w:rsid w:val="00F21005"/>
    <w:rsid w:val="00F45EB5"/>
    <w:rsid w:val="00F567E0"/>
    <w:rsid w:val="00F939EC"/>
    <w:rsid w:val="00FB16B4"/>
    <w:rsid w:val="00FB4A7A"/>
    <w:rsid w:val="00FF48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26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AC2629"/>
    <w:pPr>
      <w:spacing w:after="0" w:line="240" w:lineRule="auto"/>
    </w:pPr>
    <w:rPr>
      <w:rFonts w:ascii="Courier New" w:eastAsia="Times New Roman" w:hAnsi="Courier New" w:cs="Courier New"/>
      <w:sz w:val="20"/>
      <w:szCs w:val="20"/>
      <w:lang w:val="en-GB"/>
    </w:rPr>
  </w:style>
  <w:style w:type="character" w:customStyle="1" w:styleId="TekstzonderopmaakChar">
    <w:name w:val="Tekst zonder opmaak Char"/>
    <w:basedOn w:val="Standaardalinea-lettertype"/>
    <w:link w:val="Tekstzonderopmaak"/>
    <w:uiPriority w:val="99"/>
    <w:rsid w:val="00AC2629"/>
    <w:rPr>
      <w:rFonts w:ascii="Courier New" w:eastAsia="Times New Roman" w:hAnsi="Courier New" w:cs="Courier New"/>
      <w:sz w:val="20"/>
      <w:szCs w:val="20"/>
      <w:lang w:val="en-GB"/>
    </w:rPr>
  </w:style>
  <w:style w:type="character" w:styleId="Hyperlink">
    <w:name w:val="Hyperlink"/>
    <w:basedOn w:val="Standaardalinea-lettertype"/>
    <w:uiPriority w:val="99"/>
    <w:unhideWhenUsed/>
    <w:rsid w:val="00AC2629"/>
    <w:rPr>
      <w:color w:val="0000FF" w:themeColor="hyperlink"/>
      <w:u w:val="single"/>
    </w:rPr>
  </w:style>
  <w:style w:type="character" w:customStyle="1" w:styleId="apple-converted-space">
    <w:name w:val="apple-converted-space"/>
    <w:basedOn w:val="Standaardalinea-lettertype"/>
    <w:rsid w:val="00AC2629"/>
  </w:style>
  <w:style w:type="paragraph" w:styleId="Ballontekst">
    <w:name w:val="Balloon Text"/>
    <w:basedOn w:val="Standaard"/>
    <w:link w:val="BallontekstChar"/>
    <w:uiPriority w:val="99"/>
    <w:semiHidden/>
    <w:unhideWhenUsed/>
    <w:rsid w:val="00AC26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2629"/>
    <w:rPr>
      <w:rFonts w:ascii="Tahoma" w:hAnsi="Tahoma" w:cs="Tahoma"/>
      <w:sz w:val="16"/>
      <w:szCs w:val="16"/>
    </w:rPr>
  </w:style>
  <w:style w:type="paragraph" w:styleId="Koptekst">
    <w:name w:val="header"/>
    <w:basedOn w:val="Standaard"/>
    <w:link w:val="KoptekstChar"/>
    <w:uiPriority w:val="99"/>
    <w:unhideWhenUsed/>
    <w:rsid w:val="00AE4F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4F2F"/>
  </w:style>
  <w:style w:type="paragraph" w:styleId="Voettekst">
    <w:name w:val="footer"/>
    <w:basedOn w:val="Standaard"/>
    <w:link w:val="VoettekstChar"/>
    <w:uiPriority w:val="99"/>
    <w:unhideWhenUsed/>
    <w:rsid w:val="00AE4F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4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262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rsid w:val="00AC2629"/>
    <w:pPr>
      <w:spacing w:after="0" w:line="240" w:lineRule="auto"/>
    </w:pPr>
    <w:rPr>
      <w:rFonts w:ascii="Courier New" w:eastAsia="Times New Roman" w:hAnsi="Courier New" w:cs="Courier New"/>
      <w:sz w:val="20"/>
      <w:szCs w:val="20"/>
      <w:lang w:val="en-GB"/>
    </w:rPr>
  </w:style>
  <w:style w:type="character" w:customStyle="1" w:styleId="TekstzonderopmaakChar">
    <w:name w:val="Tekst zonder opmaak Char"/>
    <w:basedOn w:val="Standaardalinea-lettertype"/>
    <w:link w:val="Tekstzonderopmaak"/>
    <w:uiPriority w:val="99"/>
    <w:rsid w:val="00AC2629"/>
    <w:rPr>
      <w:rFonts w:ascii="Courier New" w:eastAsia="Times New Roman" w:hAnsi="Courier New" w:cs="Courier New"/>
      <w:sz w:val="20"/>
      <w:szCs w:val="20"/>
      <w:lang w:val="en-GB"/>
    </w:rPr>
  </w:style>
  <w:style w:type="character" w:styleId="Hyperlink">
    <w:name w:val="Hyperlink"/>
    <w:basedOn w:val="Standaardalinea-lettertype"/>
    <w:uiPriority w:val="99"/>
    <w:unhideWhenUsed/>
    <w:rsid w:val="00AC2629"/>
    <w:rPr>
      <w:color w:val="0000FF" w:themeColor="hyperlink"/>
      <w:u w:val="single"/>
    </w:rPr>
  </w:style>
  <w:style w:type="character" w:customStyle="1" w:styleId="apple-converted-space">
    <w:name w:val="apple-converted-space"/>
    <w:basedOn w:val="Standaardalinea-lettertype"/>
    <w:rsid w:val="00AC2629"/>
  </w:style>
  <w:style w:type="paragraph" w:styleId="Ballontekst">
    <w:name w:val="Balloon Text"/>
    <w:basedOn w:val="Standaard"/>
    <w:link w:val="BallontekstChar"/>
    <w:uiPriority w:val="99"/>
    <w:semiHidden/>
    <w:unhideWhenUsed/>
    <w:rsid w:val="00AC262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2629"/>
    <w:rPr>
      <w:rFonts w:ascii="Tahoma" w:hAnsi="Tahoma" w:cs="Tahoma"/>
      <w:sz w:val="16"/>
      <w:szCs w:val="16"/>
    </w:rPr>
  </w:style>
  <w:style w:type="paragraph" w:styleId="Koptekst">
    <w:name w:val="header"/>
    <w:basedOn w:val="Standaard"/>
    <w:link w:val="KoptekstChar"/>
    <w:uiPriority w:val="99"/>
    <w:unhideWhenUsed/>
    <w:rsid w:val="00AE4F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4F2F"/>
  </w:style>
  <w:style w:type="paragraph" w:styleId="Voettekst">
    <w:name w:val="footer"/>
    <w:basedOn w:val="Standaard"/>
    <w:link w:val="VoettekstChar"/>
    <w:uiPriority w:val="99"/>
    <w:unhideWhenUsed/>
    <w:rsid w:val="00AE4F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4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3884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Tonr</dc:creator>
  <cp:lastModifiedBy>Tonr</cp:lastModifiedBy>
  <cp:revision>2</cp:revision>
  <cp:lastPrinted>2015-11-11T13:56:00Z</cp:lastPrinted>
  <dcterms:created xsi:type="dcterms:W3CDTF">2015-12-29T12:39:00Z</dcterms:created>
  <dcterms:modified xsi:type="dcterms:W3CDTF">2015-12-29T12:39:00Z</dcterms:modified>
</cp:coreProperties>
</file>