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49" w:rsidRDefault="008257CB" w:rsidP="0025263A">
      <w:pPr>
        <w:pStyle w:val="Heading1"/>
      </w:pPr>
      <w:r>
        <w:t>S</w:t>
      </w:r>
      <w:r w:rsidR="002545B0">
        <w:t>hear st</w:t>
      </w:r>
      <w:bookmarkStart w:id="0" w:name="_GoBack"/>
      <w:bookmarkEnd w:id="0"/>
      <w:r w:rsidR="002545B0">
        <w:t>ress parameters</w:t>
      </w:r>
    </w:p>
    <w:p w:rsidR="0025263A" w:rsidRDefault="00331149" w:rsidP="0025263A">
      <w:r>
        <w:t>A number of wall shear stress derived parameters were used to assess whether they influenced maturation or the prediction of sit</w:t>
      </w:r>
      <w:r w:rsidR="00C10F2D">
        <w:t>es of intimal hyperplasia. T</w:t>
      </w:r>
      <w:r w:rsidR="007D47FB">
        <w:t>hree</w:t>
      </w:r>
      <w:r>
        <w:t xml:space="preserve"> magnitude based shear stress parameters were used and two gradient based parameters were also analysed. Time averaged wall shear stress is c</w:t>
      </w:r>
      <w:r w:rsidRPr="00AA514B">
        <w:t>alculated by integrating each nodal WSS magnitude over the cardiac cycle</w:t>
      </w:r>
      <w:r w:rsidR="00D91A84">
        <w:t>. Oscillatory shear index</w:t>
      </w:r>
      <w:r w:rsidR="001C76AE">
        <w:t xml:space="preserve"> (OSI)</w:t>
      </w:r>
      <w:r w:rsidR="00D91A84" w:rsidRPr="00D91A84">
        <w:t xml:space="preserve"> </w:t>
      </w:r>
      <w:r w:rsidR="00D91A84">
        <w:t xml:space="preserve">is calculated using the formula shown in Eq </w:t>
      </w:r>
      <w:r w:rsidR="00D91A84">
        <w:fldChar w:fldCharType="begin"/>
      </w:r>
      <w:r w:rsidR="00D91A84">
        <w:instrText xml:space="preserve"> REF _Ref419389789 \h </w:instrText>
      </w:r>
      <w:r w:rsidR="00D91A84">
        <w:fldChar w:fldCharType="separate"/>
      </w:r>
      <w:r w:rsidR="00D91A84" w:rsidRPr="00933488">
        <w:rPr>
          <w:szCs w:val="24"/>
        </w:rPr>
        <w:t>(</w:t>
      </w:r>
      <w:r w:rsidR="00D91A84">
        <w:rPr>
          <w:b/>
          <w:noProof/>
          <w:szCs w:val="24"/>
        </w:rPr>
        <w:t>2</w:t>
      </w:r>
      <w:r w:rsidR="00D91A84">
        <w:fldChar w:fldCharType="end"/>
      </w:r>
      <w:r w:rsidR="00D91A84">
        <w:t>)</w:t>
      </w:r>
      <w:r w:rsidR="00D91A84">
        <w:t>. OSI</w:t>
      </w:r>
      <w:r>
        <w:t xml:space="preserve"> </w:t>
      </w:r>
      <w:r w:rsidR="00D91A84">
        <w:t xml:space="preserve">is </w:t>
      </w:r>
      <w:r>
        <w:t>a dimensionless</w:t>
      </w:r>
      <w:r w:rsidR="00600BE0">
        <w:t xml:space="preserve"> metric which characterises whether the WSS vector is aligned with the TAWSS vector throughout the cardiac cycle</w:t>
      </w:r>
      <w:r w:rsidRPr="00AA514B">
        <w:t>.</w:t>
      </w:r>
      <w:r w:rsidR="002A0099">
        <w:t xml:space="preserve"> The transverse wall shear stress (transWSS) calculates</w:t>
      </w:r>
      <w:r w:rsidR="002A0099" w:rsidRPr="002A0099">
        <w:t xml:space="preserve"> the time-average of wall shear stress components perpendicular to the mean flow direction</w:t>
      </w:r>
      <w:r w:rsidR="0028425A">
        <w:t xml:space="preserve"> </w:t>
      </w:r>
      <w:r w:rsidR="00600BE0">
        <w:t xml:space="preserve">and is </w:t>
      </w:r>
      <w:r w:rsidR="0028425A">
        <w:t>defined in Eq (</w:t>
      </w:r>
      <w:r w:rsidR="0028425A" w:rsidRPr="0028425A">
        <w:rPr>
          <w:b/>
        </w:rPr>
        <w:t>3</w:t>
      </w:r>
      <w:r w:rsidR="0028425A">
        <w:t xml:space="preserve">). It </w:t>
      </w:r>
      <w:r w:rsidR="0028425A" w:rsidRPr="00291789">
        <w:t>quantifies deviations in the direction of the wall shear stress vector throughout the cardiac cycle</w:t>
      </w:r>
      <w:r w:rsidR="00600BE0">
        <w:t>.</w:t>
      </w:r>
      <w:r w:rsidR="0028425A">
        <w:tab/>
      </w:r>
      <w:r w:rsidR="00D91A84">
        <w:tab/>
      </w:r>
      <w:r w:rsidR="00D91A84">
        <w:tab/>
      </w:r>
      <w:r w:rsidR="00D91A84">
        <w:tab/>
      </w:r>
      <w:r>
        <w:t xml:space="preserve">The spatial WSS gradient </w:t>
      </w:r>
      <w:r w:rsidR="001C76AE">
        <w:t xml:space="preserve">(WSSG) </w:t>
      </w:r>
      <w:r>
        <w:t>is calculated from</w:t>
      </w:r>
      <w:r w:rsidRPr="005A0EFD">
        <w:t xml:space="preserve"> </w:t>
      </w:r>
      <w:r>
        <w:t xml:space="preserve">the </w:t>
      </w:r>
      <w:r w:rsidRPr="005A0EFD">
        <w:t>WSS gradient tensor components parallel and perpendicular to the time-averaged WSS vector</w:t>
      </w:r>
      <w:r w:rsidR="001C76AE">
        <w:t xml:space="preserve"> as outlined in Eq</w:t>
      </w:r>
      <w:r w:rsidR="0028425A">
        <w:t xml:space="preserve"> </w:t>
      </w:r>
      <w:r w:rsidR="002A0099">
        <w:t>(</w:t>
      </w:r>
      <w:r w:rsidR="002A0099" w:rsidRPr="00D91A84">
        <w:rPr>
          <w:b/>
        </w:rPr>
        <w:t>4</w:t>
      </w:r>
      <w:r w:rsidR="001C76AE">
        <w:t>).</w:t>
      </w:r>
      <w:r>
        <w:t xml:space="preserve"> Th</w:t>
      </w:r>
      <w:r w:rsidR="001C76AE">
        <w:t>e temporal WSS gradient (TWSSG)</w:t>
      </w:r>
      <w:r>
        <w:t xml:space="preserve"> is simply quantified as the rate of change in WSS magnitude over the cardiac cycle</w:t>
      </w:r>
      <w:r w:rsidR="001C76AE">
        <w:t xml:space="preserve"> and is outlined in Eq </w:t>
      </w:r>
      <w:r w:rsidR="00292C00">
        <w:fldChar w:fldCharType="begin"/>
      </w:r>
      <w:r w:rsidR="001C76AE">
        <w:instrText xml:space="preserve"> REF _Ref419389816 \h </w:instrText>
      </w:r>
      <w:r w:rsidR="00292C00">
        <w:fldChar w:fldCharType="separate"/>
      </w:r>
      <w:r w:rsidR="001C76AE" w:rsidRPr="00933488">
        <w:rPr>
          <w:szCs w:val="24"/>
        </w:rPr>
        <w:t>(</w:t>
      </w:r>
      <w:r w:rsidR="00292C00">
        <w:fldChar w:fldCharType="end"/>
      </w:r>
      <w:r w:rsidR="002A0099" w:rsidRPr="00D91A84">
        <w:rPr>
          <w:b/>
        </w:rPr>
        <w:t>5</w:t>
      </w:r>
      <w:r w:rsidR="001C76AE">
        <w:t>).</w:t>
      </w:r>
      <w:r>
        <w:t xml:space="preserve"> </w:t>
      </w:r>
    </w:p>
    <w:p w:rsidR="0025263A" w:rsidRDefault="0025263A" w:rsidP="0025263A"/>
    <w:p w:rsidR="00933488" w:rsidRPr="00933488" w:rsidRDefault="00331149" w:rsidP="00933488">
      <w:pPr>
        <w:pStyle w:val="Caption"/>
        <w:rPr>
          <w:sz w:val="20"/>
          <w:szCs w:val="20"/>
        </w:rPr>
      </w:pPr>
      <w:r w:rsidRPr="0025263A">
        <w:rPr>
          <w:sz w:val="20"/>
          <w:szCs w:val="20"/>
        </w:rPr>
        <w:t xml:space="preserve">Table </w:t>
      </w:r>
      <w:r w:rsidR="00D804D6">
        <w:rPr>
          <w:sz w:val="20"/>
          <w:szCs w:val="20"/>
        </w:rPr>
        <w:t>S1</w:t>
      </w:r>
      <w:r w:rsidRPr="0025263A">
        <w:rPr>
          <w:sz w:val="20"/>
          <w:szCs w:val="20"/>
        </w:rPr>
        <w:t xml:space="preserve"> </w:t>
      </w:r>
      <w:bookmarkStart w:id="1" w:name="OLE_LINK31"/>
      <w:bookmarkStart w:id="2" w:name="OLE_LINK45"/>
      <w:bookmarkStart w:id="3" w:name="OLE_LINK46"/>
      <w:r w:rsidRPr="0025263A">
        <w:rPr>
          <w:sz w:val="20"/>
          <w:szCs w:val="20"/>
        </w:rPr>
        <w:t xml:space="preserve">Wall Shear Stress </w:t>
      </w:r>
      <w:r w:rsidR="002545B0" w:rsidRPr="0025263A">
        <w:rPr>
          <w:sz w:val="20"/>
          <w:szCs w:val="20"/>
        </w:rPr>
        <w:t>derived parameters. TAWSS, OSI,</w:t>
      </w:r>
      <w:r w:rsidR="002F23E0">
        <w:rPr>
          <w:sz w:val="20"/>
          <w:szCs w:val="20"/>
        </w:rPr>
        <w:t xml:space="preserve"> transWSS,</w:t>
      </w:r>
      <w:r w:rsidRPr="0025263A">
        <w:rPr>
          <w:sz w:val="20"/>
          <w:szCs w:val="20"/>
        </w:rPr>
        <w:t xml:space="preserve"> WSSG and TWSSG</w:t>
      </w:r>
      <w:bookmarkEnd w:id="1"/>
      <w:r w:rsidR="002545B0" w:rsidRPr="0025263A">
        <w:rPr>
          <w:sz w:val="20"/>
          <w:szCs w:val="20"/>
        </w:rPr>
        <w:t xml:space="preserve"> </w:t>
      </w:r>
      <w:bookmarkStart w:id="4" w:name="OLE_LINK39"/>
      <w:bookmarkStart w:id="5" w:name="OLE_LINK40"/>
      <w:bookmarkStart w:id="6" w:name="OLE_LINK41"/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17"/>
        <w:gridCol w:w="3119"/>
        <w:gridCol w:w="5055"/>
        <w:gridCol w:w="709"/>
      </w:tblGrid>
      <w:tr w:rsidR="007D47FB" w:rsidRPr="00DE4BF0" w:rsidTr="007D47FB">
        <w:trPr>
          <w:trHeight w:val="325"/>
        </w:trPr>
        <w:tc>
          <w:tcPr>
            <w:tcW w:w="817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FFF"/>
            <w:textDirection w:val="btLr"/>
          </w:tcPr>
          <w:bookmarkEnd w:id="2"/>
          <w:bookmarkEnd w:id="3"/>
          <w:bookmarkEnd w:id="4"/>
          <w:bookmarkEnd w:id="5"/>
          <w:bookmarkEnd w:id="6"/>
          <w:p w:rsidR="007D47FB" w:rsidRPr="0025263A" w:rsidRDefault="007D47FB" w:rsidP="0025263A">
            <w:pPr>
              <w:spacing w:after="0"/>
              <w:ind w:left="113" w:right="113"/>
              <w:jc w:val="center"/>
            </w:pPr>
            <w:r w:rsidRPr="0025263A">
              <w:rPr>
                <w:b/>
              </w:rPr>
              <w:t>Magnitude based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7FB" w:rsidRPr="00933488" w:rsidRDefault="007D47FB" w:rsidP="00933488">
            <w:pPr>
              <w:spacing w:after="0"/>
              <w:jc w:val="center"/>
              <w:rPr>
                <w:szCs w:val="24"/>
              </w:rPr>
            </w:pPr>
            <w:r w:rsidRPr="00933488">
              <w:rPr>
                <w:szCs w:val="24"/>
              </w:rPr>
              <w:t>Time Averaged WSS</w:t>
            </w:r>
          </w:p>
        </w:tc>
        <w:tc>
          <w:tcPr>
            <w:tcW w:w="505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7FB" w:rsidRPr="00933488" w:rsidRDefault="007D47FB" w:rsidP="00933488">
            <w:pPr>
              <w:spacing w:after="0"/>
              <w:jc w:val="center"/>
              <w:rPr>
                <w:szCs w:val="24"/>
              </w:rPr>
            </w:pPr>
          </w:p>
          <w:p w:rsidR="007D47FB" w:rsidRPr="00933488" w:rsidRDefault="007D47FB" w:rsidP="00933488">
            <w:pPr>
              <w:spacing w:after="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TAWSS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τ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w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7FB" w:rsidRPr="00933488" w:rsidRDefault="007D47FB" w:rsidP="00933488">
            <w:pPr>
              <w:pStyle w:val="Caption"/>
              <w:keepNext/>
              <w:jc w:val="center"/>
              <w:rPr>
                <w:b w:val="0"/>
                <w:sz w:val="24"/>
                <w:szCs w:val="24"/>
              </w:rPr>
            </w:pPr>
            <w:bookmarkStart w:id="7" w:name="OLE_LINK42"/>
            <w:bookmarkStart w:id="8" w:name="OLE_LINK43"/>
            <w:bookmarkStart w:id="9" w:name="OLE_LINK44"/>
            <w:r w:rsidRPr="00933488">
              <w:rPr>
                <w:b w:val="0"/>
                <w:sz w:val="24"/>
                <w:szCs w:val="24"/>
              </w:rPr>
              <w:t>(</w:t>
            </w:r>
            <w:r w:rsidRPr="00933488">
              <w:rPr>
                <w:b w:val="0"/>
                <w:sz w:val="24"/>
                <w:szCs w:val="24"/>
              </w:rPr>
              <w:fldChar w:fldCharType="begin"/>
            </w:r>
            <w:r w:rsidRPr="00933488">
              <w:rPr>
                <w:b w:val="0"/>
                <w:sz w:val="24"/>
                <w:szCs w:val="24"/>
              </w:rPr>
              <w:instrText xml:space="preserve"> SEQ Equation \* ARABIC </w:instrText>
            </w:r>
            <w:r w:rsidRPr="00933488">
              <w:rPr>
                <w:b w:val="0"/>
                <w:sz w:val="24"/>
                <w:szCs w:val="24"/>
              </w:rPr>
              <w:fldChar w:fldCharType="separate"/>
            </w:r>
            <w:r w:rsidRPr="00933488">
              <w:rPr>
                <w:b w:val="0"/>
                <w:noProof/>
                <w:sz w:val="24"/>
                <w:szCs w:val="24"/>
              </w:rPr>
              <w:t>1</w:t>
            </w:r>
            <w:r w:rsidRPr="00933488">
              <w:rPr>
                <w:b w:val="0"/>
                <w:sz w:val="24"/>
                <w:szCs w:val="24"/>
              </w:rPr>
              <w:fldChar w:fldCharType="end"/>
            </w:r>
            <w:r w:rsidRPr="00933488">
              <w:rPr>
                <w:b w:val="0"/>
                <w:sz w:val="24"/>
                <w:szCs w:val="24"/>
              </w:rPr>
              <w:t>)</w:t>
            </w:r>
            <w:bookmarkEnd w:id="7"/>
            <w:bookmarkEnd w:id="8"/>
            <w:bookmarkEnd w:id="9"/>
          </w:p>
        </w:tc>
      </w:tr>
      <w:tr w:rsidR="007D47FB" w:rsidRPr="00DE4BF0" w:rsidTr="007D47FB">
        <w:tc>
          <w:tcPr>
            <w:tcW w:w="817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D47FB" w:rsidRPr="00DE4BF0" w:rsidRDefault="007D47FB" w:rsidP="00DE4BF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7FB" w:rsidRPr="00933488" w:rsidRDefault="007D47FB" w:rsidP="00933488">
            <w:pPr>
              <w:spacing w:after="0"/>
              <w:jc w:val="center"/>
              <w:rPr>
                <w:szCs w:val="24"/>
              </w:rPr>
            </w:pPr>
            <w:r w:rsidRPr="00933488">
              <w:rPr>
                <w:szCs w:val="24"/>
              </w:rPr>
              <w:t>Oscillatory Shear Index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7FB" w:rsidRPr="00933488" w:rsidRDefault="007D47FB" w:rsidP="00933488">
            <w:pPr>
              <w:spacing w:after="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OSI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=0.5</m:t>
                </m:r>
                <m:d>
                  <m:dPr>
                    <m:ctrlPr>
                      <w:rPr>
                        <w:rFonts w:ascii="Cambria Math" w:hAnsi="Cambria Math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fPr>
                      <m:num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szCs w:val="24"/>
                              </w:rPr>
                            </m:ctrlPr>
                          </m:dPr>
                          <m:e>
                            <m:nary>
                              <m:naryPr>
                                <m:limLoc m:val="subSup"/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T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τ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w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Cs w:val="24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dt</m:t>
                                </m:r>
                              </m:e>
                            </m:nary>
                          </m:e>
                        </m:d>
                      </m:num>
                      <m:den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/>
                                <w:szCs w:val="24"/>
                              </w:rPr>
                            </m:ctrlPr>
                          </m:naryPr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Cs w:val="24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T</m:t>
                            </m:r>
                          </m:sup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τ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w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dt</m:t>
                            </m:r>
                          </m:e>
                        </m:nary>
                      </m:den>
                    </m:f>
                  </m:e>
                </m:d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D47FB" w:rsidRPr="00933488" w:rsidRDefault="007D47FB" w:rsidP="00933488">
            <w:pPr>
              <w:pStyle w:val="Caption"/>
              <w:spacing w:after="0"/>
              <w:jc w:val="center"/>
              <w:rPr>
                <w:b w:val="0"/>
                <w:sz w:val="24"/>
                <w:szCs w:val="24"/>
              </w:rPr>
            </w:pPr>
            <w:bookmarkStart w:id="10" w:name="_Ref419389789"/>
            <w:r w:rsidRPr="00933488">
              <w:rPr>
                <w:b w:val="0"/>
                <w:sz w:val="24"/>
                <w:szCs w:val="24"/>
              </w:rPr>
              <w:t>(</w:t>
            </w:r>
            <w:r w:rsidRPr="00933488">
              <w:rPr>
                <w:b w:val="0"/>
                <w:sz w:val="24"/>
                <w:szCs w:val="24"/>
              </w:rPr>
              <w:fldChar w:fldCharType="begin"/>
            </w:r>
            <w:r w:rsidRPr="00933488">
              <w:rPr>
                <w:b w:val="0"/>
                <w:sz w:val="24"/>
                <w:szCs w:val="24"/>
              </w:rPr>
              <w:instrText xml:space="preserve"> SEQ Equation \* ARABIC </w:instrText>
            </w:r>
            <w:r w:rsidRPr="00933488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2</w:t>
            </w:r>
            <w:r w:rsidRPr="00933488">
              <w:rPr>
                <w:b w:val="0"/>
                <w:sz w:val="24"/>
                <w:szCs w:val="24"/>
              </w:rPr>
              <w:fldChar w:fldCharType="end"/>
            </w:r>
            <w:bookmarkEnd w:id="10"/>
            <w:r w:rsidRPr="00933488">
              <w:rPr>
                <w:b w:val="0"/>
                <w:sz w:val="24"/>
                <w:szCs w:val="24"/>
              </w:rPr>
              <w:t>)</w:t>
            </w:r>
          </w:p>
        </w:tc>
      </w:tr>
      <w:tr w:rsidR="002A0099" w:rsidRPr="00DE4BF0" w:rsidTr="007D47FB">
        <w:tc>
          <w:tcPr>
            <w:tcW w:w="817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A0099" w:rsidRPr="00DE4BF0" w:rsidRDefault="002A0099" w:rsidP="00DE4BF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0099" w:rsidRPr="00933488" w:rsidRDefault="002A0099" w:rsidP="0093348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Transverse Wall Shear Stress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0099" w:rsidRDefault="002F23E0" w:rsidP="007D47FB">
            <w:pPr>
              <w:spacing w:after="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transWSS=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den>
                </m:f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T</m:t>
                    </m:r>
                  </m:sup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w</m:t>
                                </m:r>
                              </m:sub>
                            </m:sSub>
                          </m:e>
                        </m:acc>
                        <m:r>
                          <w:rPr>
                            <w:rFonts w:ascii="Cambria Math" w:hAnsi="Cambria Math"/>
                            <w:szCs w:val="24"/>
                          </w:rPr>
                          <m:t xml:space="preserve">∙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n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 xml:space="preserve">×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fPr>
                              <m:num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0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T</m:t>
                                    </m:r>
                                  </m:sup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τ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w</m:t>
                                            </m:r>
                                          </m:sub>
                                        </m:sSub>
                                      </m:e>
                                    </m:acc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 xml:space="preserve"> dt</m:t>
                                    </m:r>
                                  </m:e>
                                </m:nary>
                              </m:num>
                              <m:den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nary>
                                      <m:naryPr>
                                        <m:limLoc m:val="subSup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Cs w:val="24"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0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T</m:t>
                                        </m:r>
                                      </m:sup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szCs w:val="24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4"/>
                                                  </w:rPr>
                                                  <m:t>τ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4"/>
                                                  </w:rPr>
                                                  <m:t>w</m:t>
                                                </m:r>
                                              </m:sub>
                                            </m:sSub>
                                          </m:e>
                                        </m:acc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 xml:space="preserve"> dt</m:t>
                                        </m:r>
                                      </m:e>
                                    </m:nary>
                                  </m:e>
                                </m:d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0099" w:rsidRPr="00933488" w:rsidRDefault="002A0099" w:rsidP="00053233">
            <w:pPr>
              <w:pStyle w:val="Caption"/>
              <w:spacing w:after="0"/>
              <w:jc w:val="center"/>
              <w:rPr>
                <w:b w:val="0"/>
                <w:sz w:val="24"/>
                <w:szCs w:val="24"/>
              </w:rPr>
            </w:pPr>
            <w:bookmarkStart w:id="11" w:name="_Ref419389857"/>
            <w:r w:rsidRPr="00933488">
              <w:rPr>
                <w:b w:val="0"/>
                <w:sz w:val="24"/>
                <w:szCs w:val="24"/>
              </w:rPr>
              <w:t>(</w:t>
            </w:r>
            <w:r w:rsidRPr="00933488">
              <w:rPr>
                <w:b w:val="0"/>
                <w:sz w:val="24"/>
                <w:szCs w:val="24"/>
              </w:rPr>
              <w:fldChar w:fldCharType="begin"/>
            </w:r>
            <w:r w:rsidRPr="00933488">
              <w:rPr>
                <w:b w:val="0"/>
                <w:sz w:val="24"/>
                <w:szCs w:val="24"/>
              </w:rPr>
              <w:instrText xml:space="preserve"> SEQ Equation \* ARABIC </w:instrText>
            </w:r>
            <w:r w:rsidRPr="00933488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3</w:t>
            </w:r>
            <w:r w:rsidRPr="00933488">
              <w:rPr>
                <w:b w:val="0"/>
                <w:sz w:val="24"/>
                <w:szCs w:val="24"/>
              </w:rPr>
              <w:fldChar w:fldCharType="end"/>
            </w:r>
            <w:bookmarkEnd w:id="11"/>
            <w:r w:rsidRPr="00933488">
              <w:rPr>
                <w:b w:val="0"/>
                <w:sz w:val="24"/>
                <w:szCs w:val="24"/>
              </w:rPr>
              <w:t>)</w:t>
            </w:r>
          </w:p>
        </w:tc>
      </w:tr>
      <w:tr w:rsidR="002A0099" w:rsidRPr="00DE4BF0" w:rsidTr="007D47FB">
        <w:trPr>
          <w:trHeight w:val="1124"/>
        </w:trPr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:rsidR="002A0099" w:rsidRPr="00DE4BF0" w:rsidRDefault="002A0099" w:rsidP="00DE4BF0">
            <w:pPr>
              <w:spacing w:after="0"/>
              <w:ind w:left="113" w:right="113"/>
              <w:jc w:val="center"/>
              <w:rPr>
                <w:b/>
              </w:rPr>
            </w:pPr>
            <w:r w:rsidRPr="00DE4BF0">
              <w:rPr>
                <w:b/>
              </w:rPr>
              <w:t>Gradient based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0099" w:rsidRPr="00933488" w:rsidRDefault="002A0099" w:rsidP="00933488">
            <w:pPr>
              <w:spacing w:after="0"/>
              <w:jc w:val="center"/>
              <w:rPr>
                <w:szCs w:val="24"/>
              </w:rPr>
            </w:pPr>
            <w:r w:rsidRPr="00933488">
              <w:rPr>
                <w:szCs w:val="24"/>
              </w:rPr>
              <w:t>WSS Spatial Gradient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0099" w:rsidRPr="00933488" w:rsidRDefault="002A0099" w:rsidP="00933488">
            <w:pPr>
              <w:spacing w:after="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WSSG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τ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w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∂x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τ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w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∂y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Cs w:val="24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∂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4"/>
                                              </w:rPr>
                                              <m:t>τ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Cs w:val="24"/>
                                          </w:rPr>
                                          <m:t>w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∂z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A0099" w:rsidRPr="00933488" w:rsidRDefault="002A0099" w:rsidP="00053233">
            <w:pPr>
              <w:pStyle w:val="Caption"/>
              <w:spacing w:after="0"/>
              <w:jc w:val="center"/>
              <w:rPr>
                <w:b w:val="0"/>
                <w:sz w:val="24"/>
                <w:szCs w:val="24"/>
              </w:rPr>
            </w:pPr>
            <w:bookmarkStart w:id="12" w:name="_Ref419389816"/>
            <w:r w:rsidRPr="00933488">
              <w:rPr>
                <w:b w:val="0"/>
                <w:sz w:val="24"/>
                <w:szCs w:val="24"/>
              </w:rPr>
              <w:t>(</w:t>
            </w:r>
            <w:r w:rsidRPr="00933488">
              <w:rPr>
                <w:b w:val="0"/>
                <w:sz w:val="24"/>
                <w:szCs w:val="24"/>
              </w:rPr>
              <w:fldChar w:fldCharType="begin"/>
            </w:r>
            <w:r w:rsidRPr="00933488">
              <w:rPr>
                <w:b w:val="0"/>
                <w:sz w:val="24"/>
                <w:szCs w:val="24"/>
              </w:rPr>
              <w:instrText xml:space="preserve"> SEQ Equation \* ARABIC </w:instrText>
            </w:r>
            <w:r w:rsidRPr="00933488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4</w:t>
            </w:r>
            <w:r w:rsidRPr="00933488">
              <w:rPr>
                <w:b w:val="0"/>
                <w:sz w:val="24"/>
                <w:szCs w:val="24"/>
              </w:rPr>
              <w:fldChar w:fldCharType="end"/>
            </w:r>
            <w:bookmarkEnd w:id="12"/>
            <w:r w:rsidRPr="00933488">
              <w:rPr>
                <w:b w:val="0"/>
                <w:sz w:val="24"/>
                <w:szCs w:val="24"/>
              </w:rPr>
              <w:t>)</w:t>
            </w:r>
          </w:p>
        </w:tc>
      </w:tr>
      <w:tr w:rsidR="002A0099" w:rsidRPr="00DE4BF0" w:rsidTr="007D47FB"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0099" w:rsidRPr="00DE4BF0" w:rsidRDefault="002A0099" w:rsidP="00DE4BF0">
            <w:pPr>
              <w:spacing w:after="0"/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0099" w:rsidRPr="00933488" w:rsidRDefault="002A0099" w:rsidP="00933488">
            <w:pPr>
              <w:spacing w:after="0"/>
              <w:jc w:val="center"/>
              <w:rPr>
                <w:szCs w:val="24"/>
              </w:rPr>
            </w:pPr>
            <w:r w:rsidRPr="00933488">
              <w:rPr>
                <w:szCs w:val="24"/>
              </w:rPr>
              <w:t>Temporal WSS Gradient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0099" w:rsidRPr="00933488" w:rsidRDefault="002A0099" w:rsidP="00933488">
            <w:pPr>
              <w:spacing w:after="0"/>
              <w:jc w:val="center"/>
              <w:rPr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TWSSG=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τ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w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∂t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A0099" w:rsidRPr="00933488" w:rsidRDefault="002A0099" w:rsidP="002A0099">
            <w:pPr>
              <w:pStyle w:val="Caption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933488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5</w:t>
            </w:r>
            <w:r w:rsidRPr="00933488">
              <w:rPr>
                <w:b w:val="0"/>
                <w:sz w:val="24"/>
                <w:szCs w:val="24"/>
              </w:rPr>
              <w:t>)</w:t>
            </w:r>
          </w:p>
        </w:tc>
      </w:tr>
    </w:tbl>
    <w:p w:rsidR="00331149" w:rsidRDefault="00331149" w:rsidP="00BE6CB1"/>
    <w:p w:rsidR="001C69AD" w:rsidRPr="001C76AE" w:rsidRDefault="00D91A84" w:rsidP="001C76AE">
      <w:pPr>
        <w:spacing w:after="0"/>
        <w:jc w:val="left"/>
        <w:rPr>
          <w:szCs w:val="24"/>
        </w:rPr>
      </w:pP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τ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w</m:t>
            </m:r>
          </m:sub>
        </m:sSub>
      </m:oMath>
      <w:r w:rsidR="001C76AE" w:rsidRPr="001C76AE">
        <w:rPr>
          <w:rFonts w:eastAsia="Times New Roman"/>
          <w:szCs w:val="24"/>
        </w:rPr>
        <w:t xml:space="preserve"> </w:t>
      </w:r>
      <w:proofErr w:type="gramStart"/>
      <w:r w:rsidR="001C76AE" w:rsidRPr="001C76AE">
        <w:rPr>
          <w:rFonts w:eastAsia="Times New Roman"/>
          <w:szCs w:val="24"/>
        </w:rPr>
        <w:t>represents</w:t>
      </w:r>
      <w:proofErr w:type="gramEnd"/>
      <w:r w:rsidR="001C76AE" w:rsidRPr="001C76AE">
        <w:rPr>
          <w:rFonts w:eastAsia="Times New Roman"/>
          <w:szCs w:val="24"/>
        </w:rPr>
        <w:t xml:space="preserve"> the WSS vector and T represents the period of the cardiac cycle</w:t>
      </w:r>
    </w:p>
    <w:sectPr w:rsidR="001C69AD" w:rsidRPr="001C76AE" w:rsidSect="00BD1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28" w:rsidRDefault="00DA2B28" w:rsidP="00DA2B28">
      <w:pPr>
        <w:spacing w:after="0"/>
      </w:pPr>
      <w:r>
        <w:separator/>
      </w:r>
    </w:p>
  </w:endnote>
  <w:endnote w:type="continuationSeparator" w:id="0">
    <w:p w:rsidR="00DA2B28" w:rsidRDefault="00DA2B28" w:rsidP="00DA2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28" w:rsidRDefault="00DA2B28" w:rsidP="00DA2B28">
      <w:pPr>
        <w:spacing w:after="0"/>
      </w:pPr>
      <w:r>
        <w:separator/>
      </w:r>
    </w:p>
  </w:footnote>
  <w:footnote w:type="continuationSeparator" w:id="0">
    <w:p w:rsidR="00DA2B28" w:rsidRDefault="00DA2B28" w:rsidP="00DA2B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CA1"/>
    <w:multiLevelType w:val="hybridMultilevel"/>
    <w:tmpl w:val="F2DA1958"/>
    <w:lvl w:ilvl="0" w:tplc="BC685C9A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2A04"/>
    <w:multiLevelType w:val="hybridMultilevel"/>
    <w:tmpl w:val="1DC200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10C0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8511184"/>
    <w:multiLevelType w:val="hybridMultilevel"/>
    <w:tmpl w:val="48845A9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F4526E"/>
    <w:multiLevelType w:val="hybridMultilevel"/>
    <w:tmpl w:val="8130A2FE"/>
    <w:lvl w:ilvl="0" w:tplc="2694559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62757"/>
    <w:multiLevelType w:val="hybridMultilevel"/>
    <w:tmpl w:val="B8F64A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3B19"/>
    <w:multiLevelType w:val="hybridMultilevel"/>
    <w:tmpl w:val="DBDC2EF4"/>
    <w:lvl w:ilvl="0" w:tplc="BC685C9A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2542"/>
    <w:multiLevelType w:val="multilevel"/>
    <w:tmpl w:val="38323C1A"/>
    <w:lvl w:ilvl="0">
      <w:start w:val="1"/>
      <w:numFmt w:val="decimal"/>
      <w:lvlText w:val="S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ardiovascula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fvrvsasazva23ee5p1xfzzxvt5xearwvatr&quot;&gt;TRIAL_1&lt;record-ids&gt;&lt;item&gt;1122&lt;/item&gt;&lt;item&gt;1123&lt;/item&gt;&lt;item&gt;1156&lt;/item&gt;&lt;item&gt;1167&lt;/item&gt;&lt;/record-ids&gt;&lt;/item&gt;&lt;/Libraries&gt;"/>
  </w:docVars>
  <w:rsids>
    <w:rsidRoot w:val="009B062B"/>
    <w:rsid w:val="00033272"/>
    <w:rsid w:val="0003421B"/>
    <w:rsid w:val="0004698A"/>
    <w:rsid w:val="000643CE"/>
    <w:rsid w:val="00092AD3"/>
    <w:rsid w:val="000D2DB4"/>
    <w:rsid w:val="000F6D9E"/>
    <w:rsid w:val="001826D7"/>
    <w:rsid w:val="001A388B"/>
    <w:rsid w:val="001A4CB4"/>
    <w:rsid w:val="001B2A96"/>
    <w:rsid w:val="001C69AD"/>
    <w:rsid w:val="001C76AE"/>
    <w:rsid w:val="001E5FA9"/>
    <w:rsid w:val="001F407F"/>
    <w:rsid w:val="00204A72"/>
    <w:rsid w:val="00235E7B"/>
    <w:rsid w:val="0025263A"/>
    <w:rsid w:val="002545B0"/>
    <w:rsid w:val="0028425A"/>
    <w:rsid w:val="00292C00"/>
    <w:rsid w:val="002A0099"/>
    <w:rsid w:val="002C0C53"/>
    <w:rsid w:val="002F23E0"/>
    <w:rsid w:val="00306EBB"/>
    <w:rsid w:val="00331149"/>
    <w:rsid w:val="003552B3"/>
    <w:rsid w:val="00360B89"/>
    <w:rsid w:val="00380FA7"/>
    <w:rsid w:val="003B2B55"/>
    <w:rsid w:val="003C07EB"/>
    <w:rsid w:val="00475D95"/>
    <w:rsid w:val="004F7BED"/>
    <w:rsid w:val="005A3023"/>
    <w:rsid w:val="005C24AF"/>
    <w:rsid w:val="005D4D59"/>
    <w:rsid w:val="00600BE0"/>
    <w:rsid w:val="006D5378"/>
    <w:rsid w:val="006F114F"/>
    <w:rsid w:val="00716943"/>
    <w:rsid w:val="00737585"/>
    <w:rsid w:val="007403FB"/>
    <w:rsid w:val="00792C1F"/>
    <w:rsid w:val="007B5DA6"/>
    <w:rsid w:val="007D2C8F"/>
    <w:rsid w:val="007D47FB"/>
    <w:rsid w:val="008177E3"/>
    <w:rsid w:val="008257CB"/>
    <w:rsid w:val="008A10A4"/>
    <w:rsid w:val="00925EFC"/>
    <w:rsid w:val="00933488"/>
    <w:rsid w:val="009A0903"/>
    <w:rsid w:val="009B062B"/>
    <w:rsid w:val="009F28F9"/>
    <w:rsid w:val="00A06975"/>
    <w:rsid w:val="00A15143"/>
    <w:rsid w:val="00A84541"/>
    <w:rsid w:val="00A9251E"/>
    <w:rsid w:val="00B04F42"/>
    <w:rsid w:val="00B137F1"/>
    <w:rsid w:val="00B603E9"/>
    <w:rsid w:val="00BC5220"/>
    <w:rsid w:val="00BD04CF"/>
    <w:rsid w:val="00BD1127"/>
    <w:rsid w:val="00BE6CB1"/>
    <w:rsid w:val="00BE7CDF"/>
    <w:rsid w:val="00C10F2D"/>
    <w:rsid w:val="00C23BE8"/>
    <w:rsid w:val="00C32056"/>
    <w:rsid w:val="00C3646B"/>
    <w:rsid w:val="00C61CD9"/>
    <w:rsid w:val="00C813C6"/>
    <w:rsid w:val="00CD688E"/>
    <w:rsid w:val="00CD7944"/>
    <w:rsid w:val="00D1154B"/>
    <w:rsid w:val="00D35E11"/>
    <w:rsid w:val="00D804D6"/>
    <w:rsid w:val="00D91A84"/>
    <w:rsid w:val="00DA2B28"/>
    <w:rsid w:val="00DE4BF0"/>
    <w:rsid w:val="00DF6CE3"/>
    <w:rsid w:val="00E236BE"/>
    <w:rsid w:val="00E328CE"/>
    <w:rsid w:val="00E605A5"/>
    <w:rsid w:val="00F23A9C"/>
    <w:rsid w:val="00F23B4D"/>
    <w:rsid w:val="00F54379"/>
    <w:rsid w:val="00F639B0"/>
    <w:rsid w:val="00FD1EF3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E3"/>
    <w:pPr>
      <w:spacing w:after="200"/>
      <w:jc w:val="both"/>
    </w:pPr>
    <w:rPr>
      <w:rFonts w:ascii="Times New Roman" w:hAnsi="Times New Roman"/>
      <w:sz w:val="24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EF3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F3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EF3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E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1EF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EF3"/>
    <w:rPr>
      <w:rFonts w:ascii="Times New Roman" w:eastAsia="Times New Roman" w:hAnsi="Times New Roman" w:cs="Times New Roman"/>
      <w:b/>
      <w:bCs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D1EF3"/>
    <w:rPr>
      <w:b/>
      <w:bCs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1EF3"/>
    <w:pPr>
      <w:pBdr>
        <w:bottom w:val="single" w:sz="8" w:space="4" w:color="4F81BD"/>
      </w:pBdr>
      <w:spacing w:after="300"/>
      <w:contextualSpacing/>
      <w:jc w:val="center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1EF3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FD1EF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1EF3"/>
    <w:pPr>
      <w:spacing w:line="276" w:lineRule="auto"/>
      <w:jc w:val="left"/>
      <w:outlineLvl w:val="9"/>
    </w:pPr>
    <w:rPr>
      <w:rFonts w:ascii="Cambria" w:hAnsi="Cambria"/>
      <w:color w:val="365F91"/>
      <w:lang w:val="en-US" w:eastAsia="ja-JP"/>
    </w:rPr>
  </w:style>
  <w:style w:type="table" w:styleId="TableGrid">
    <w:name w:val="Table Grid"/>
    <w:basedOn w:val="TableNormal"/>
    <w:uiPriority w:val="59"/>
    <w:rsid w:val="00033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32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9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94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2DB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2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2B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2B28"/>
    <w:rPr>
      <w:rFonts w:ascii="Times New Roman" w:hAnsi="Times New Roman"/>
      <w:sz w:val="24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DA2B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2B28"/>
    <w:rPr>
      <w:rFonts w:ascii="Times New Roman" w:hAnsi="Times New Roman"/>
      <w:sz w:val="24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7D47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5C77-B427-4624-96C3-6F7A78B1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2028</CharactersWithSpaces>
  <SharedDoc>false</SharedDoc>
  <HLinks>
    <vt:vector size="24" baseType="variant">
      <vt:variant>
        <vt:i4>4521995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</dc:creator>
  <cp:lastModifiedBy>Leonard.Browne</cp:lastModifiedBy>
  <cp:revision>15</cp:revision>
  <dcterms:created xsi:type="dcterms:W3CDTF">2015-05-14T16:49:00Z</dcterms:created>
  <dcterms:modified xsi:type="dcterms:W3CDTF">2015-11-25T15:07:00Z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http://www.zotero.org/styles/harvard1</vt:lpwstr>
  </property>
</Properties>
</file>