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49" w:rsidRPr="00B80252" w:rsidRDefault="00B91F18" w:rsidP="00B80252">
      <w:pPr>
        <w:pStyle w:val="Heading1"/>
      </w:pPr>
      <w:proofErr w:type="gramStart"/>
      <w:r w:rsidRPr="00B80252">
        <w:t>S</w:t>
      </w:r>
      <w:r w:rsidR="00C22CA9">
        <w:t>2</w:t>
      </w:r>
      <w:r w:rsidRPr="00B80252">
        <w:t xml:space="preserve"> </w:t>
      </w:r>
      <w:bookmarkStart w:id="0" w:name="_GoBack"/>
      <w:bookmarkEnd w:id="0"/>
      <w:r w:rsidR="0011352F">
        <w:t>Text</w:t>
      </w:r>
      <w:r w:rsidR="00B80252">
        <w:t>.</w:t>
      </w:r>
      <w:proofErr w:type="gramEnd"/>
      <w:r w:rsidR="00B80252">
        <w:t xml:space="preserve"> Equations for vertebrate movement</w:t>
      </w:r>
      <w:r w:rsidR="00FB06D7">
        <w:rPr>
          <w:rStyle w:val="FootnoteReference"/>
        </w:rPr>
        <w:footnoteReference w:id="1"/>
      </w:r>
    </w:p>
    <w:p w:rsidR="00B91F18" w:rsidRDefault="00D36B63" w:rsidP="00B91F18">
      <w:pPr>
        <w:pStyle w:val="BodyText1"/>
      </w:pPr>
      <w:r>
        <w:t xml:space="preserve">Atlantis includes </w:t>
      </w:r>
      <w:r w:rsidR="00B91F18">
        <w:t xml:space="preserve">vertebrate movement (in terms of the density d of vertebrate group FX, age class </w:t>
      </w:r>
      <w:proofErr w:type="spellStart"/>
      <w:r w:rsidR="00B91F18">
        <w:t>i</w:t>
      </w:r>
      <w:proofErr w:type="spellEnd"/>
      <w:r w:rsidR="00B91F18">
        <w:t xml:space="preserve">, in </w:t>
      </w:r>
      <w:r w:rsidR="00B80252">
        <w:t>polygon</w:t>
      </w:r>
      <w:r w:rsidR="00B91F18">
        <w:t xml:space="preserve"> j) </w:t>
      </w:r>
      <w:r>
        <w:t xml:space="preserve">which can </w:t>
      </w:r>
      <w:r w:rsidR="00FB06D7">
        <w:t xml:space="preserve">be </w:t>
      </w:r>
      <w:r>
        <w:t xml:space="preserve">calculated and updated </w:t>
      </w:r>
      <w:r w:rsidR="00FB06D7">
        <w:t>per quarter (</w:t>
      </w:r>
      <w:proofErr w:type="spellStart"/>
      <w:r w:rsidR="00FB06D7">
        <w:t>qrt</w:t>
      </w:r>
      <w:proofErr w:type="spellEnd"/>
      <w:r w:rsidR="00FB06D7">
        <w:t xml:space="preserve"> &lt;4) or per year (</w:t>
      </w:r>
      <w:proofErr w:type="spellStart"/>
      <w:r w:rsidR="00FB06D7">
        <w:t>qrt</w:t>
      </w:r>
      <w:proofErr w:type="spellEnd"/>
      <w:r w:rsidR="00FB06D7">
        <w:t>=4) according to</w:t>
      </w:r>
      <w:r w:rsidR="00B91F18">
        <w:t>:</w:t>
      </w:r>
    </w:p>
    <w:p w:rsidR="00B80252" w:rsidRDefault="00B91F18" w:rsidP="00B91F18">
      <w:pPr>
        <w:pStyle w:val="BodyText1"/>
      </w:pPr>
      <w:r w:rsidRPr="007444B9">
        <w:rPr>
          <w:position w:val="-38"/>
        </w:rPr>
        <w:object w:dxaOrig="66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44.2pt" o:ole="">
            <v:imagedata r:id="rId7" o:title=""/>
          </v:shape>
          <o:OLEObject Type="Embed" ProgID="Equation.3" ShapeID="_x0000_i1025" DrawAspect="Content" ObjectID="_1509257238" r:id="rId8"/>
        </w:object>
      </w:r>
    </w:p>
    <w:p w:rsidR="00B91F18" w:rsidRDefault="00B91F18" w:rsidP="00B91F18">
      <w:pPr>
        <w:pStyle w:val="BodyText1"/>
      </w:pPr>
      <w:proofErr w:type="gramStart"/>
      <w:r>
        <w:t>where</w:t>
      </w:r>
      <w:proofErr w:type="gramEnd"/>
      <w:r>
        <w:t xml:space="preserve"> </w:t>
      </w:r>
      <w:proofErr w:type="spellStart"/>
      <w:r>
        <w:rPr>
          <w:i/>
        </w:rPr>
        <w:t>FX</w:t>
      </w:r>
      <w:r>
        <w:rPr>
          <w:vertAlign w:val="subscript"/>
        </w:rPr>
        <w:t>i,tot</w:t>
      </w:r>
      <w:proofErr w:type="spellEnd"/>
      <w:r>
        <w:t xml:space="preserve"> is the total number of </w:t>
      </w:r>
      <w:r w:rsidRPr="00D36B63">
        <w:rPr>
          <w:i/>
        </w:rPr>
        <w:t>FX</w:t>
      </w:r>
      <w:r>
        <w:t xml:space="preserve"> in age class </w:t>
      </w:r>
      <w:proofErr w:type="spellStart"/>
      <w:r w:rsidRPr="00D36B63">
        <w:rPr>
          <w:i/>
        </w:rPr>
        <w:t>i</w:t>
      </w:r>
      <w:proofErr w:type="spellEnd"/>
      <w:r>
        <w:t xml:space="preserve"> in the entire </w:t>
      </w:r>
      <w:r w:rsidR="00D36B63">
        <w:t>eco</w:t>
      </w:r>
      <w:r>
        <w:t xml:space="preserve">system (that is the sum over all </w:t>
      </w:r>
      <w:r w:rsidR="00B80252">
        <w:t>polygon</w:t>
      </w:r>
      <w:r w:rsidR="00D36B63">
        <w:t>s);</w:t>
      </w:r>
      <w:r>
        <w:t xml:space="preserve"> </w:t>
      </w:r>
      <w:r w:rsidRPr="00AF6E26">
        <w:rPr>
          <w:position w:val="-6"/>
        </w:rPr>
        <w:object w:dxaOrig="220" w:dyaOrig="279">
          <v:shape id="_x0000_i1026" type="#_x0000_t75" style="width:10.9pt;height:14.2pt" o:ole="" fillcolor="window">
            <v:imagedata r:id="rId9" o:title=""/>
          </v:shape>
          <o:OLEObject Type="Embed" ProgID="Equation.3" ShapeID="_x0000_i1026" DrawAspect="Content" ObjectID="_1509257239" r:id="rId10"/>
        </w:object>
      </w:r>
      <w:r>
        <w:t xml:space="preserve"> is the proportion of the current quarter of th</w:t>
      </w:r>
      <w:r w:rsidR="00D36B63">
        <w:t>e year which has already passed;</w:t>
      </w:r>
      <w:r>
        <w:t xml:space="preserve"> </w:t>
      </w:r>
      <w:proofErr w:type="spellStart"/>
      <w:r w:rsidRPr="00D36B63">
        <w:rPr>
          <w:i/>
        </w:rPr>
        <w:t>FX</w:t>
      </w:r>
      <w:r w:rsidRPr="00D36B63">
        <w:rPr>
          <w:i/>
          <w:vertAlign w:val="superscript"/>
        </w:rPr>
        <w:t>D</w:t>
      </w:r>
      <w:r w:rsidRPr="00D36B63">
        <w:rPr>
          <w:i/>
          <w:vertAlign w:val="subscript"/>
        </w:rPr>
        <w:t>j,qrt,FX</w:t>
      </w:r>
      <w:proofErr w:type="spellEnd"/>
      <w:r>
        <w:t xml:space="preserve"> is the proportion of the population of </w:t>
      </w:r>
      <w:r w:rsidRPr="00D36B63">
        <w:rPr>
          <w:i/>
        </w:rPr>
        <w:t>FX</w:t>
      </w:r>
      <w:r>
        <w:t xml:space="preserve"> found in </w:t>
      </w:r>
      <w:r w:rsidR="00B80252">
        <w:t>polygon</w:t>
      </w:r>
      <w:r>
        <w:t xml:space="preserve"> </w:t>
      </w:r>
      <w:r w:rsidRPr="00D36B63">
        <w:rPr>
          <w:i/>
        </w:rPr>
        <w:t>j</w:t>
      </w:r>
      <w:r>
        <w:t xml:space="preserve"> in the </w:t>
      </w:r>
      <w:proofErr w:type="spellStart"/>
      <w:r w:rsidRPr="00D36B63">
        <w:rPr>
          <w:i/>
        </w:rPr>
        <w:t>qrt</w:t>
      </w:r>
      <w:proofErr w:type="spellEnd"/>
      <w:r>
        <w:t xml:space="preserve"> quarter of the year.</w:t>
      </w:r>
    </w:p>
    <w:p w:rsidR="00B91F18" w:rsidRDefault="00D36B63" w:rsidP="00B91F18">
      <w:pPr>
        <w:pStyle w:val="BodyText1"/>
      </w:pPr>
      <w:r>
        <w:t>Fish can move based on forage conditions (food availability) or due to density dependent conditions and</w:t>
      </w:r>
      <w:r w:rsidR="00B91F18">
        <w:t xml:space="preserve"> the following formulation</w:t>
      </w:r>
      <w:r>
        <w:t>s</w:t>
      </w:r>
      <w:r w:rsidR="00B91F18">
        <w:t xml:space="preserve"> </w:t>
      </w:r>
      <w:r>
        <w:t>are</w:t>
      </w:r>
      <w:r w:rsidR="00B91F18">
        <w:t xml:space="preserve"> used:</w:t>
      </w:r>
    </w:p>
    <w:p w:rsidR="00B91F18" w:rsidRDefault="00B91F18" w:rsidP="00B91F18">
      <w:pPr>
        <w:pStyle w:val="BodyText1"/>
      </w:pPr>
      <w:r w:rsidRPr="00AF6E26">
        <w:rPr>
          <w:position w:val="-54"/>
        </w:rPr>
        <w:object w:dxaOrig="4520" w:dyaOrig="1200">
          <v:shape id="_x0000_i1027" type="#_x0000_t75" style="width:225.8pt;height:60pt" o:ole="" fillcolor="window">
            <v:imagedata r:id="rId11" o:title=""/>
          </v:shape>
          <o:OLEObject Type="Embed" ProgID="Equation.3" ShapeID="_x0000_i1027" DrawAspect="Content" ObjectID="_1509257240" r:id="rId12"/>
        </w:object>
      </w:r>
    </w:p>
    <w:p w:rsidR="00B91F18" w:rsidRDefault="00B91F18" w:rsidP="00B91F18">
      <w:pPr>
        <w:pStyle w:val="BodyText1"/>
      </w:pPr>
      <w:r w:rsidRPr="00AF6E26">
        <w:rPr>
          <w:position w:val="-30"/>
        </w:rPr>
        <w:object w:dxaOrig="1780" w:dyaOrig="560">
          <v:shape id="_x0000_i1028" type="#_x0000_t75" style="width:88.9pt;height:27.8pt" o:ole="" fillcolor="window">
            <v:imagedata r:id="rId13" o:title=""/>
          </v:shape>
          <o:OLEObject Type="Embed" ProgID="Equation.3" ShapeID="_x0000_i1028" DrawAspect="Content" ObjectID="_1509257241" r:id="rId14"/>
        </w:object>
      </w:r>
    </w:p>
    <w:p w:rsidR="00B91F18" w:rsidRDefault="00B91F18" w:rsidP="00B91F18">
      <w:pPr>
        <w:pStyle w:val="BodyText1"/>
      </w:pPr>
      <w:r w:rsidRPr="00915995">
        <w:rPr>
          <w:position w:val="-32"/>
        </w:rPr>
        <w:object w:dxaOrig="4459" w:dyaOrig="760">
          <v:shape id="_x0000_i1029" type="#_x0000_t75" style="width:223.1pt;height:38.2pt" o:ole="">
            <v:imagedata r:id="rId15" o:title=""/>
          </v:shape>
          <o:OLEObject Type="Embed" ProgID="Equation.3" ShapeID="_x0000_i1029" DrawAspect="Content" ObjectID="_1509257242" r:id="rId16"/>
        </w:object>
      </w:r>
    </w:p>
    <w:p w:rsidR="00B91F18" w:rsidRDefault="00B91F18" w:rsidP="00B91F18">
      <w:pPr>
        <w:pStyle w:val="BodyText1"/>
      </w:pPr>
      <w:r w:rsidRPr="00915995">
        <w:rPr>
          <w:position w:val="-14"/>
        </w:rPr>
        <w:object w:dxaOrig="5520" w:dyaOrig="400">
          <v:shape id="_x0000_i1030" type="#_x0000_t75" style="width:276pt;height:20.2pt" o:ole="">
            <v:imagedata r:id="rId17" o:title=""/>
          </v:shape>
          <o:OLEObject Type="Embed" ProgID="Equation.3" ShapeID="_x0000_i1030" DrawAspect="Content" ObjectID="_1509257243" r:id="rId18"/>
        </w:object>
      </w:r>
    </w:p>
    <w:p w:rsidR="00B80252" w:rsidRDefault="00B91F18" w:rsidP="00B91F18">
      <w:pPr>
        <w:pStyle w:val="BodyText1"/>
      </w:pPr>
      <w:proofErr w:type="gramStart"/>
      <w:r>
        <w:t>where</w:t>
      </w:r>
      <w:proofErr w:type="gramEnd"/>
      <w:r>
        <w:t xml:space="preserve"> </w:t>
      </w:r>
      <w:proofErr w:type="spellStart"/>
      <w:r w:rsidRPr="00D36B63">
        <w:rPr>
          <w:i/>
        </w:rPr>
        <w:t>G</w:t>
      </w:r>
      <w:r w:rsidRPr="00D36B63">
        <w:rPr>
          <w:i/>
          <w:vertAlign w:val="subscript"/>
        </w:rPr>
        <w:t>FX,i,j,potential</w:t>
      </w:r>
      <w:proofErr w:type="spellEnd"/>
      <w:r>
        <w:t xml:space="preserve"> is a measure of the potential attractiveness of the </w:t>
      </w:r>
      <w:r w:rsidR="00B80252">
        <w:t>polygon</w:t>
      </w:r>
      <w:r>
        <w:t xml:space="preserve"> </w:t>
      </w:r>
      <w:r w:rsidRPr="00D36B63">
        <w:rPr>
          <w:i/>
        </w:rPr>
        <w:t>j</w:t>
      </w:r>
      <w:r w:rsidR="00D36B63">
        <w:t xml:space="preserve"> based on the available forage;</w:t>
      </w:r>
      <w:r>
        <w:t xml:space="preserve"> </w:t>
      </w:r>
      <w:proofErr w:type="spellStart"/>
      <w:r w:rsidRPr="00D36B63">
        <w:rPr>
          <w:i/>
        </w:rPr>
        <w:t>G</w:t>
      </w:r>
      <w:r w:rsidRPr="00D36B63">
        <w:rPr>
          <w:i/>
          <w:vertAlign w:val="subscript"/>
        </w:rPr>
        <w:t>FX,i,j</w:t>
      </w:r>
      <w:proofErr w:type="spellEnd"/>
      <w:r w:rsidRPr="00D36B63">
        <w:t xml:space="preserve"> </w:t>
      </w:r>
      <w:r>
        <w:t xml:space="preserve">is calculated as </w:t>
      </w:r>
      <w:r>
        <w:rPr>
          <w:i/>
        </w:rPr>
        <w:t>G</w:t>
      </w:r>
      <w:r>
        <w:rPr>
          <w:vertAlign w:val="subscript"/>
        </w:rPr>
        <w:t>CX</w:t>
      </w:r>
      <w:r w:rsidR="00B80252">
        <w:t xml:space="preserve"> in </w:t>
      </w:r>
      <w:r w:rsidR="00D36B63">
        <w:t xml:space="preserve">the general vertebrate growth </w:t>
      </w:r>
      <w:r w:rsidR="00B80252">
        <w:t>equation:</w:t>
      </w:r>
    </w:p>
    <w:p w:rsidR="00B80252" w:rsidRDefault="00B80252" w:rsidP="00B91F18">
      <w:pPr>
        <w:pStyle w:val="BodyText1"/>
      </w:pPr>
      <w:r w:rsidRPr="00AF6E26">
        <w:rPr>
          <w:position w:val="-46"/>
        </w:rPr>
        <w:object w:dxaOrig="5029" w:dyaOrig="1029">
          <v:shape id="_x0000_i1031" type="#_x0000_t75" style="width:251.45pt;height:51.25pt" o:ole="" fillcolor="window">
            <v:imagedata r:id="rId19" o:title=""/>
          </v:shape>
          <o:OLEObject Type="Embed" ProgID="Word.Picture.8" ShapeID="_x0000_i1031" DrawAspect="Content" ObjectID="_1509257244" r:id="rId20"/>
        </w:object>
      </w:r>
    </w:p>
    <w:p w:rsidR="00B80252" w:rsidRDefault="00B91F18" w:rsidP="00B91F18">
      <w:pPr>
        <w:pStyle w:val="BodyText1"/>
      </w:pPr>
      <w:proofErr w:type="spellStart"/>
      <w:r w:rsidRPr="00D36B63">
        <w:rPr>
          <w:i/>
        </w:rPr>
        <w:t>g</w:t>
      </w:r>
      <w:r w:rsidRPr="00D36B63">
        <w:rPr>
          <w:i/>
          <w:vertAlign w:val="subscript"/>
        </w:rPr>
        <w:t>roc_mult</w:t>
      </w:r>
      <w:proofErr w:type="spellEnd"/>
      <w:r>
        <w:t xml:space="preserve"> is a constant reflecting how much more attractive a site </w:t>
      </w:r>
      <w:r w:rsidR="00D36B63">
        <w:t xml:space="preserve">is </w:t>
      </w:r>
      <w:r>
        <w:t xml:space="preserve">with sufficient </w:t>
      </w:r>
      <w:r w:rsidR="00D36B63">
        <w:t xml:space="preserve">food sources </w:t>
      </w:r>
      <w:r>
        <w:t xml:space="preserve">to support </w:t>
      </w:r>
      <w:proofErr w:type="spellStart"/>
      <w:r w:rsidRPr="00D36B63">
        <w:rPr>
          <w:i/>
        </w:rPr>
        <w:t>FX</w:t>
      </w:r>
      <w:r w:rsidRPr="00D36B63">
        <w:rPr>
          <w:i/>
          <w:vertAlign w:val="subscript"/>
        </w:rPr>
        <w:t>i</w:t>
      </w:r>
      <w:proofErr w:type="spellEnd"/>
      <w:r>
        <w:t xml:space="preserve"> over a site with poor food resources</w:t>
      </w:r>
      <w:r w:rsidR="00D36B63">
        <w:t>;</w:t>
      </w:r>
      <w:r>
        <w:t xml:space="preserve"> </w:t>
      </w:r>
      <w:proofErr w:type="spellStart"/>
      <w:r>
        <w:t>g</w:t>
      </w:r>
      <w:r>
        <w:rPr>
          <w:vertAlign w:val="subscript"/>
        </w:rPr>
        <w:t>thresh</w:t>
      </w:r>
      <w:proofErr w:type="spellEnd"/>
      <w:r>
        <w:t xml:space="preserve"> is the potential growth rate (as an index of the quality of the resources) where </w:t>
      </w:r>
      <w:proofErr w:type="spellStart"/>
      <w:r w:rsidRPr="00D36B63">
        <w:rPr>
          <w:i/>
        </w:rPr>
        <w:t>FX</w:t>
      </w:r>
      <w:r w:rsidRPr="00D36B63">
        <w:rPr>
          <w:i/>
          <w:vertAlign w:val="subscript"/>
        </w:rPr>
        <w:t>i</w:t>
      </w:r>
      <w:proofErr w:type="spellEnd"/>
      <w:r>
        <w:t xml:space="preserve"> switch from finding the site desirable to undesirable</w:t>
      </w:r>
      <w:r w:rsidR="00D36B63">
        <w:t>;</w:t>
      </w:r>
      <w:r>
        <w:t xml:space="preserve"> </w:t>
      </w:r>
      <w:proofErr w:type="spellStart"/>
      <w:r>
        <w:rPr>
          <w:i/>
        </w:rPr>
        <w:t>d</w:t>
      </w:r>
      <w:r>
        <w:rPr>
          <w:i/>
          <w:vertAlign w:val="subscript"/>
        </w:rPr>
        <w:t>cover</w:t>
      </w:r>
      <w:proofErr w:type="spellEnd"/>
      <w:r>
        <w:rPr>
          <w:i/>
        </w:rPr>
        <w:t xml:space="preserve"> </w:t>
      </w:r>
      <w:r>
        <w:t xml:space="preserve">is the relative cover in the </w:t>
      </w:r>
      <w:r w:rsidR="00B80252">
        <w:t>polygon</w:t>
      </w:r>
      <w:r>
        <w:t xml:space="preserve"> for the group </w:t>
      </w:r>
      <w:proofErr w:type="spellStart"/>
      <w:r w:rsidRPr="00D36B63">
        <w:rPr>
          <w:i/>
        </w:rPr>
        <w:t>FX</w:t>
      </w:r>
      <w:r w:rsidRPr="00D36B63">
        <w:rPr>
          <w:i/>
          <w:vertAlign w:val="subscript"/>
        </w:rPr>
        <w:t>i</w:t>
      </w:r>
      <w:proofErr w:type="spellEnd"/>
      <w:r w:rsidRPr="00D36B63">
        <w:rPr>
          <w:i/>
        </w:rPr>
        <w:t xml:space="preserve"> </w:t>
      </w:r>
      <w:r>
        <w:t>(set to one for all groups that are not habitat-dependent)</w:t>
      </w:r>
      <w:r w:rsidR="00D36B63">
        <w:t>;</w:t>
      </w:r>
      <w:r w:rsidR="00CC2CB9">
        <w:t xml:space="preserve"> and </w:t>
      </w:r>
      <w:r w:rsidR="00CC2CB9">
        <w:rPr>
          <w:i/>
          <w:szCs w:val="22"/>
        </w:rPr>
        <w:sym w:font="Symbol" w:char="F064"/>
      </w:r>
      <w:r w:rsidR="00CC2CB9" w:rsidRPr="00CC2CB9">
        <w:rPr>
          <w:szCs w:val="22"/>
          <w:vertAlign w:val="subscript"/>
        </w:rPr>
        <w:t>depth</w:t>
      </w:r>
      <w:r w:rsidR="00CC2CB9" w:rsidRPr="00CC2CB9">
        <w:rPr>
          <w:szCs w:val="22"/>
        </w:rPr>
        <w:t xml:space="preserve"> </w:t>
      </w:r>
      <w:r w:rsidR="00D36B63">
        <w:rPr>
          <w:szCs w:val="22"/>
        </w:rPr>
        <w:t xml:space="preserve">is </w:t>
      </w:r>
      <w:r w:rsidR="00CC2CB9" w:rsidRPr="00CC2CB9">
        <w:rPr>
          <w:szCs w:val="22"/>
        </w:rPr>
        <w:t xml:space="preserve">a </w:t>
      </w:r>
      <w:r w:rsidR="00CC2CB9">
        <w:rPr>
          <w:szCs w:val="22"/>
        </w:rPr>
        <w:t xml:space="preserve">depth </w:t>
      </w:r>
      <w:r w:rsidR="00CC2CB9" w:rsidRPr="00CC2CB9">
        <w:rPr>
          <w:szCs w:val="22"/>
        </w:rPr>
        <w:t>limitation</w:t>
      </w:r>
      <w:r w:rsidR="00CC2CB9">
        <w:rPr>
          <w:szCs w:val="22"/>
        </w:rPr>
        <w:t xml:space="preserve"> factor for the group</w:t>
      </w:r>
      <w:r w:rsidR="00CC2CB9" w:rsidRPr="00D36B63">
        <w:rPr>
          <w:i/>
          <w:szCs w:val="22"/>
        </w:rPr>
        <w:t xml:space="preserve"> </w:t>
      </w:r>
      <w:proofErr w:type="spellStart"/>
      <w:r w:rsidR="00CC2CB9" w:rsidRPr="00D36B63">
        <w:rPr>
          <w:i/>
        </w:rPr>
        <w:t>FX</w:t>
      </w:r>
      <w:r w:rsidR="00CC2CB9" w:rsidRPr="00D36B63">
        <w:rPr>
          <w:i/>
          <w:vertAlign w:val="subscript"/>
        </w:rPr>
        <w:t>i</w:t>
      </w:r>
      <w:proofErr w:type="spellEnd"/>
      <w:r>
        <w:t xml:space="preserve">. </w:t>
      </w:r>
      <w:r w:rsidR="00CC2CB9">
        <w:rPr>
          <w:i/>
          <w:szCs w:val="22"/>
        </w:rPr>
        <w:sym w:font="Symbol" w:char="F065"/>
      </w:r>
      <w:r w:rsidR="00CC2CB9">
        <w:rPr>
          <w:vertAlign w:val="subscript"/>
        </w:rPr>
        <w:t>CX</w:t>
      </w:r>
      <w:r w:rsidR="00CC2CB9">
        <w:t xml:space="preserve"> is the growth efficiency of </w:t>
      </w:r>
      <w:r w:rsidR="00CC2CB9" w:rsidRPr="00D36B63">
        <w:rPr>
          <w:i/>
        </w:rPr>
        <w:t xml:space="preserve">CX </w:t>
      </w:r>
      <w:r w:rsidR="00D36B63">
        <w:t>when feeding on live prey;</w:t>
      </w:r>
      <w:r w:rsidR="00CC2CB9">
        <w:t xml:space="preserve"> </w:t>
      </w:r>
      <w:r w:rsidR="00CC2CB9">
        <w:rPr>
          <w:i/>
          <w:szCs w:val="22"/>
        </w:rPr>
        <w:sym w:font="Symbol" w:char="F065"/>
      </w:r>
      <w:proofErr w:type="spellStart"/>
      <w:r w:rsidR="00CC2CB9">
        <w:rPr>
          <w:vertAlign w:val="subscript"/>
        </w:rPr>
        <w:t>CX</w:t>
      </w:r>
      <w:proofErr w:type="gramStart"/>
      <w:r w:rsidR="00CC2CB9">
        <w:rPr>
          <w:vertAlign w:val="subscript"/>
        </w:rPr>
        <w:t>,j</w:t>
      </w:r>
      <w:proofErr w:type="spellEnd"/>
      <w:proofErr w:type="gramEnd"/>
      <w:r w:rsidR="00CC2CB9">
        <w:t xml:space="preserve"> the efficiency when feeding on detritus (DL treated separately to DR), </w:t>
      </w:r>
      <w:r w:rsidR="00CC2CB9">
        <w:rPr>
          <w:i/>
          <w:szCs w:val="22"/>
        </w:rPr>
        <w:sym w:font="Symbol" w:char="F064"/>
      </w:r>
      <w:r w:rsidR="00CC2CB9" w:rsidRPr="00CC2CB9">
        <w:rPr>
          <w:szCs w:val="22"/>
          <w:vertAlign w:val="subscript"/>
        </w:rPr>
        <w:t>depth</w:t>
      </w:r>
      <w:r w:rsidR="00CC2CB9">
        <w:rPr>
          <w:szCs w:val="22"/>
          <w:vertAlign w:val="subscript"/>
        </w:rPr>
        <w:t xml:space="preserve"> </w:t>
      </w:r>
      <w:r w:rsidR="00CC2CB9" w:rsidRPr="00CC2CB9">
        <w:rPr>
          <w:szCs w:val="22"/>
        </w:rPr>
        <w:t xml:space="preserve">and </w:t>
      </w:r>
      <w:r w:rsidR="00CC2CB9">
        <w:rPr>
          <w:i/>
          <w:szCs w:val="22"/>
        </w:rPr>
        <w:sym w:font="Symbol" w:char="F064"/>
      </w:r>
      <w:r w:rsidR="00CC2CB9" w:rsidRPr="00CC2CB9">
        <w:rPr>
          <w:szCs w:val="22"/>
          <w:vertAlign w:val="subscript"/>
        </w:rPr>
        <w:t>depth</w:t>
      </w:r>
      <w:r w:rsidR="00CC2CB9" w:rsidRPr="00CC2CB9">
        <w:rPr>
          <w:szCs w:val="22"/>
        </w:rPr>
        <w:t xml:space="preserve"> are </w:t>
      </w:r>
      <w:r w:rsidR="00CC2CB9">
        <w:rPr>
          <w:szCs w:val="22"/>
        </w:rPr>
        <w:t xml:space="preserve">space and </w:t>
      </w:r>
      <w:r w:rsidR="00CC2CB9">
        <w:rPr>
          <w:szCs w:val="22"/>
        </w:rPr>
        <w:lastRenderedPageBreak/>
        <w:t>oxygen limitation factors.</w:t>
      </w:r>
    </w:p>
    <w:p w:rsidR="00B91F18" w:rsidRDefault="00B91F18" w:rsidP="00B80252">
      <w:pPr>
        <w:pStyle w:val="BodyText1"/>
      </w:pPr>
      <w:r>
        <w:t xml:space="preserve">To take into account other pressures on fish movement (such as seasonal or spawning migration) the calculation of the proportion </w:t>
      </w:r>
      <w:proofErr w:type="spellStart"/>
      <w:r w:rsidRPr="00D36B63">
        <w:rPr>
          <w:i/>
        </w:rPr>
        <w:t>FX</w:t>
      </w:r>
      <w:r w:rsidRPr="00D36B63">
        <w:rPr>
          <w:i/>
          <w:vertAlign w:val="superscript"/>
        </w:rPr>
        <w:t>D</w:t>
      </w:r>
      <w:r w:rsidRPr="00D36B63">
        <w:rPr>
          <w:i/>
          <w:vertAlign w:val="subscript"/>
        </w:rPr>
        <w:t>i</w:t>
      </w:r>
      <w:proofErr w:type="gramStart"/>
      <w:r w:rsidRPr="00D36B63">
        <w:rPr>
          <w:i/>
          <w:vertAlign w:val="subscript"/>
        </w:rPr>
        <w:t>,d,j,t</w:t>
      </w:r>
      <w:proofErr w:type="spellEnd"/>
      <w:proofErr w:type="gramEnd"/>
      <w:r>
        <w:t xml:space="preserve"> is weighted by the ideal distribution for those other migration factors and the final distribution is </w:t>
      </w:r>
      <w:r w:rsidR="00FB2D27">
        <w:t xml:space="preserve">then </w:t>
      </w:r>
      <w:r>
        <w:t xml:space="preserve">determined by interpolating between the current distribution and the ideal distribution (taking the maximum swim speed of the vertebrate into account so that individuals </w:t>
      </w:r>
      <w:r w:rsidR="00B80252">
        <w:t>cannot</w:t>
      </w:r>
      <w:r>
        <w:t xml:space="preserve"> move further than they could actually swim in reality). These </w:t>
      </w:r>
      <w:proofErr w:type="spellStart"/>
      <w:r w:rsidRPr="00FB2D27">
        <w:rPr>
          <w:i/>
        </w:rPr>
        <w:t>FX</w:t>
      </w:r>
      <w:r w:rsidRPr="00FB2D27">
        <w:rPr>
          <w:i/>
          <w:vertAlign w:val="subscript"/>
        </w:rPr>
        <w:t>i</w:t>
      </w:r>
      <w:proofErr w:type="gramStart"/>
      <w:r w:rsidRPr="00FB2D27">
        <w:rPr>
          <w:i/>
          <w:vertAlign w:val="subscript"/>
        </w:rPr>
        <w:t>,d,j</w:t>
      </w:r>
      <w:proofErr w:type="spellEnd"/>
      <w:proofErr w:type="gramEnd"/>
      <w:r>
        <w:t xml:space="preserve"> values are then normalised so that their sum is one. If a vertebrate group is site attached then it only moves vertically at most, and if the group employs maternal care then the movement scheme is calculated for the mothers and then applied to them and the juvenile age classes. </w:t>
      </w:r>
    </w:p>
    <w:sectPr w:rsidR="00B91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38" w:rsidRDefault="00792738" w:rsidP="00FB06D7">
      <w:pPr>
        <w:spacing w:after="0" w:line="240" w:lineRule="auto"/>
      </w:pPr>
      <w:r>
        <w:separator/>
      </w:r>
    </w:p>
  </w:endnote>
  <w:endnote w:type="continuationSeparator" w:id="0">
    <w:p w:rsidR="00792738" w:rsidRDefault="00792738" w:rsidP="00FB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38" w:rsidRDefault="00792738" w:rsidP="00FB06D7">
      <w:pPr>
        <w:spacing w:after="0" w:line="240" w:lineRule="auto"/>
      </w:pPr>
      <w:r>
        <w:separator/>
      </w:r>
    </w:p>
  </w:footnote>
  <w:footnote w:type="continuationSeparator" w:id="0">
    <w:p w:rsidR="00792738" w:rsidRDefault="00792738" w:rsidP="00FB06D7">
      <w:pPr>
        <w:spacing w:after="0" w:line="240" w:lineRule="auto"/>
      </w:pPr>
      <w:r>
        <w:continuationSeparator/>
      </w:r>
    </w:p>
  </w:footnote>
  <w:footnote w:id="1">
    <w:p w:rsidR="00FB06D7" w:rsidRPr="00D36B63" w:rsidRDefault="00FB06D7">
      <w:pPr>
        <w:pStyle w:val="FootnoteText"/>
      </w:pPr>
      <w:r>
        <w:rPr>
          <w:rStyle w:val="FootnoteReference"/>
        </w:rPr>
        <w:footnoteRef/>
      </w:r>
      <w:r>
        <w:t xml:space="preserve"> </w:t>
      </w:r>
      <w:r w:rsidR="00C71BE8">
        <w:t>Text</w:t>
      </w:r>
      <w:r>
        <w:t xml:space="preserve"> largely taken </w:t>
      </w:r>
      <w:r w:rsidR="00C71BE8">
        <w:t xml:space="preserve">with permission </w:t>
      </w:r>
      <w:r>
        <w:t xml:space="preserve">from supplementary material </w:t>
      </w:r>
      <w:r w:rsidRPr="00FB06D7">
        <w:t>by Griffith, G. P., E. A. Fulton</w:t>
      </w:r>
      <w:r w:rsidR="00D36B63" w:rsidRPr="00D36B63">
        <w:t xml:space="preserve">, R. Gorton, and A. J. Richardson. 2012. Predicting Interactions among Fishing, Ocean Warming, and Ocean Acidification in a Marine System with Whole-Ecosystem Models. Conservation Biology </w:t>
      </w:r>
      <w:r w:rsidR="00D36B63" w:rsidRPr="00D36B63">
        <w:rPr>
          <w:b/>
          <w:bCs/>
        </w:rPr>
        <w:t>26</w:t>
      </w:r>
      <w:r w:rsidR="00D36B63" w:rsidRPr="00D36B63">
        <w:t>:1145-1152.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18"/>
    <w:rsid w:val="0003277B"/>
    <w:rsid w:val="00071FED"/>
    <w:rsid w:val="0011352F"/>
    <w:rsid w:val="001D090A"/>
    <w:rsid w:val="0052071B"/>
    <w:rsid w:val="00534158"/>
    <w:rsid w:val="00792738"/>
    <w:rsid w:val="008B1185"/>
    <w:rsid w:val="009F77CC"/>
    <w:rsid w:val="00A6648D"/>
    <w:rsid w:val="00AB0C92"/>
    <w:rsid w:val="00B80252"/>
    <w:rsid w:val="00B91F18"/>
    <w:rsid w:val="00C22CA9"/>
    <w:rsid w:val="00C71BE8"/>
    <w:rsid w:val="00CC2CB9"/>
    <w:rsid w:val="00D11926"/>
    <w:rsid w:val="00D36B63"/>
    <w:rsid w:val="00FB06D7"/>
    <w:rsid w:val="00FB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80252"/>
    <w:pPr>
      <w:keepNext/>
      <w:keepLines/>
      <w:spacing w:before="120" w:line="240" w:lineRule="auto"/>
      <w:outlineLvl w:val="0"/>
    </w:pPr>
    <w:rPr>
      <w:rFonts w:eastAsiaTheme="majorEastAsia" w:cstheme="majorBidi"/>
      <w:b/>
      <w:bCs/>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
    <w:name w:val="Heading B"/>
    <w:basedOn w:val="Normal"/>
    <w:rsid w:val="00B91F18"/>
    <w:pPr>
      <w:keepNext/>
      <w:tabs>
        <w:tab w:val="left" w:pos="851"/>
      </w:tabs>
      <w:suppressAutoHyphens/>
      <w:spacing w:before="260" w:after="260" w:line="260" w:lineRule="exact"/>
    </w:pPr>
    <w:rPr>
      <w:rFonts w:ascii="Helvetica" w:hAnsi="Helvetica"/>
      <w:b/>
      <w:color w:val="auto"/>
      <w:sz w:val="24"/>
      <w:lang w:val="en-AU"/>
    </w:rPr>
  </w:style>
  <w:style w:type="paragraph" w:customStyle="1" w:styleId="BodyText1">
    <w:name w:val="Body Text1"/>
    <w:basedOn w:val="Normal"/>
    <w:rsid w:val="00B91F18"/>
    <w:pPr>
      <w:widowControl w:val="0"/>
      <w:spacing w:before="240" w:after="0" w:line="240" w:lineRule="auto"/>
    </w:pPr>
    <w:rPr>
      <w:iCs/>
      <w:color w:val="auto"/>
      <w:lang w:val="en-GB"/>
    </w:rPr>
  </w:style>
  <w:style w:type="character" w:customStyle="1" w:styleId="Heading1Char">
    <w:name w:val="Heading 1 Char"/>
    <w:basedOn w:val="DefaultParagraphFont"/>
    <w:link w:val="Heading1"/>
    <w:uiPriority w:val="9"/>
    <w:rsid w:val="00B80252"/>
    <w:rPr>
      <w:rFonts w:eastAsiaTheme="majorEastAsia" w:cstheme="majorBidi"/>
      <w:b/>
      <w:bCs/>
      <w:color w:val="auto"/>
      <w:sz w:val="26"/>
      <w:szCs w:val="28"/>
    </w:rPr>
  </w:style>
  <w:style w:type="paragraph" w:styleId="FootnoteText">
    <w:name w:val="footnote text"/>
    <w:basedOn w:val="Normal"/>
    <w:link w:val="FootnoteTextChar"/>
    <w:uiPriority w:val="99"/>
    <w:semiHidden/>
    <w:unhideWhenUsed/>
    <w:rsid w:val="00FB06D7"/>
    <w:pPr>
      <w:spacing w:after="0" w:line="240" w:lineRule="auto"/>
    </w:pPr>
    <w:rPr>
      <w:sz w:val="20"/>
    </w:rPr>
  </w:style>
  <w:style w:type="character" w:customStyle="1" w:styleId="FootnoteTextChar">
    <w:name w:val="Footnote Text Char"/>
    <w:basedOn w:val="DefaultParagraphFont"/>
    <w:link w:val="FootnoteText"/>
    <w:uiPriority w:val="99"/>
    <w:semiHidden/>
    <w:rsid w:val="00FB06D7"/>
    <w:rPr>
      <w:sz w:val="20"/>
    </w:rPr>
  </w:style>
  <w:style w:type="character" w:styleId="FootnoteReference">
    <w:name w:val="footnote reference"/>
    <w:basedOn w:val="DefaultParagraphFont"/>
    <w:uiPriority w:val="99"/>
    <w:semiHidden/>
    <w:unhideWhenUsed/>
    <w:rsid w:val="00FB06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80252"/>
    <w:pPr>
      <w:keepNext/>
      <w:keepLines/>
      <w:spacing w:before="120" w:line="240" w:lineRule="auto"/>
      <w:outlineLvl w:val="0"/>
    </w:pPr>
    <w:rPr>
      <w:rFonts w:eastAsiaTheme="majorEastAsia" w:cstheme="majorBidi"/>
      <w:b/>
      <w:bCs/>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
    <w:name w:val="Heading B"/>
    <w:basedOn w:val="Normal"/>
    <w:rsid w:val="00B91F18"/>
    <w:pPr>
      <w:keepNext/>
      <w:tabs>
        <w:tab w:val="left" w:pos="851"/>
      </w:tabs>
      <w:suppressAutoHyphens/>
      <w:spacing w:before="260" w:after="260" w:line="260" w:lineRule="exact"/>
    </w:pPr>
    <w:rPr>
      <w:rFonts w:ascii="Helvetica" w:hAnsi="Helvetica"/>
      <w:b/>
      <w:color w:val="auto"/>
      <w:sz w:val="24"/>
      <w:lang w:val="en-AU"/>
    </w:rPr>
  </w:style>
  <w:style w:type="paragraph" w:customStyle="1" w:styleId="BodyText1">
    <w:name w:val="Body Text1"/>
    <w:basedOn w:val="Normal"/>
    <w:rsid w:val="00B91F18"/>
    <w:pPr>
      <w:widowControl w:val="0"/>
      <w:spacing w:before="240" w:after="0" w:line="240" w:lineRule="auto"/>
    </w:pPr>
    <w:rPr>
      <w:iCs/>
      <w:color w:val="auto"/>
      <w:lang w:val="en-GB"/>
    </w:rPr>
  </w:style>
  <w:style w:type="character" w:customStyle="1" w:styleId="Heading1Char">
    <w:name w:val="Heading 1 Char"/>
    <w:basedOn w:val="DefaultParagraphFont"/>
    <w:link w:val="Heading1"/>
    <w:uiPriority w:val="9"/>
    <w:rsid w:val="00B80252"/>
    <w:rPr>
      <w:rFonts w:eastAsiaTheme="majorEastAsia" w:cstheme="majorBidi"/>
      <w:b/>
      <w:bCs/>
      <w:color w:val="auto"/>
      <w:sz w:val="26"/>
      <w:szCs w:val="28"/>
    </w:rPr>
  </w:style>
  <w:style w:type="paragraph" w:styleId="FootnoteText">
    <w:name w:val="footnote text"/>
    <w:basedOn w:val="Normal"/>
    <w:link w:val="FootnoteTextChar"/>
    <w:uiPriority w:val="99"/>
    <w:semiHidden/>
    <w:unhideWhenUsed/>
    <w:rsid w:val="00FB06D7"/>
    <w:pPr>
      <w:spacing w:after="0" w:line="240" w:lineRule="auto"/>
    </w:pPr>
    <w:rPr>
      <w:sz w:val="20"/>
    </w:rPr>
  </w:style>
  <w:style w:type="character" w:customStyle="1" w:styleId="FootnoteTextChar">
    <w:name w:val="Footnote Text Char"/>
    <w:basedOn w:val="DefaultParagraphFont"/>
    <w:link w:val="FootnoteText"/>
    <w:uiPriority w:val="99"/>
    <w:semiHidden/>
    <w:rsid w:val="00FB06D7"/>
    <w:rPr>
      <w:sz w:val="20"/>
    </w:rPr>
  </w:style>
  <w:style w:type="character" w:styleId="FootnoteReference">
    <w:name w:val="footnote reference"/>
    <w:basedOn w:val="DefaultParagraphFont"/>
    <w:uiPriority w:val="99"/>
    <w:semiHidden/>
    <w:unhideWhenUsed/>
    <w:rsid w:val="00FB0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Weijerman</dc:creator>
  <cp:lastModifiedBy>Mariska Weijerman</cp:lastModifiedBy>
  <cp:revision>2</cp:revision>
  <dcterms:created xsi:type="dcterms:W3CDTF">2015-11-17T19:21:00Z</dcterms:created>
  <dcterms:modified xsi:type="dcterms:W3CDTF">2015-11-17T19:21:00Z</dcterms:modified>
</cp:coreProperties>
</file>