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1D" w:rsidRDefault="0074761D" w:rsidP="0074761D">
      <w:r>
        <w:t>S2 Table. Number of all harvested cells after isolation by Parsortix and IsoFlux in matched clinical samples</w:t>
      </w:r>
    </w:p>
    <w:tbl>
      <w:tblPr>
        <w:tblW w:w="948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1842"/>
        <w:gridCol w:w="1843"/>
        <w:gridCol w:w="1843"/>
        <w:gridCol w:w="1843"/>
      </w:tblGrid>
      <w:tr w:rsidR="0074761D" w:rsidRPr="00A773DD" w:rsidTr="00167F64">
        <w:trPr>
          <w:trHeight w:val="170"/>
        </w:trPr>
        <w:tc>
          <w:tcPr>
            <w:tcW w:w="2115" w:type="dxa"/>
            <w:vMerge w:val="restart"/>
            <w:tcBorders>
              <w:top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 w:rsidRPr="00A773DD">
              <w:rPr>
                <w:sz w:val="24"/>
                <w:szCs w:val="24"/>
                <w:lang w:eastAsia="zh-CN"/>
              </w:rPr>
              <w:t>Case ID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 w:rsidRPr="00A773DD">
              <w:rPr>
                <w:sz w:val="24"/>
                <w:szCs w:val="24"/>
                <w:lang w:eastAsia="zh-CN"/>
              </w:rPr>
              <w:t>Parsortix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 w:rsidRPr="00A773DD">
              <w:rPr>
                <w:sz w:val="24"/>
                <w:szCs w:val="24"/>
                <w:lang w:eastAsia="zh-CN"/>
              </w:rPr>
              <w:t>IsoFlux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CTCs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Other cells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CTCs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Other cells (n)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  <w:tcBorders>
              <w:top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3343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PC5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5238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PC15b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2731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PC16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PC17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 w:rsidRPr="00A773DD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sz w:val="24"/>
                <w:szCs w:val="24"/>
                <w:lang w:eastAsia="zh-CN"/>
              </w:rPr>
            </w:pPr>
            <w:r w:rsidRPr="00A773DD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2434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PC19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2689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PC7b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3321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PC20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3673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PC28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3181</w:t>
            </w:r>
          </w:p>
        </w:tc>
      </w:tr>
      <w:tr w:rsidR="0074761D" w:rsidRPr="00A773DD" w:rsidTr="00167F64">
        <w:trPr>
          <w:trHeight w:val="170"/>
        </w:trPr>
        <w:tc>
          <w:tcPr>
            <w:tcW w:w="2115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PC37</w:t>
            </w:r>
          </w:p>
        </w:tc>
        <w:tc>
          <w:tcPr>
            <w:tcW w:w="1842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1654</w:t>
            </w:r>
          </w:p>
        </w:tc>
        <w:tc>
          <w:tcPr>
            <w:tcW w:w="1843" w:type="dxa"/>
          </w:tcPr>
          <w:p w:rsidR="0074761D" w:rsidRPr="00A773DD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A773D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74761D" w:rsidRPr="0006599C" w:rsidRDefault="0074761D" w:rsidP="00167F64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06599C">
              <w:rPr>
                <w:color w:val="000000"/>
                <w:sz w:val="24"/>
                <w:szCs w:val="24"/>
              </w:rPr>
              <w:t>2085</w:t>
            </w:r>
          </w:p>
        </w:tc>
      </w:tr>
    </w:tbl>
    <w:p w:rsidR="0074761D" w:rsidRDefault="0074761D" w:rsidP="0074761D"/>
    <w:p w:rsidR="00C41F72" w:rsidRDefault="00C41F72">
      <w:bookmarkStart w:id="0" w:name="_GoBack"/>
      <w:bookmarkEnd w:id="0"/>
    </w:p>
    <w:sectPr w:rsidR="00C41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D"/>
    <w:rsid w:val="0074761D"/>
    <w:rsid w:val="00C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D430-6486-42B5-8F28-2DDD06C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1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Queen Mary University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Xu</dc:creator>
  <cp:keywords/>
  <dc:description/>
  <cp:lastModifiedBy>Lei Xu</cp:lastModifiedBy>
  <cp:revision>1</cp:revision>
  <dcterms:created xsi:type="dcterms:W3CDTF">2015-08-28T15:38:00Z</dcterms:created>
  <dcterms:modified xsi:type="dcterms:W3CDTF">2015-08-28T15:38:00Z</dcterms:modified>
</cp:coreProperties>
</file>