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6D35" w14:textId="77777777" w:rsidR="00767F13" w:rsidRPr="00767F13" w:rsidRDefault="00767F13" w:rsidP="00767F13">
      <w:pPr>
        <w:pStyle w:val="EndnoteText"/>
        <w:spacing w:line="480" w:lineRule="auto"/>
        <w:jc w:val="center"/>
        <w:rPr>
          <w:rFonts w:ascii="Garamond" w:hAnsi="Garamond"/>
          <w:b/>
          <w:sz w:val="24"/>
          <w:szCs w:val="24"/>
        </w:rPr>
      </w:pPr>
      <w:r w:rsidRPr="00767F13">
        <w:rPr>
          <w:rFonts w:ascii="Garamond" w:hAnsi="Garamond"/>
          <w:b/>
          <w:sz w:val="24"/>
          <w:szCs w:val="24"/>
        </w:rPr>
        <w:t>S</w:t>
      </w:r>
      <w:r w:rsidR="00D738CF">
        <w:rPr>
          <w:rFonts w:ascii="Garamond" w:hAnsi="Garamond"/>
          <w:b/>
          <w:sz w:val="24"/>
          <w:szCs w:val="24"/>
        </w:rPr>
        <w:t>5</w:t>
      </w:r>
      <w:r w:rsidRPr="00767F13">
        <w:rPr>
          <w:rFonts w:ascii="Garamond" w:hAnsi="Garamond"/>
          <w:b/>
          <w:sz w:val="24"/>
          <w:szCs w:val="24"/>
        </w:rPr>
        <w:t xml:space="preserve"> Appendix</w:t>
      </w:r>
    </w:p>
    <w:p w14:paraId="23717C5F" w14:textId="77777777" w:rsidR="00767F13" w:rsidRDefault="00767F13" w:rsidP="00767F13">
      <w:pPr>
        <w:pStyle w:val="EndnoteText"/>
        <w:spacing w:line="480" w:lineRule="auto"/>
        <w:jc w:val="center"/>
        <w:rPr>
          <w:rFonts w:ascii="Garamond" w:hAnsi="Garamond"/>
          <w:b/>
          <w:sz w:val="24"/>
          <w:szCs w:val="24"/>
        </w:rPr>
      </w:pPr>
      <w:r w:rsidRPr="00767F13">
        <w:rPr>
          <w:rFonts w:ascii="Garamond" w:hAnsi="Garamond"/>
          <w:b/>
          <w:sz w:val="24"/>
          <w:szCs w:val="24"/>
        </w:rPr>
        <w:t>Sample composition</w:t>
      </w:r>
    </w:p>
    <w:p w14:paraId="53BD147D" w14:textId="77777777" w:rsidR="00AD0B60" w:rsidRPr="00767F13" w:rsidRDefault="00AD0B60" w:rsidP="00767F13">
      <w:pPr>
        <w:pStyle w:val="EndnoteText"/>
        <w:spacing w:line="480" w:lineRule="auto"/>
        <w:jc w:val="center"/>
        <w:rPr>
          <w:rFonts w:ascii="Garamond" w:hAnsi="Garamond"/>
          <w:b/>
          <w:sz w:val="24"/>
          <w:szCs w:val="24"/>
        </w:rPr>
      </w:pPr>
    </w:p>
    <w:p w14:paraId="17C7E04C" w14:textId="0D4F724A" w:rsidR="00767F13" w:rsidRPr="007515D2" w:rsidRDefault="00767F13" w:rsidP="00767F13">
      <w:pPr>
        <w:pStyle w:val="EndnoteText"/>
        <w:spacing w:line="480" w:lineRule="auto"/>
        <w:ind w:firstLine="720"/>
        <w:rPr>
          <w:rFonts w:ascii="Garamond" w:hAnsi="Garamond"/>
          <w:sz w:val="24"/>
          <w:szCs w:val="24"/>
        </w:rPr>
      </w:pPr>
      <w:r>
        <w:rPr>
          <w:rFonts w:ascii="Garamond" w:hAnsi="Garamond"/>
          <w:sz w:val="24"/>
          <w:szCs w:val="24"/>
        </w:rPr>
        <w:t xml:space="preserve">We included non-religious individuals in the sample because theoretically we are interested in </w:t>
      </w:r>
      <w:r w:rsidRPr="007515D2">
        <w:rPr>
          <w:rFonts w:ascii="Garamond" w:hAnsi="Garamond"/>
          <w:sz w:val="24"/>
          <w:szCs w:val="24"/>
        </w:rPr>
        <w:t>how individuals use Christian group philosoph</w:t>
      </w:r>
      <w:r>
        <w:rPr>
          <w:rFonts w:ascii="Garamond" w:hAnsi="Garamond"/>
          <w:sz w:val="24"/>
          <w:szCs w:val="24"/>
        </w:rPr>
        <w:t>ies</w:t>
      </w:r>
      <w:r w:rsidRPr="007515D2">
        <w:rPr>
          <w:rFonts w:ascii="Garamond" w:hAnsi="Garamond"/>
          <w:sz w:val="24"/>
          <w:szCs w:val="24"/>
        </w:rPr>
        <w:t xml:space="preserve"> rather than the category membership.</w:t>
      </w:r>
      <w:r>
        <w:rPr>
          <w:rFonts w:ascii="Garamond" w:hAnsi="Garamond"/>
          <w:sz w:val="24"/>
          <w:szCs w:val="24"/>
        </w:rPr>
        <w:t xml:space="preserve"> Because actively identifying with religion in modern society is often considered a mark of de</w:t>
      </w:r>
      <w:r w:rsidR="00136AB9">
        <w:rPr>
          <w:rFonts w:ascii="Garamond" w:hAnsi="Garamond"/>
          <w:sz w:val="24"/>
          <w:szCs w:val="24"/>
        </w:rPr>
        <w:t>ep conviction [76]</w:t>
      </w:r>
      <w:r>
        <w:rPr>
          <w:rFonts w:ascii="Garamond" w:hAnsi="Garamond"/>
          <w:sz w:val="24"/>
          <w:szCs w:val="24"/>
        </w:rPr>
        <w:t xml:space="preserve"> it is important to also test these individuals with a </w:t>
      </w:r>
      <w:r w:rsidRPr="007515D2">
        <w:rPr>
          <w:rFonts w:ascii="Garamond" w:hAnsi="Garamond"/>
          <w:sz w:val="24"/>
          <w:szCs w:val="24"/>
        </w:rPr>
        <w:t>comparison group for whom this identity is less self-defining or even not self-defining</w:t>
      </w:r>
      <w:r>
        <w:rPr>
          <w:rFonts w:ascii="Garamond" w:hAnsi="Garamond"/>
          <w:sz w:val="24"/>
          <w:szCs w:val="24"/>
        </w:rPr>
        <w:t>. We therefore</w:t>
      </w:r>
      <w:r w:rsidRPr="007515D2">
        <w:rPr>
          <w:rFonts w:ascii="Garamond" w:hAnsi="Garamond"/>
          <w:sz w:val="24"/>
          <w:szCs w:val="24"/>
        </w:rPr>
        <w:t xml:space="preserve"> conducted our studies in countries with a Christian heritage</w:t>
      </w:r>
      <w:r>
        <w:rPr>
          <w:rFonts w:ascii="Garamond" w:hAnsi="Garamond"/>
          <w:sz w:val="24"/>
          <w:szCs w:val="24"/>
        </w:rPr>
        <w:t>,</w:t>
      </w:r>
      <w:r w:rsidRPr="007515D2">
        <w:rPr>
          <w:rFonts w:ascii="Garamond" w:hAnsi="Garamond"/>
          <w:sz w:val="24"/>
          <w:szCs w:val="24"/>
        </w:rPr>
        <w:t xml:space="preserve"> </w:t>
      </w:r>
      <w:r>
        <w:rPr>
          <w:rFonts w:ascii="Garamond" w:hAnsi="Garamond"/>
          <w:sz w:val="24"/>
          <w:szCs w:val="24"/>
        </w:rPr>
        <w:t>expecting</w:t>
      </w:r>
      <w:r w:rsidRPr="007515D2">
        <w:rPr>
          <w:rFonts w:ascii="Garamond" w:hAnsi="Garamond"/>
          <w:sz w:val="24"/>
          <w:szCs w:val="24"/>
        </w:rPr>
        <w:t xml:space="preserve"> similar processes to function in both religious and non-religious people legitimiz</w:t>
      </w:r>
      <w:r>
        <w:rPr>
          <w:rFonts w:ascii="Garamond" w:hAnsi="Garamond"/>
          <w:sz w:val="24"/>
          <w:szCs w:val="24"/>
        </w:rPr>
        <w:t>ing their pooling in our sample. W</w:t>
      </w:r>
      <w:r w:rsidRPr="000F783C">
        <w:rPr>
          <w:rFonts w:ascii="Garamond" w:hAnsi="Garamond"/>
          <w:sz w:val="24"/>
          <w:szCs w:val="24"/>
        </w:rPr>
        <w:t>e argue that</w:t>
      </w:r>
      <w:r>
        <w:rPr>
          <w:rFonts w:ascii="Garamond" w:hAnsi="Garamond"/>
          <w:sz w:val="24"/>
          <w:szCs w:val="24"/>
        </w:rPr>
        <w:t>, especially in this case,</w:t>
      </w:r>
      <w:r w:rsidRPr="000F783C">
        <w:rPr>
          <w:rFonts w:ascii="Garamond" w:hAnsi="Garamond"/>
          <w:sz w:val="24"/>
          <w:szCs w:val="24"/>
        </w:rPr>
        <w:t xml:space="preserve"> self-categorization is not necessary for an individual to apply group ideologies, </w:t>
      </w:r>
      <w:r>
        <w:rPr>
          <w:rFonts w:ascii="Garamond" w:hAnsi="Garamond"/>
          <w:sz w:val="24"/>
          <w:szCs w:val="24"/>
        </w:rPr>
        <w:t>in</w:t>
      </w:r>
      <w:r w:rsidRPr="000F783C">
        <w:rPr>
          <w:rFonts w:ascii="Garamond" w:hAnsi="Garamond"/>
          <w:sz w:val="24"/>
          <w:szCs w:val="24"/>
        </w:rPr>
        <w:t xml:space="preserve"> that non-religious individuals are capable of tapping into the meaning of the group ideologies</w:t>
      </w:r>
      <w:r>
        <w:rPr>
          <w:rFonts w:ascii="Garamond" w:hAnsi="Garamond"/>
          <w:sz w:val="24"/>
          <w:szCs w:val="24"/>
        </w:rPr>
        <w:t>, but do not seek to apply them as actively to their lives as those who are strongly self-defining. In order to test this notion statistically, the regression analys</w:t>
      </w:r>
      <w:r w:rsidR="00BB15A7">
        <w:rPr>
          <w:rFonts w:ascii="Garamond" w:hAnsi="Garamond"/>
          <w:sz w:val="24"/>
          <w:szCs w:val="24"/>
        </w:rPr>
        <w:t>e</w:t>
      </w:r>
      <w:r>
        <w:rPr>
          <w:rFonts w:ascii="Garamond" w:hAnsi="Garamond"/>
          <w:sz w:val="24"/>
          <w:szCs w:val="24"/>
        </w:rPr>
        <w:t xml:space="preserve">s presented in Study 1, 2 and 3 </w:t>
      </w:r>
      <w:r w:rsidR="00BF1183">
        <w:rPr>
          <w:rFonts w:ascii="Garamond" w:hAnsi="Garamond"/>
          <w:sz w:val="24"/>
          <w:szCs w:val="24"/>
        </w:rPr>
        <w:t>were</w:t>
      </w:r>
      <w:r>
        <w:rPr>
          <w:rFonts w:ascii="Garamond" w:hAnsi="Garamond"/>
          <w:sz w:val="24"/>
          <w:szCs w:val="24"/>
        </w:rPr>
        <w:t xml:space="preserve"> re-run excluding non-religious individuals. Effects replicated with a few exceptions. For study 1, there were no substantive differences except for inter-identity fit: The self-definingness of women became predictive of both female in Christian</w:t>
      </w:r>
      <w:r w:rsidRPr="00984972">
        <w:rPr>
          <w:rFonts w:ascii="Garamond" w:hAnsi="Garamond"/>
          <w:sz w:val="24"/>
          <w:szCs w:val="24"/>
        </w:rPr>
        <w:t xml:space="preserve"> </w:t>
      </w:r>
      <w:r>
        <w:rPr>
          <w:rFonts w:ascii="Garamond" w:hAnsi="Garamond"/>
          <w:sz w:val="24"/>
          <w:szCs w:val="24"/>
        </w:rPr>
        <w:t xml:space="preserve">fit (B=0.30, SE =0.11, </w:t>
      </w:r>
      <w:r>
        <w:rPr>
          <w:rFonts w:ascii="Garamond" w:hAnsi="Garamond"/>
          <w:i/>
          <w:sz w:val="24"/>
          <w:szCs w:val="24"/>
        </w:rPr>
        <w:t xml:space="preserve">t </w:t>
      </w:r>
      <w:r>
        <w:rPr>
          <w:rFonts w:ascii="Garamond" w:hAnsi="Garamond"/>
          <w:sz w:val="24"/>
          <w:szCs w:val="24"/>
        </w:rPr>
        <w:t xml:space="preserve">(61)=2.70, </w:t>
      </w:r>
      <w:r>
        <w:rPr>
          <w:rFonts w:ascii="Garamond" w:hAnsi="Garamond"/>
          <w:i/>
          <w:sz w:val="24"/>
          <w:szCs w:val="24"/>
        </w:rPr>
        <w:t xml:space="preserve">p </w:t>
      </w:r>
      <w:r>
        <w:rPr>
          <w:rFonts w:ascii="Garamond" w:hAnsi="Garamond"/>
          <w:sz w:val="24"/>
          <w:szCs w:val="24"/>
        </w:rPr>
        <w:t xml:space="preserve">&lt;.008) and vice versa (B=0.24, SE =0.11, </w:t>
      </w:r>
      <w:r>
        <w:rPr>
          <w:rFonts w:ascii="Garamond" w:hAnsi="Garamond"/>
          <w:i/>
          <w:sz w:val="24"/>
          <w:szCs w:val="24"/>
        </w:rPr>
        <w:t xml:space="preserve">t </w:t>
      </w:r>
      <w:r>
        <w:rPr>
          <w:rFonts w:ascii="Garamond" w:hAnsi="Garamond"/>
          <w:sz w:val="24"/>
          <w:szCs w:val="24"/>
        </w:rPr>
        <w:t xml:space="preserve">(61)=2.12, </w:t>
      </w:r>
      <w:r>
        <w:rPr>
          <w:rFonts w:ascii="Garamond" w:hAnsi="Garamond"/>
          <w:i/>
          <w:sz w:val="24"/>
          <w:szCs w:val="24"/>
        </w:rPr>
        <w:t xml:space="preserve">p </w:t>
      </w:r>
      <w:r>
        <w:rPr>
          <w:rFonts w:ascii="Garamond" w:hAnsi="Garamond"/>
          <w:sz w:val="24"/>
          <w:szCs w:val="24"/>
        </w:rPr>
        <w:t xml:space="preserve">&lt;.04), while the self-definingness of religion predicted fit of Christian in female (B=0.17, SE =0.16, </w:t>
      </w:r>
      <w:r>
        <w:rPr>
          <w:rFonts w:ascii="Garamond" w:hAnsi="Garamond"/>
          <w:i/>
          <w:sz w:val="24"/>
          <w:szCs w:val="24"/>
        </w:rPr>
        <w:t xml:space="preserve">t </w:t>
      </w:r>
      <w:r>
        <w:rPr>
          <w:rFonts w:ascii="Garamond" w:hAnsi="Garamond"/>
          <w:sz w:val="24"/>
          <w:szCs w:val="24"/>
        </w:rPr>
        <w:t xml:space="preserve">(61)=2.69, </w:t>
      </w:r>
      <w:r>
        <w:rPr>
          <w:rFonts w:ascii="Garamond" w:hAnsi="Garamond"/>
          <w:i/>
          <w:sz w:val="24"/>
          <w:szCs w:val="24"/>
        </w:rPr>
        <w:t xml:space="preserve">p </w:t>
      </w:r>
      <w:r>
        <w:rPr>
          <w:rFonts w:ascii="Garamond" w:hAnsi="Garamond"/>
          <w:sz w:val="24"/>
          <w:szCs w:val="24"/>
        </w:rPr>
        <w:t xml:space="preserve">&lt;.008), but was marginal for the fit of female in Christians (B=0.12, SE =0.07, </w:t>
      </w:r>
      <w:r>
        <w:rPr>
          <w:rFonts w:ascii="Garamond" w:hAnsi="Garamond"/>
          <w:i/>
          <w:sz w:val="24"/>
          <w:szCs w:val="24"/>
        </w:rPr>
        <w:t xml:space="preserve">t </w:t>
      </w:r>
      <w:r>
        <w:rPr>
          <w:rFonts w:ascii="Garamond" w:hAnsi="Garamond"/>
          <w:sz w:val="24"/>
          <w:szCs w:val="24"/>
        </w:rPr>
        <w:t xml:space="preserve">(61)=1.78, </w:t>
      </w:r>
      <w:r>
        <w:rPr>
          <w:rFonts w:ascii="Garamond" w:hAnsi="Garamond"/>
          <w:i/>
          <w:sz w:val="24"/>
          <w:szCs w:val="24"/>
        </w:rPr>
        <w:t xml:space="preserve">p </w:t>
      </w:r>
      <w:r>
        <w:rPr>
          <w:rFonts w:ascii="Garamond" w:hAnsi="Garamond"/>
          <w:sz w:val="24"/>
          <w:szCs w:val="24"/>
        </w:rPr>
        <w:t xml:space="preserve">=.08). Importantly regression among the non-religious sample were as expected: Self-definingness of religion explained the fit of religion in female identity (B=0.40, SE=0.13, </w:t>
      </w:r>
      <w:r>
        <w:rPr>
          <w:rFonts w:ascii="Garamond" w:hAnsi="Garamond"/>
          <w:i/>
          <w:sz w:val="24"/>
          <w:szCs w:val="24"/>
        </w:rPr>
        <w:t xml:space="preserve">t </w:t>
      </w:r>
      <w:r>
        <w:rPr>
          <w:rFonts w:ascii="Garamond" w:hAnsi="Garamond"/>
          <w:sz w:val="24"/>
          <w:szCs w:val="24"/>
        </w:rPr>
        <w:t xml:space="preserve">(65) =3.23, </w:t>
      </w:r>
      <w:r>
        <w:rPr>
          <w:rFonts w:ascii="Garamond" w:hAnsi="Garamond"/>
          <w:i/>
          <w:sz w:val="24"/>
          <w:szCs w:val="24"/>
        </w:rPr>
        <w:t xml:space="preserve">p </w:t>
      </w:r>
      <w:r>
        <w:rPr>
          <w:rFonts w:ascii="Garamond" w:hAnsi="Garamond"/>
          <w:sz w:val="24"/>
          <w:szCs w:val="24"/>
        </w:rPr>
        <w:t xml:space="preserve">&lt;.003) and marginally vice versa (B=0.24, SE=0.13, </w:t>
      </w:r>
      <w:r>
        <w:rPr>
          <w:rFonts w:ascii="Garamond" w:hAnsi="Garamond"/>
          <w:i/>
          <w:sz w:val="24"/>
          <w:szCs w:val="24"/>
        </w:rPr>
        <w:t xml:space="preserve">t </w:t>
      </w:r>
      <w:r>
        <w:rPr>
          <w:rFonts w:ascii="Garamond" w:hAnsi="Garamond"/>
          <w:sz w:val="24"/>
          <w:szCs w:val="24"/>
        </w:rPr>
        <w:t xml:space="preserve">(65) =1.91, </w:t>
      </w:r>
      <w:r>
        <w:rPr>
          <w:rFonts w:ascii="Garamond" w:hAnsi="Garamond"/>
          <w:i/>
          <w:sz w:val="24"/>
          <w:szCs w:val="24"/>
        </w:rPr>
        <w:t>p =</w:t>
      </w:r>
      <w:r>
        <w:rPr>
          <w:rFonts w:ascii="Garamond" w:hAnsi="Garamond"/>
          <w:sz w:val="24"/>
          <w:szCs w:val="24"/>
        </w:rPr>
        <w:t>.06), but the self-definingness of women did not predict either (</w:t>
      </w:r>
      <w:proofErr w:type="gramStart"/>
      <w:r>
        <w:rPr>
          <w:rFonts w:ascii="Garamond" w:hAnsi="Garamond"/>
          <w:i/>
          <w:sz w:val="24"/>
          <w:szCs w:val="24"/>
        </w:rPr>
        <w:t>p</w:t>
      </w:r>
      <w:r>
        <w:rPr>
          <w:rFonts w:ascii="Garamond" w:hAnsi="Garamond"/>
          <w:sz w:val="24"/>
          <w:szCs w:val="24"/>
        </w:rPr>
        <w:t>’s</w:t>
      </w:r>
      <w:proofErr w:type="gramEnd"/>
      <w:r>
        <w:rPr>
          <w:rFonts w:ascii="Garamond" w:hAnsi="Garamond"/>
          <w:sz w:val="24"/>
          <w:szCs w:val="24"/>
        </w:rPr>
        <w:t xml:space="preserve"> &gt;.59</w:t>
      </w:r>
      <w:r w:rsidRPr="00623D64">
        <w:rPr>
          <w:rFonts w:ascii="Garamond" w:hAnsi="Garamond"/>
          <w:sz w:val="24"/>
          <w:szCs w:val="24"/>
        </w:rPr>
        <w:t xml:space="preserve">). Similarly, </w:t>
      </w:r>
      <w:r>
        <w:rPr>
          <w:rFonts w:ascii="Garamond" w:hAnsi="Garamond"/>
          <w:sz w:val="24"/>
          <w:szCs w:val="24"/>
        </w:rPr>
        <w:t xml:space="preserve">testing </w:t>
      </w:r>
      <w:r w:rsidRPr="00623D64">
        <w:rPr>
          <w:rFonts w:ascii="Garamond" w:hAnsi="Garamond"/>
          <w:sz w:val="24"/>
          <w:szCs w:val="24"/>
        </w:rPr>
        <w:t>Study 2</w:t>
      </w:r>
      <w:r>
        <w:rPr>
          <w:rFonts w:ascii="Garamond" w:hAnsi="Garamond"/>
          <w:sz w:val="24"/>
          <w:szCs w:val="24"/>
        </w:rPr>
        <w:t xml:space="preserve"> in the religiously categorizing sample </w:t>
      </w:r>
      <w:r w:rsidRPr="00623D64">
        <w:rPr>
          <w:rFonts w:ascii="Garamond" w:hAnsi="Garamond"/>
          <w:sz w:val="24"/>
          <w:szCs w:val="24"/>
        </w:rPr>
        <w:t>replicated the crucial hypothesis testing interaction effect</w:t>
      </w:r>
      <w:r>
        <w:rPr>
          <w:rFonts w:ascii="Garamond" w:hAnsi="Garamond"/>
          <w:sz w:val="24"/>
          <w:szCs w:val="24"/>
        </w:rPr>
        <w:t>,</w:t>
      </w:r>
      <w:r w:rsidRPr="00623D64">
        <w:rPr>
          <w:rFonts w:ascii="Garamond" w:hAnsi="Garamond"/>
          <w:sz w:val="24"/>
          <w:szCs w:val="24"/>
        </w:rPr>
        <w:t xml:space="preserve"> with self-definingness of religion being associated with speeded re</w:t>
      </w:r>
      <w:r>
        <w:rPr>
          <w:rFonts w:ascii="Garamond" w:hAnsi="Garamond"/>
          <w:sz w:val="24"/>
          <w:szCs w:val="24"/>
        </w:rPr>
        <w:t>s</w:t>
      </w:r>
      <w:r w:rsidRPr="00623D64">
        <w:rPr>
          <w:rFonts w:ascii="Garamond" w:hAnsi="Garamond"/>
          <w:sz w:val="24"/>
          <w:szCs w:val="24"/>
        </w:rPr>
        <w:t xml:space="preserve">ponses to traits matching the self, </w:t>
      </w:r>
      <w:r w:rsidRPr="00623D64">
        <w:rPr>
          <w:rFonts w:ascii="Garamond" w:hAnsi="Garamond"/>
          <w:sz w:val="24"/>
          <w:szCs w:val="24"/>
        </w:rPr>
        <w:lastRenderedPageBreak/>
        <w:t>religion and gender (</w:t>
      </w:r>
      <w:r w:rsidRPr="00E906F4">
        <w:rPr>
          <w:rFonts w:ascii="Garamond" w:hAnsi="Garamond"/>
          <w:sz w:val="24"/>
          <w:szCs w:val="24"/>
          <w:lang w:val="en-US"/>
        </w:rPr>
        <w:t xml:space="preserve">B=-0.025, SE = 0.013, </w:t>
      </w:r>
      <w:r>
        <w:rPr>
          <w:rFonts w:ascii="Garamond" w:hAnsi="Garamond"/>
          <w:i/>
          <w:sz w:val="24"/>
          <w:szCs w:val="24"/>
          <w:lang w:val="en-US"/>
        </w:rPr>
        <w:t>z</w:t>
      </w:r>
      <w:r w:rsidRPr="00E906F4">
        <w:rPr>
          <w:rFonts w:ascii="Garamond" w:hAnsi="Garamond"/>
          <w:sz w:val="24"/>
          <w:szCs w:val="24"/>
          <w:lang w:val="en-US"/>
        </w:rPr>
        <w:t xml:space="preserve"> = 1.92 , </w:t>
      </w:r>
      <w:r w:rsidRPr="00E906F4">
        <w:rPr>
          <w:rFonts w:ascii="Garamond" w:hAnsi="Garamond"/>
          <w:i/>
          <w:sz w:val="24"/>
          <w:szCs w:val="24"/>
          <w:lang w:val="en-US"/>
        </w:rPr>
        <w:t xml:space="preserve">p </w:t>
      </w:r>
      <w:r w:rsidRPr="00E906F4">
        <w:rPr>
          <w:rFonts w:ascii="Garamond" w:hAnsi="Garamond"/>
          <w:sz w:val="24"/>
          <w:szCs w:val="24"/>
          <w:lang w:val="en-US"/>
        </w:rPr>
        <w:t>&lt;.03), while no effects of self-def</w:t>
      </w:r>
      <w:r>
        <w:rPr>
          <w:rFonts w:ascii="Garamond" w:hAnsi="Garamond"/>
          <w:sz w:val="24"/>
          <w:szCs w:val="24"/>
          <w:lang w:val="en-US"/>
        </w:rPr>
        <w:t>i</w:t>
      </w:r>
      <w:r w:rsidRPr="00E906F4">
        <w:rPr>
          <w:rFonts w:ascii="Garamond" w:hAnsi="Garamond"/>
          <w:sz w:val="24"/>
          <w:szCs w:val="24"/>
          <w:lang w:val="en-US"/>
        </w:rPr>
        <w:t xml:space="preserve">ning gender were found (p’s &gt;.14). </w:t>
      </w:r>
      <w:r w:rsidRPr="00D11A3A">
        <w:rPr>
          <w:rFonts w:ascii="Garamond" w:hAnsi="Garamond"/>
          <w:sz w:val="24"/>
          <w:szCs w:val="24"/>
          <w:lang w:val="en-US"/>
        </w:rPr>
        <w:t xml:space="preserve">However, in this case we did not find evidence of speeded effects of a match between self and religion </w:t>
      </w:r>
      <w:r>
        <w:rPr>
          <w:rFonts w:ascii="Garamond" w:hAnsi="Garamond"/>
          <w:sz w:val="24"/>
          <w:szCs w:val="24"/>
          <w:lang w:val="en-US"/>
        </w:rPr>
        <w:t xml:space="preserve">according to the self-definingness of religion </w:t>
      </w:r>
      <w:r w:rsidRPr="00D11A3A">
        <w:rPr>
          <w:rFonts w:ascii="Garamond" w:hAnsi="Garamond"/>
          <w:sz w:val="24"/>
          <w:szCs w:val="24"/>
          <w:lang w:val="en-US"/>
        </w:rPr>
        <w:t>(</w:t>
      </w:r>
      <w:r w:rsidRPr="00D11A3A">
        <w:rPr>
          <w:rFonts w:ascii="Garamond" w:hAnsi="Garamond"/>
          <w:i/>
          <w:sz w:val="24"/>
          <w:szCs w:val="24"/>
          <w:lang w:val="en-US"/>
        </w:rPr>
        <w:t>p</w:t>
      </w:r>
      <w:r w:rsidRPr="00D11A3A">
        <w:rPr>
          <w:rFonts w:ascii="Garamond" w:hAnsi="Garamond"/>
          <w:sz w:val="24"/>
          <w:szCs w:val="24"/>
          <w:lang w:val="en-US"/>
        </w:rPr>
        <w:t xml:space="preserve"> =.08)</w:t>
      </w:r>
      <w:r w:rsidRPr="00D11A3A">
        <w:rPr>
          <w:rFonts w:ascii="Garamond" w:hAnsi="Garamond"/>
          <w:sz w:val="24"/>
          <w:szCs w:val="24"/>
        </w:rPr>
        <w:t>.</w:t>
      </w:r>
      <w:r>
        <w:rPr>
          <w:rFonts w:ascii="Garamond" w:hAnsi="Garamond"/>
          <w:sz w:val="24"/>
          <w:szCs w:val="24"/>
        </w:rPr>
        <w:t xml:space="preserve"> Thus, a</w:t>
      </w:r>
      <w:r w:rsidRPr="00C5128E">
        <w:rPr>
          <w:rFonts w:ascii="Garamond" w:hAnsi="Garamond"/>
          <w:sz w:val="24"/>
          <w:szCs w:val="24"/>
        </w:rPr>
        <w:t xml:space="preserve">s could be expected, </w:t>
      </w:r>
      <w:r>
        <w:rPr>
          <w:rFonts w:ascii="Garamond" w:hAnsi="Garamond"/>
          <w:sz w:val="24"/>
          <w:szCs w:val="24"/>
        </w:rPr>
        <w:t>analyses</w:t>
      </w:r>
      <w:r w:rsidRPr="00C5128E">
        <w:rPr>
          <w:rFonts w:ascii="Garamond" w:hAnsi="Garamond"/>
          <w:sz w:val="24"/>
          <w:szCs w:val="24"/>
        </w:rPr>
        <w:t xml:space="preserve"> show that our predicted pattern of findings applies </w:t>
      </w:r>
      <w:r>
        <w:rPr>
          <w:rFonts w:ascii="Garamond" w:hAnsi="Garamond"/>
          <w:sz w:val="24"/>
          <w:szCs w:val="24"/>
        </w:rPr>
        <w:t xml:space="preserve">to all participants tested, though most strongly </w:t>
      </w:r>
      <w:r w:rsidRPr="00C5128E">
        <w:rPr>
          <w:rFonts w:ascii="Garamond" w:hAnsi="Garamond"/>
          <w:sz w:val="24"/>
          <w:szCs w:val="24"/>
        </w:rPr>
        <w:t>to those who are religious</w:t>
      </w:r>
      <w:r>
        <w:rPr>
          <w:rFonts w:ascii="Garamond" w:hAnsi="Garamond"/>
          <w:sz w:val="24"/>
          <w:szCs w:val="24"/>
        </w:rPr>
        <w:t xml:space="preserve">. More importantly, findings emphasize that also for non-religious people in a Western context, Christianity is not separate from the self-concept, but influences inter-identity fit in the expected way. This provides some statistical justification for pooling these samples, enabling us to look beyond the ‘special case of religion’ to the application of group philosophies in general. </w:t>
      </w:r>
    </w:p>
    <w:p w14:paraId="69F471C3" w14:textId="03725D81" w:rsidR="005D674E" w:rsidRDefault="005D674E">
      <w:r>
        <w:br w:type="page"/>
      </w:r>
    </w:p>
    <w:p w14:paraId="5579E0A0" w14:textId="328DD700" w:rsidR="008038DD" w:rsidRPr="005D674E" w:rsidRDefault="005D674E">
      <w:pPr>
        <w:rPr>
          <w:rFonts w:ascii="Garamond" w:hAnsi="Garamond"/>
          <w:b/>
          <w:sz w:val="24"/>
          <w:szCs w:val="24"/>
        </w:rPr>
      </w:pPr>
      <w:r w:rsidRPr="005D674E">
        <w:rPr>
          <w:rFonts w:ascii="Garamond" w:hAnsi="Garamond"/>
          <w:b/>
          <w:sz w:val="24"/>
          <w:szCs w:val="24"/>
        </w:rPr>
        <w:lastRenderedPageBreak/>
        <w:t>References</w:t>
      </w:r>
    </w:p>
    <w:p w14:paraId="067DF78A" w14:textId="77777777" w:rsidR="005D674E" w:rsidRPr="00B61F74" w:rsidRDefault="005D674E" w:rsidP="005D674E">
      <w:pPr>
        <w:pStyle w:val="ListParagraph"/>
        <w:numPr>
          <w:ilvl w:val="0"/>
          <w:numId w:val="1"/>
        </w:numPr>
        <w:spacing w:after="0" w:line="480" w:lineRule="auto"/>
        <w:rPr>
          <w:rFonts w:ascii="Garamond" w:hAnsi="Garamond" w:cs="Times New Roman"/>
          <w:b/>
          <w:sz w:val="24"/>
          <w:szCs w:val="24"/>
          <w:lang w:val="en-US"/>
        </w:rPr>
      </w:pPr>
      <w:bookmarkStart w:id="0" w:name="_GoBack"/>
      <w:bookmarkEnd w:id="0"/>
      <w:r w:rsidRPr="00B61F74">
        <w:rPr>
          <w:rFonts w:ascii="Garamond" w:hAnsi="Garamond" w:cs="Arial"/>
          <w:sz w:val="24"/>
          <w:szCs w:val="24"/>
          <w:shd w:val="clear" w:color="auto" w:fill="FFFFFF"/>
          <w:lang w:val="en-US"/>
        </w:rPr>
        <w:t>Taylor C.</w:t>
      </w:r>
      <w:r w:rsidRPr="00B61F74">
        <w:rPr>
          <w:rStyle w:val="apple-converted-space"/>
          <w:rFonts w:ascii="Garamond" w:hAnsi="Garamond" w:cs="Arial"/>
          <w:sz w:val="24"/>
          <w:szCs w:val="24"/>
          <w:shd w:val="clear" w:color="auto" w:fill="FFFFFF"/>
          <w:lang w:val="en-US"/>
        </w:rPr>
        <w:t> </w:t>
      </w:r>
      <w:r w:rsidRPr="00B61F74">
        <w:rPr>
          <w:rFonts w:ascii="Garamond" w:hAnsi="Garamond" w:cs="Arial"/>
          <w:iCs/>
          <w:sz w:val="24"/>
          <w:szCs w:val="24"/>
          <w:shd w:val="clear" w:color="auto" w:fill="FFFFFF"/>
          <w:lang w:val="en-US"/>
        </w:rPr>
        <w:t>A secular age</w:t>
      </w:r>
      <w:r w:rsidRPr="00B61F74">
        <w:rPr>
          <w:rFonts w:ascii="Garamond" w:hAnsi="Garamond" w:cs="Arial"/>
          <w:sz w:val="24"/>
          <w:szCs w:val="24"/>
          <w:shd w:val="clear" w:color="auto" w:fill="FFFFFF"/>
          <w:lang w:val="en-US"/>
        </w:rPr>
        <w:t>. 1st ed. Cambridge: Belknap Press of Harvard University Press; 2007.</w:t>
      </w:r>
    </w:p>
    <w:p w14:paraId="3FAB2DE5" w14:textId="77777777" w:rsidR="005D674E" w:rsidRDefault="005D674E"/>
    <w:sectPr w:rsidR="005D6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2A96" w14:textId="77777777" w:rsidR="005D674E" w:rsidRDefault="005D674E" w:rsidP="005D674E">
      <w:pPr>
        <w:spacing w:after="0" w:line="240" w:lineRule="auto"/>
      </w:pPr>
      <w:r>
        <w:separator/>
      </w:r>
    </w:p>
  </w:endnote>
  <w:endnote w:type="continuationSeparator" w:id="0">
    <w:p w14:paraId="21B6529A" w14:textId="77777777" w:rsidR="005D674E" w:rsidRDefault="005D674E" w:rsidP="005D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42AD8" w14:textId="77777777" w:rsidR="005D674E" w:rsidRDefault="005D674E" w:rsidP="005D674E">
      <w:pPr>
        <w:spacing w:after="0" w:line="240" w:lineRule="auto"/>
      </w:pPr>
      <w:r>
        <w:separator/>
      </w:r>
    </w:p>
  </w:footnote>
  <w:footnote w:type="continuationSeparator" w:id="0">
    <w:p w14:paraId="5459A1C3" w14:textId="77777777" w:rsidR="005D674E" w:rsidRDefault="005D674E" w:rsidP="005D6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E0554"/>
    <w:multiLevelType w:val="hybridMultilevel"/>
    <w:tmpl w:val="EEF25F0C"/>
    <w:lvl w:ilvl="0" w:tplc="9F167786">
      <w:start w:val="76"/>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3"/>
    <w:rsid w:val="00136AB9"/>
    <w:rsid w:val="005D674E"/>
    <w:rsid w:val="005F7BD6"/>
    <w:rsid w:val="00767F13"/>
    <w:rsid w:val="00AD0B60"/>
    <w:rsid w:val="00BB15A7"/>
    <w:rsid w:val="00BF1183"/>
    <w:rsid w:val="00BF6F0A"/>
    <w:rsid w:val="00D7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3ECE9"/>
  <w15:docId w15:val="{8A85362F-E23C-4C84-A02A-9824C98D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67F13"/>
    <w:pPr>
      <w:spacing w:after="0" w:line="240" w:lineRule="auto"/>
    </w:pPr>
    <w:rPr>
      <w:sz w:val="20"/>
      <w:szCs w:val="20"/>
    </w:rPr>
  </w:style>
  <w:style w:type="character" w:customStyle="1" w:styleId="EndnoteTextChar">
    <w:name w:val="Endnote Text Char"/>
    <w:basedOn w:val="DefaultParagraphFont"/>
    <w:link w:val="EndnoteText"/>
    <w:uiPriority w:val="99"/>
    <w:rsid w:val="00767F13"/>
    <w:rPr>
      <w:sz w:val="20"/>
      <w:szCs w:val="20"/>
    </w:rPr>
  </w:style>
  <w:style w:type="character" w:styleId="EndnoteReference">
    <w:name w:val="endnote reference"/>
    <w:basedOn w:val="DefaultParagraphFont"/>
    <w:uiPriority w:val="99"/>
    <w:semiHidden/>
    <w:unhideWhenUsed/>
    <w:rsid w:val="00767F13"/>
    <w:rPr>
      <w:vertAlign w:val="superscript"/>
    </w:rPr>
  </w:style>
  <w:style w:type="character" w:customStyle="1" w:styleId="apple-converted-space">
    <w:name w:val="apple-converted-space"/>
    <w:basedOn w:val="DefaultParagraphFont"/>
    <w:rsid w:val="005D674E"/>
  </w:style>
  <w:style w:type="paragraph" w:styleId="ListParagraph">
    <w:name w:val="List Paragraph"/>
    <w:basedOn w:val="Normal"/>
    <w:uiPriority w:val="34"/>
    <w:qFormat/>
    <w:rsid w:val="005D674E"/>
    <w:pPr>
      <w:spacing w:after="200" w:line="276" w:lineRule="auto"/>
      <w:ind w:left="720"/>
      <w:contextualSpacing/>
    </w:pPr>
    <w:rPr>
      <w:rFonts w:eastAsiaTheme="minorEastAsia"/>
      <w:lang w:val="nl-NL" w:eastAsia="nl-NL"/>
    </w:rPr>
  </w:style>
  <w:style w:type="paragraph" w:styleId="Header">
    <w:name w:val="header"/>
    <w:basedOn w:val="Normal"/>
    <w:link w:val="HeaderChar"/>
    <w:uiPriority w:val="99"/>
    <w:unhideWhenUsed/>
    <w:rsid w:val="005D6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74E"/>
  </w:style>
  <w:style w:type="paragraph" w:styleId="Footer">
    <w:name w:val="footer"/>
    <w:basedOn w:val="Normal"/>
    <w:link w:val="FooterChar"/>
    <w:uiPriority w:val="99"/>
    <w:unhideWhenUsed/>
    <w:rsid w:val="005D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Turner</dc:creator>
  <cp:lastModifiedBy>Felicity Turner</cp:lastModifiedBy>
  <cp:revision>6</cp:revision>
  <dcterms:created xsi:type="dcterms:W3CDTF">2015-10-07T09:44:00Z</dcterms:created>
  <dcterms:modified xsi:type="dcterms:W3CDTF">2015-10-28T20:41:00Z</dcterms:modified>
</cp:coreProperties>
</file>