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14" w:rsidRPr="0012360E" w:rsidRDefault="0012360E" w:rsidP="0012360E">
      <w:pPr>
        <w:spacing w:after="0" w:line="48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12360E">
        <w:rPr>
          <w:rFonts w:ascii="Garamond" w:hAnsi="Garamond"/>
          <w:b/>
          <w:sz w:val="24"/>
          <w:szCs w:val="24"/>
          <w:lang w:val="en-US"/>
        </w:rPr>
        <w:t>S</w:t>
      </w:r>
      <w:r w:rsidR="003F00E8">
        <w:rPr>
          <w:rFonts w:ascii="Garamond" w:hAnsi="Garamond"/>
          <w:b/>
          <w:sz w:val="24"/>
          <w:szCs w:val="24"/>
          <w:lang w:val="en-US"/>
        </w:rPr>
        <w:t>2</w:t>
      </w:r>
      <w:r w:rsidRPr="0012360E">
        <w:rPr>
          <w:rFonts w:ascii="Garamond" w:hAnsi="Garamond"/>
          <w:b/>
          <w:sz w:val="24"/>
          <w:szCs w:val="24"/>
          <w:lang w:val="en-US"/>
        </w:rPr>
        <w:t xml:space="preserve"> Appendix</w:t>
      </w:r>
    </w:p>
    <w:p w:rsidR="0012360E" w:rsidRDefault="0012360E" w:rsidP="0012360E">
      <w:pPr>
        <w:spacing w:after="0" w:line="48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12360E">
        <w:rPr>
          <w:rFonts w:ascii="Garamond" w:hAnsi="Garamond"/>
          <w:b/>
          <w:sz w:val="24"/>
          <w:szCs w:val="24"/>
          <w:lang w:val="en-US"/>
        </w:rPr>
        <w:t>Hypothesis Notes</w:t>
      </w:r>
    </w:p>
    <w:p w:rsidR="00D0656D" w:rsidRPr="0012360E" w:rsidRDefault="00D0656D" w:rsidP="0012360E">
      <w:pPr>
        <w:spacing w:after="0" w:line="48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bookmarkStart w:id="0" w:name="_GoBack"/>
      <w:bookmarkEnd w:id="0"/>
    </w:p>
    <w:p w:rsidR="0012360E" w:rsidRPr="0012360E" w:rsidRDefault="0012360E" w:rsidP="0012360E">
      <w:pPr>
        <w:spacing w:after="0" w:line="480" w:lineRule="auto"/>
        <w:ind w:firstLine="708"/>
        <w:rPr>
          <w:rFonts w:ascii="Garamond" w:hAnsi="Garamond"/>
          <w:sz w:val="24"/>
          <w:szCs w:val="24"/>
          <w:lang w:val="en-US"/>
        </w:rPr>
      </w:pPr>
      <w:r w:rsidRPr="0012360E">
        <w:rPr>
          <w:rFonts w:ascii="Garamond" w:hAnsi="Garamond"/>
          <w:sz w:val="24"/>
          <w:szCs w:val="24"/>
          <w:lang w:val="en-US"/>
        </w:rPr>
        <w:t>Although we theoretically expect that a group low in holisticness can become strongly self-defining (e.g., a Star Trek viewer who becomes a ‘Trekkie’), we expect that this occurrence will be relatively rare. Thus, when we obtain a sample from the general population, self-definingness of groups low in holisticness will not influence inter-identity fit. Consequently, our hypothes</w:t>
      </w:r>
      <w:r>
        <w:rPr>
          <w:rFonts w:ascii="Garamond" w:hAnsi="Garamond"/>
          <w:sz w:val="24"/>
          <w:szCs w:val="24"/>
          <w:lang w:val="en-US"/>
        </w:rPr>
        <w:t>i</w:t>
      </w:r>
      <w:r w:rsidRPr="0012360E">
        <w:rPr>
          <w:rFonts w:ascii="Garamond" w:hAnsi="Garamond"/>
          <w:sz w:val="24"/>
          <w:szCs w:val="24"/>
          <w:lang w:val="en-US"/>
        </w:rPr>
        <w:t xml:space="preserve">s </w:t>
      </w:r>
      <w:r>
        <w:rPr>
          <w:rFonts w:ascii="Garamond" w:hAnsi="Garamond"/>
          <w:sz w:val="24"/>
          <w:szCs w:val="24"/>
          <w:lang w:val="en-US"/>
        </w:rPr>
        <w:t>is</w:t>
      </w:r>
      <w:r w:rsidRPr="0012360E">
        <w:rPr>
          <w:rFonts w:ascii="Garamond" w:hAnsi="Garamond"/>
          <w:sz w:val="24"/>
          <w:szCs w:val="24"/>
          <w:lang w:val="en-US"/>
        </w:rPr>
        <w:t xml:space="preserve"> based on the assumption that we are testing these effects in a general population sample. However, if we were to gain our sample from a specific, more limited population (e.g., </w:t>
      </w:r>
      <w:proofErr w:type="spellStart"/>
      <w:r w:rsidRPr="0012360E">
        <w:rPr>
          <w:rFonts w:ascii="Garamond" w:hAnsi="Garamond"/>
          <w:sz w:val="24"/>
          <w:szCs w:val="24"/>
          <w:lang w:val="en-US"/>
        </w:rPr>
        <w:t>attendendee’s</w:t>
      </w:r>
      <w:proofErr w:type="spellEnd"/>
      <w:r w:rsidRPr="0012360E">
        <w:rPr>
          <w:rFonts w:ascii="Garamond" w:hAnsi="Garamond"/>
          <w:sz w:val="24"/>
          <w:szCs w:val="24"/>
          <w:lang w:val="en-US"/>
        </w:rPr>
        <w:t xml:space="preserve"> of a feminist convention) then we would expect self-definingness of gender to influence inter-identity fit.</w:t>
      </w:r>
    </w:p>
    <w:sectPr w:rsidR="0012360E" w:rsidRPr="0012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E"/>
    <w:rsid w:val="00094714"/>
    <w:rsid w:val="0012360E"/>
    <w:rsid w:val="003F00E8"/>
    <w:rsid w:val="00D0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F.M.Turner</dc:creator>
  <cp:lastModifiedBy>F.M.Turner</cp:lastModifiedBy>
  <cp:revision>3</cp:revision>
  <dcterms:created xsi:type="dcterms:W3CDTF">2015-10-07T09:23:00Z</dcterms:created>
  <dcterms:modified xsi:type="dcterms:W3CDTF">2015-11-05T12:51:00Z</dcterms:modified>
</cp:coreProperties>
</file>