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30" w:rsidRPr="00AF4178" w:rsidRDefault="00FA3730" w:rsidP="00FA3730">
      <w:pPr>
        <w:pStyle w:val="NoSpacing"/>
        <w:spacing w:line="480" w:lineRule="auto"/>
        <w:rPr>
          <w:rFonts w:ascii="Times New Roman" w:hAnsi="Times New Roman" w:cs="Times New Roman"/>
          <w:sz w:val="18"/>
          <w:szCs w:val="18"/>
        </w:rPr>
      </w:pPr>
      <w:r w:rsidRPr="00AF4178">
        <w:rPr>
          <w:rFonts w:ascii="Times New Roman" w:hAnsi="Times New Roman" w:cs="Times New Roman"/>
          <w:b/>
          <w:sz w:val="20"/>
          <w:szCs w:val="20"/>
        </w:rPr>
        <w:t xml:space="preserve">S3 Table Cost parameters applied in the model (€, 2013). </w:t>
      </w:r>
    </w:p>
    <w:tbl>
      <w:tblPr>
        <w:tblStyle w:val="Lichtearcering1"/>
        <w:tblW w:w="8472" w:type="dxa"/>
        <w:tblBorders>
          <w:top w:val="single" w:sz="4" w:space="0" w:color="auto"/>
          <w:bottom w:val="single" w:sz="4" w:space="0" w:color="auto"/>
        </w:tblBorders>
        <w:tblLayout w:type="fixed"/>
        <w:tblLook w:val="06A0" w:firstRow="1" w:lastRow="0" w:firstColumn="1" w:lastColumn="0" w:noHBand="1" w:noVBand="1"/>
      </w:tblPr>
      <w:tblGrid>
        <w:gridCol w:w="3227"/>
        <w:gridCol w:w="1276"/>
        <w:gridCol w:w="1842"/>
        <w:gridCol w:w="2127"/>
      </w:tblGrid>
      <w:tr w:rsidR="00FA3730" w:rsidRPr="00AF4178" w:rsidTr="00774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bottom w:val="single" w:sz="4" w:space="0" w:color="auto"/>
            </w:tcBorders>
          </w:tcPr>
          <w:p w:rsidR="00FA3730" w:rsidRPr="00AF4178" w:rsidRDefault="00FA3730" w:rsidP="00774052">
            <w:pPr>
              <w:spacing w:line="480" w:lineRule="auto"/>
              <w:jc w:val="both"/>
              <w:rPr>
                <w:color w:val="auto"/>
                <w:sz w:val="20"/>
                <w:szCs w:val="20"/>
              </w:rPr>
            </w:pPr>
            <w:r w:rsidRPr="00AF4178">
              <w:rPr>
                <w:color w:val="auto"/>
                <w:sz w:val="20"/>
                <w:szCs w:val="20"/>
              </w:rPr>
              <w:t>Parameter</w:t>
            </w:r>
          </w:p>
        </w:tc>
        <w:tc>
          <w:tcPr>
            <w:tcW w:w="1276" w:type="dxa"/>
            <w:tcBorders>
              <w:top w:val="single" w:sz="4" w:space="0" w:color="auto"/>
              <w:bottom w:val="single" w:sz="4" w:space="0" w:color="auto"/>
            </w:tcBorders>
          </w:tcPr>
          <w:p w:rsidR="00FA3730" w:rsidRPr="00AF4178" w:rsidRDefault="00FA3730" w:rsidP="00774052">
            <w:pPr>
              <w:spacing w:line="480"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Mean</w:t>
            </w:r>
          </w:p>
        </w:tc>
        <w:tc>
          <w:tcPr>
            <w:tcW w:w="1842" w:type="dxa"/>
            <w:tcBorders>
              <w:top w:val="single" w:sz="4" w:space="0" w:color="auto"/>
              <w:bottom w:val="single" w:sz="4" w:space="0" w:color="auto"/>
            </w:tcBorders>
          </w:tcPr>
          <w:p w:rsidR="00FA3730" w:rsidRPr="00AF4178" w:rsidRDefault="00FA3730" w:rsidP="00774052">
            <w:pPr>
              <w:spacing w:line="480"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Range</w:t>
            </w:r>
          </w:p>
        </w:tc>
        <w:tc>
          <w:tcPr>
            <w:tcW w:w="2127" w:type="dxa"/>
            <w:tcBorders>
              <w:top w:val="single" w:sz="4" w:space="0" w:color="auto"/>
              <w:bottom w:val="single" w:sz="4" w:space="0" w:color="auto"/>
            </w:tcBorders>
          </w:tcPr>
          <w:p w:rsidR="00FA3730" w:rsidRPr="00AF4178" w:rsidRDefault="00FA3730" w:rsidP="00774052">
            <w:pPr>
              <w:spacing w:line="480" w:lineRule="auto"/>
              <w:jc w:val="both"/>
              <w:cnfStyle w:val="100000000000" w:firstRow="1"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Reference</w:t>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tcPr>
          <w:p w:rsidR="00FA3730" w:rsidRPr="00AF4178" w:rsidRDefault="00FA3730" w:rsidP="00774052">
            <w:pPr>
              <w:spacing w:line="480" w:lineRule="auto"/>
              <w:jc w:val="both"/>
              <w:rPr>
                <w:color w:val="auto"/>
                <w:sz w:val="20"/>
                <w:szCs w:val="20"/>
              </w:rPr>
            </w:pPr>
            <w:r w:rsidRPr="00AF4178">
              <w:rPr>
                <w:color w:val="auto"/>
                <w:sz w:val="20"/>
                <w:szCs w:val="20"/>
              </w:rPr>
              <w:t>Costs of events</w:t>
            </w:r>
          </w:p>
        </w:tc>
        <w:tc>
          <w:tcPr>
            <w:tcW w:w="1276" w:type="dxa"/>
            <w:tcBorders>
              <w:top w:val="single" w:sz="4" w:space="0" w:color="auto"/>
            </w:tcBorders>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842" w:type="dxa"/>
            <w:tcBorders>
              <w:top w:val="single" w:sz="4" w:space="0" w:color="auto"/>
            </w:tcBorders>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Cs w:val="18"/>
              </w:rPr>
            </w:pPr>
          </w:p>
        </w:tc>
        <w:tc>
          <w:tcPr>
            <w:tcW w:w="2127" w:type="dxa"/>
            <w:tcBorders>
              <w:top w:val="single" w:sz="4" w:space="0" w:color="auto"/>
            </w:tcBorders>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b/>
                <w:color w:val="auto"/>
                <w:sz w:val="20"/>
                <w:szCs w:val="20"/>
              </w:rPr>
            </w:pP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 xml:space="preserve">(recurrent) DVT </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1,562</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b/>
                <w:color w:val="auto"/>
                <w:sz w:val="20"/>
                <w:szCs w:val="20"/>
              </w:rPr>
            </w:pPr>
            <w:r w:rsidRPr="00AF4178">
              <w:rPr>
                <w:color w:val="auto"/>
                <w:sz w:val="20"/>
                <w:szCs w:val="20"/>
              </w:rPr>
              <w:t>781 – 3,125</w:t>
            </w:r>
          </w:p>
        </w:tc>
        <w:tc>
          <w:tcPr>
            <w:tcW w:w="2127" w:type="dxa"/>
          </w:tcPr>
          <w:p w:rsidR="00FA3730" w:rsidRPr="00AF4178" w:rsidRDefault="00FA3730" w:rsidP="00897C19">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lang w:val="nl-NL"/>
              </w:rPr>
            </w:pPr>
            <w:r w:rsidRPr="00AF4178">
              <w:rPr>
                <w:sz w:val="20"/>
                <w:szCs w:val="20"/>
                <w:lang w:val="nl-NL"/>
              </w:rPr>
              <w:fldChar w:fldCharType="begin"/>
            </w:r>
            <w:r w:rsidRPr="00AF4178">
              <w:rPr>
                <w:color w:val="auto"/>
                <w:sz w:val="20"/>
                <w:szCs w:val="20"/>
                <w:lang w:val="nl-NL"/>
              </w:rPr>
              <w:instrText>ADDIN RW.CITE{{736 Ten Cate-Hoek,A.J. 2009}}</w:instrText>
            </w:r>
            <w:r w:rsidRPr="00AF4178">
              <w:rPr>
                <w:sz w:val="20"/>
                <w:szCs w:val="20"/>
                <w:lang w:val="nl-NL"/>
              </w:rPr>
              <w:fldChar w:fldCharType="separate"/>
            </w:r>
            <w:r w:rsidR="00420DA8">
              <w:rPr>
                <w:color w:val="auto"/>
                <w:sz w:val="20"/>
                <w:szCs w:val="20"/>
                <w:lang w:val="nl-NL"/>
              </w:rPr>
              <w:t>[</w:t>
            </w:r>
            <w:r w:rsidR="00897C19">
              <w:rPr>
                <w:color w:val="auto"/>
                <w:sz w:val="20"/>
                <w:szCs w:val="20"/>
                <w:lang w:val="nl-NL"/>
              </w:rPr>
              <w:t>29</w:t>
            </w:r>
            <w:r w:rsidR="00420DA8">
              <w:rPr>
                <w:color w:val="auto"/>
                <w:sz w:val="20"/>
                <w:szCs w:val="20"/>
                <w:lang w:val="nl-NL"/>
              </w:rPr>
              <w:t>]</w:t>
            </w:r>
            <w:r w:rsidRPr="00AF4178">
              <w:rPr>
                <w:sz w:val="20"/>
                <w:szCs w:val="20"/>
                <w:lang w:val="nl-NL"/>
              </w:rPr>
              <w:fldChar w:fldCharType="end"/>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 xml:space="preserve">(non-fatal) PE </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4,976</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b/>
                <w:color w:val="auto"/>
                <w:sz w:val="20"/>
                <w:szCs w:val="20"/>
              </w:rPr>
            </w:pPr>
            <w:r w:rsidRPr="00AF4178">
              <w:rPr>
                <w:color w:val="auto"/>
                <w:sz w:val="20"/>
                <w:szCs w:val="20"/>
              </w:rPr>
              <w:t>2,486 – 9,952</w:t>
            </w:r>
          </w:p>
        </w:tc>
        <w:tc>
          <w:tcPr>
            <w:tcW w:w="2127" w:type="dxa"/>
          </w:tcPr>
          <w:p w:rsidR="00FA3730" w:rsidRPr="00AF4178" w:rsidRDefault="00FA3730" w:rsidP="00897C19">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lang w:val="nl-NL"/>
              </w:rPr>
            </w:pPr>
            <w:r w:rsidRPr="00AF4178">
              <w:rPr>
                <w:sz w:val="20"/>
                <w:szCs w:val="20"/>
                <w:lang w:val="nl-NL"/>
              </w:rPr>
              <w:fldChar w:fldCharType="begin"/>
            </w:r>
            <w:r w:rsidRPr="00AF4178">
              <w:rPr>
                <w:color w:val="auto"/>
                <w:sz w:val="20"/>
                <w:szCs w:val="20"/>
                <w:lang w:val="nl-NL"/>
              </w:rPr>
              <w:instrText>ADDIN RW.CITE{{736 Ten Cate-Hoek,A.J. 2009}}</w:instrText>
            </w:r>
            <w:r w:rsidRPr="00AF4178">
              <w:rPr>
                <w:sz w:val="20"/>
                <w:szCs w:val="20"/>
                <w:lang w:val="nl-NL"/>
              </w:rPr>
              <w:fldChar w:fldCharType="separate"/>
            </w:r>
            <w:r w:rsidR="00420DA8">
              <w:rPr>
                <w:color w:val="auto"/>
                <w:sz w:val="20"/>
                <w:szCs w:val="20"/>
                <w:lang w:val="nl-NL"/>
              </w:rPr>
              <w:t>[</w:t>
            </w:r>
            <w:r w:rsidR="00897C19">
              <w:rPr>
                <w:color w:val="auto"/>
                <w:sz w:val="20"/>
                <w:szCs w:val="20"/>
                <w:lang w:val="nl-NL"/>
              </w:rPr>
              <w:t>29</w:t>
            </w:r>
            <w:r w:rsidR="00420DA8">
              <w:rPr>
                <w:color w:val="auto"/>
                <w:sz w:val="20"/>
                <w:szCs w:val="20"/>
                <w:lang w:val="nl-NL"/>
              </w:rPr>
              <w:t>]</w:t>
            </w:r>
            <w:r w:rsidRPr="00AF4178">
              <w:rPr>
                <w:sz w:val="20"/>
                <w:szCs w:val="20"/>
                <w:lang w:val="nl-NL"/>
              </w:rPr>
              <w:fldChar w:fldCharType="end"/>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 xml:space="preserve">Major bleeding </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4,977</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b/>
                <w:color w:val="auto"/>
                <w:sz w:val="20"/>
                <w:szCs w:val="20"/>
                <w:vertAlign w:val="superscript"/>
              </w:rPr>
            </w:pPr>
            <w:r w:rsidRPr="00AF4178">
              <w:rPr>
                <w:color w:val="auto"/>
                <w:sz w:val="20"/>
                <w:szCs w:val="20"/>
              </w:rPr>
              <w:t>1,995 –13,588</w:t>
            </w:r>
            <w:r w:rsidRPr="00AF4178">
              <w:rPr>
                <w:color w:val="auto"/>
                <w:sz w:val="20"/>
                <w:szCs w:val="20"/>
                <w:vertAlign w:val="superscript"/>
              </w:rPr>
              <w:t>1</w:t>
            </w:r>
          </w:p>
        </w:tc>
        <w:tc>
          <w:tcPr>
            <w:tcW w:w="2127" w:type="dxa"/>
          </w:tcPr>
          <w:p w:rsidR="00FA3730" w:rsidRPr="00AF4178" w:rsidRDefault="00FA3730" w:rsidP="00420DA8">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lang w:val="nl-NL"/>
              </w:rPr>
            </w:pPr>
            <w:r w:rsidRPr="00AF4178">
              <w:rPr>
                <w:sz w:val="20"/>
                <w:szCs w:val="20"/>
                <w:lang w:val="nl-NL"/>
              </w:rPr>
              <w:fldChar w:fldCharType="begin"/>
            </w:r>
            <w:r w:rsidRPr="00AF4178">
              <w:rPr>
                <w:color w:val="auto"/>
                <w:sz w:val="20"/>
                <w:szCs w:val="20"/>
                <w:lang w:val="nl-NL"/>
              </w:rPr>
              <w:instrText>ADDIN RW.CITE{{736 Ten Cate-Hoek,A.J. 2009}}</w:instrText>
            </w:r>
            <w:r w:rsidRPr="00AF4178">
              <w:rPr>
                <w:sz w:val="20"/>
                <w:szCs w:val="20"/>
                <w:lang w:val="nl-NL"/>
              </w:rPr>
              <w:fldChar w:fldCharType="separate"/>
            </w:r>
            <w:r w:rsidR="00420DA8">
              <w:rPr>
                <w:color w:val="auto"/>
                <w:sz w:val="20"/>
                <w:szCs w:val="20"/>
                <w:lang w:val="nl-NL"/>
              </w:rPr>
              <w:t>[</w:t>
            </w:r>
            <w:r w:rsidR="00897C19">
              <w:rPr>
                <w:color w:val="auto"/>
                <w:sz w:val="20"/>
                <w:szCs w:val="20"/>
                <w:lang w:val="nl-NL"/>
              </w:rPr>
              <w:t>29</w:t>
            </w:r>
            <w:r w:rsidR="00420DA8">
              <w:rPr>
                <w:color w:val="auto"/>
                <w:sz w:val="20"/>
                <w:szCs w:val="20"/>
                <w:lang w:val="nl-NL"/>
              </w:rPr>
              <w:t>]</w:t>
            </w:r>
            <w:r w:rsidRPr="00AF4178">
              <w:rPr>
                <w:sz w:val="20"/>
                <w:szCs w:val="20"/>
                <w:lang w:val="nl-NL"/>
              </w:rPr>
              <w:fldChar w:fldCharType="end"/>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Non-major or CRNM</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100</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b/>
                <w:color w:val="auto"/>
                <w:sz w:val="20"/>
                <w:szCs w:val="20"/>
              </w:rPr>
            </w:pPr>
            <w:r w:rsidRPr="00AF4178">
              <w:rPr>
                <w:color w:val="auto"/>
                <w:sz w:val="20"/>
                <w:szCs w:val="20"/>
              </w:rPr>
              <w:t>75  – 125</w:t>
            </w:r>
            <w:r w:rsidRPr="00AF4178">
              <w:rPr>
                <w:color w:val="auto"/>
                <w:sz w:val="20"/>
                <w:szCs w:val="20"/>
                <w:vertAlign w:val="superscript"/>
              </w:rPr>
              <w:t>2</w:t>
            </w:r>
          </w:p>
        </w:tc>
        <w:tc>
          <w:tcPr>
            <w:tcW w:w="2127" w:type="dxa"/>
          </w:tcPr>
          <w:p w:rsidR="00FA3730" w:rsidRPr="00AF4178" w:rsidRDefault="00FA3730" w:rsidP="00897C19">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rFonts w:cs="Times New Roman"/>
                <w:sz w:val="20"/>
                <w:szCs w:val="20"/>
              </w:rPr>
              <w:fldChar w:fldCharType="begin"/>
            </w:r>
            <w:r w:rsidRPr="00AF4178">
              <w:rPr>
                <w:rFonts w:cs="Times New Roman"/>
                <w:color w:val="auto"/>
                <w:sz w:val="20"/>
                <w:szCs w:val="20"/>
              </w:rPr>
              <w:instrText>ADDIN RW.CITE{{717 Nederlandse Zorgautoriteit 2013}}</w:instrText>
            </w:r>
            <w:r w:rsidRPr="00AF4178">
              <w:rPr>
                <w:rFonts w:cs="Times New Roman"/>
                <w:sz w:val="20"/>
                <w:szCs w:val="20"/>
              </w:rPr>
              <w:fldChar w:fldCharType="separate"/>
            </w:r>
            <w:r w:rsidR="00420DA8">
              <w:rPr>
                <w:rFonts w:cs="Times New Roman"/>
                <w:color w:val="auto"/>
                <w:sz w:val="20"/>
                <w:szCs w:val="20"/>
              </w:rPr>
              <w:t>[</w:t>
            </w:r>
            <w:r w:rsidRPr="00AF4178">
              <w:rPr>
                <w:rFonts w:cs="Times New Roman"/>
                <w:color w:val="auto"/>
                <w:sz w:val="20"/>
                <w:szCs w:val="20"/>
              </w:rPr>
              <w:t>1</w:t>
            </w:r>
            <w:r w:rsidR="00897C19">
              <w:rPr>
                <w:rFonts w:cs="Times New Roman"/>
                <w:color w:val="auto"/>
                <w:sz w:val="20"/>
                <w:szCs w:val="20"/>
              </w:rPr>
              <w:t>8</w:t>
            </w:r>
            <w:r w:rsidRPr="00AF4178">
              <w:rPr>
                <w:rFonts w:cs="Times New Roman"/>
                <w:sz w:val="20"/>
                <w:szCs w:val="20"/>
              </w:rPr>
              <w:fldChar w:fldCharType="end"/>
            </w:r>
            <w:r w:rsidR="00420DA8">
              <w:rPr>
                <w:rFonts w:cs="Times New Roman"/>
                <w:sz w:val="20"/>
                <w:szCs w:val="20"/>
              </w:rPr>
              <w:t>]</w:t>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 xml:space="preserve">Minor bleeding </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26</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Fixed</w:t>
            </w:r>
          </w:p>
        </w:tc>
        <w:tc>
          <w:tcPr>
            <w:tcW w:w="2127" w:type="dxa"/>
          </w:tcPr>
          <w:p w:rsidR="00FA3730" w:rsidRPr="00AF4178" w:rsidRDefault="00FA3730" w:rsidP="00897C19">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rFonts w:cs="Times New Roman"/>
                <w:sz w:val="20"/>
                <w:szCs w:val="20"/>
              </w:rPr>
              <w:fldChar w:fldCharType="begin"/>
            </w:r>
            <w:r w:rsidRPr="00AF4178">
              <w:rPr>
                <w:rFonts w:cs="Times New Roman"/>
                <w:color w:val="auto"/>
                <w:sz w:val="20"/>
                <w:szCs w:val="20"/>
              </w:rPr>
              <w:instrText>ADDIN RW.CITE{{717 Nederlandse Zorgautoriteit 2013}}</w:instrText>
            </w:r>
            <w:r w:rsidRPr="00AF4178">
              <w:rPr>
                <w:rFonts w:cs="Times New Roman"/>
                <w:sz w:val="20"/>
                <w:szCs w:val="20"/>
              </w:rPr>
              <w:fldChar w:fldCharType="separate"/>
            </w:r>
            <w:r w:rsidR="00420DA8">
              <w:rPr>
                <w:rFonts w:cs="Times New Roman"/>
                <w:color w:val="auto"/>
                <w:sz w:val="20"/>
                <w:szCs w:val="20"/>
              </w:rPr>
              <w:t>[</w:t>
            </w:r>
            <w:r w:rsidRPr="00AF4178">
              <w:rPr>
                <w:rFonts w:cs="Times New Roman"/>
                <w:color w:val="auto"/>
                <w:sz w:val="20"/>
                <w:szCs w:val="20"/>
              </w:rPr>
              <w:t>1</w:t>
            </w:r>
            <w:r w:rsidR="00897C19">
              <w:rPr>
                <w:rFonts w:cs="Times New Roman"/>
                <w:color w:val="auto"/>
                <w:sz w:val="20"/>
                <w:szCs w:val="20"/>
              </w:rPr>
              <w:t>8</w:t>
            </w:r>
            <w:r w:rsidRPr="00AF4178">
              <w:rPr>
                <w:rFonts w:cs="Times New Roman"/>
                <w:sz w:val="20"/>
                <w:szCs w:val="20"/>
              </w:rPr>
              <w:fldChar w:fldCharType="end"/>
            </w:r>
            <w:r w:rsidR="00897C19">
              <w:rPr>
                <w:rFonts w:cs="Times New Roman"/>
                <w:sz w:val="20"/>
                <w:szCs w:val="20"/>
              </w:rPr>
              <w:t>]</w:t>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color w:val="auto"/>
                <w:sz w:val="20"/>
                <w:szCs w:val="20"/>
              </w:rPr>
              <w:t>Costs of anticoagulants</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127"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VKA</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14.76</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11.07 – 18.45</w:t>
            </w:r>
            <w:r w:rsidRPr="00AF4178">
              <w:rPr>
                <w:color w:val="auto"/>
                <w:sz w:val="20"/>
                <w:szCs w:val="20"/>
                <w:vertAlign w:val="superscript"/>
              </w:rPr>
              <w:t>2</w:t>
            </w:r>
          </w:p>
        </w:tc>
        <w:tc>
          <w:tcPr>
            <w:tcW w:w="2127" w:type="dxa"/>
          </w:tcPr>
          <w:p w:rsidR="00FA3730" w:rsidRPr="0043598D" w:rsidRDefault="00FA3730" w:rsidP="00897C19">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lang w:val="nl-NL"/>
              </w:rPr>
            </w:pPr>
            <w:r w:rsidRPr="00AF4178">
              <w:rPr>
                <w:sz w:val="20"/>
                <w:szCs w:val="20"/>
              </w:rPr>
              <w:fldChar w:fldCharType="begin"/>
            </w:r>
            <w:r w:rsidRPr="00AF4178">
              <w:rPr>
                <w:color w:val="auto"/>
                <w:sz w:val="20"/>
                <w:szCs w:val="20"/>
                <w:lang w:val="nl-NL"/>
              </w:rPr>
              <w:instrText>ADDIN RW.CITE{{689 Federatie van Nederlandse Trombosediensten (FNT) 2011}}</w:instrText>
            </w:r>
            <w:r w:rsidRPr="00AF4178">
              <w:rPr>
                <w:sz w:val="20"/>
                <w:szCs w:val="20"/>
              </w:rPr>
              <w:fldChar w:fldCharType="separate"/>
            </w:r>
            <w:r w:rsidR="00420DA8">
              <w:rPr>
                <w:color w:val="auto"/>
                <w:sz w:val="20"/>
                <w:szCs w:val="20"/>
                <w:lang w:val="nl-NL"/>
              </w:rPr>
              <w:t>[</w:t>
            </w:r>
            <w:r w:rsidRPr="00AF4178">
              <w:rPr>
                <w:color w:val="auto"/>
                <w:sz w:val="20"/>
                <w:szCs w:val="20"/>
                <w:lang w:val="nl-NL"/>
              </w:rPr>
              <w:t>2</w:t>
            </w:r>
            <w:r w:rsidR="00897C19">
              <w:rPr>
                <w:color w:val="auto"/>
                <w:sz w:val="20"/>
                <w:szCs w:val="20"/>
                <w:lang w:val="nl-NL"/>
              </w:rPr>
              <w:t>8</w:t>
            </w:r>
            <w:r w:rsidRPr="00AF4178">
              <w:rPr>
                <w:sz w:val="20"/>
                <w:szCs w:val="20"/>
              </w:rPr>
              <w:fldChar w:fldCharType="end"/>
            </w:r>
            <w:r w:rsidR="00420DA8">
              <w:rPr>
                <w:sz w:val="20"/>
                <w:szCs w:val="20"/>
              </w:rPr>
              <w:t>]</w:t>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Dabigatran</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414.00</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fixed</w:t>
            </w:r>
          </w:p>
        </w:tc>
        <w:tc>
          <w:tcPr>
            <w:tcW w:w="2127" w:type="dxa"/>
          </w:tcPr>
          <w:p w:rsidR="00FA3730" w:rsidRPr="0043598D" w:rsidRDefault="00FA3730" w:rsidP="00897C19">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sz w:val="20"/>
                <w:szCs w:val="20"/>
              </w:rPr>
              <w:fldChar w:fldCharType="begin"/>
            </w:r>
            <w:r w:rsidRPr="00AF4178">
              <w:rPr>
                <w:color w:val="auto"/>
                <w:sz w:val="20"/>
                <w:szCs w:val="20"/>
              </w:rPr>
              <w:instrText>ADDIN RW.CITE{{741 Z-Index 2014}}</w:instrText>
            </w:r>
            <w:r w:rsidRPr="00AF4178">
              <w:rPr>
                <w:sz w:val="20"/>
                <w:szCs w:val="20"/>
              </w:rPr>
              <w:fldChar w:fldCharType="separate"/>
            </w:r>
            <w:r w:rsidR="00420DA8">
              <w:rPr>
                <w:color w:val="auto"/>
                <w:sz w:val="20"/>
                <w:szCs w:val="20"/>
              </w:rPr>
              <w:t>[</w:t>
            </w:r>
            <w:r w:rsidRPr="00AF4178">
              <w:rPr>
                <w:color w:val="auto"/>
                <w:sz w:val="20"/>
                <w:szCs w:val="20"/>
              </w:rPr>
              <w:t>2</w:t>
            </w:r>
            <w:r w:rsidR="00897C19">
              <w:rPr>
                <w:color w:val="auto"/>
                <w:sz w:val="20"/>
                <w:szCs w:val="20"/>
              </w:rPr>
              <w:t>7</w:t>
            </w:r>
            <w:r w:rsidRPr="00AF4178">
              <w:rPr>
                <w:sz w:val="20"/>
                <w:szCs w:val="20"/>
              </w:rPr>
              <w:fldChar w:fldCharType="end"/>
            </w:r>
            <w:r w:rsidR="00420DA8">
              <w:rPr>
                <w:sz w:val="20"/>
                <w:szCs w:val="20"/>
              </w:rPr>
              <w:t>]</w:t>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color w:val="auto"/>
                <w:sz w:val="20"/>
                <w:szCs w:val="20"/>
              </w:rPr>
            </w:pPr>
            <w:r w:rsidRPr="00AF4178">
              <w:rPr>
                <w:color w:val="auto"/>
                <w:sz w:val="20"/>
                <w:szCs w:val="20"/>
              </w:rPr>
              <w:t>Other costs</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127"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INR monitoring</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137.51</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55.45 – 219.55</w:t>
            </w:r>
          </w:p>
        </w:tc>
        <w:tc>
          <w:tcPr>
            <w:tcW w:w="2127"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lang w:val="nl-NL"/>
              </w:rPr>
              <w:t>Calculated</w:t>
            </w:r>
          </w:p>
        </w:tc>
      </w:tr>
      <w:tr w:rsidR="00FA3730" w:rsidRPr="00AF4178" w:rsidTr="00774052">
        <w:trPr>
          <w:trHeight w:val="369"/>
        </w:trPr>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Travelling costs</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 xml:space="preserve">  78.35</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sidRPr="00AF4178">
              <w:rPr>
                <w:color w:val="auto"/>
                <w:sz w:val="20"/>
                <w:szCs w:val="20"/>
              </w:rPr>
              <w:t xml:space="preserve">    58.77 – 97.94</w:t>
            </w:r>
            <w:r w:rsidRPr="00AF4178">
              <w:rPr>
                <w:color w:val="auto"/>
                <w:sz w:val="20"/>
                <w:szCs w:val="20"/>
                <w:vertAlign w:val="superscript"/>
              </w:rPr>
              <w:t>2</w:t>
            </w:r>
          </w:p>
        </w:tc>
        <w:tc>
          <w:tcPr>
            <w:tcW w:w="2127" w:type="dxa"/>
          </w:tcPr>
          <w:p w:rsidR="00FA3730" w:rsidRPr="00AF4178" w:rsidRDefault="00FA3730" w:rsidP="00897C19">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lang w:val="nl-NL"/>
              </w:rPr>
            </w:pPr>
            <w:r w:rsidRPr="00AF4178">
              <w:rPr>
                <w:sz w:val="20"/>
                <w:szCs w:val="20"/>
                <w:lang w:val="nl-NL"/>
              </w:rPr>
              <w:fldChar w:fldCharType="begin"/>
            </w:r>
            <w:r w:rsidRPr="00AF4178">
              <w:rPr>
                <w:color w:val="auto"/>
                <w:sz w:val="20"/>
                <w:szCs w:val="20"/>
                <w:lang w:val="nl-NL"/>
              </w:rPr>
              <w:instrText>ADDIN RW.CITE{{401 Hakkaart-van Roijen, L 2010}}</w:instrText>
            </w:r>
            <w:r w:rsidRPr="00AF4178">
              <w:rPr>
                <w:sz w:val="20"/>
                <w:szCs w:val="20"/>
                <w:lang w:val="nl-NL"/>
              </w:rPr>
              <w:fldChar w:fldCharType="separate"/>
            </w:r>
            <w:r w:rsidR="00420DA8">
              <w:rPr>
                <w:color w:val="auto"/>
                <w:sz w:val="20"/>
                <w:szCs w:val="20"/>
                <w:lang w:val="nl-NL"/>
              </w:rPr>
              <w:t>[</w:t>
            </w:r>
            <w:r w:rsidRPr="00AF4178">
              <w:rPr>
                <w:color w:val="auto"/>
                <w:sz w:val="20"/>
                <w:szCs w:val="20"/>
                <w:lang w:val="nl-NL"/>
              </w:rPr>
              <w:t>3</w:t>
            </w:r>
            <w:r w:rsidR="00897C19">
              <w:rPr>
                <w:color w:val="auto"/>
                <w:sz w:val="20"/>
                <w:szCs w:val="20"/>
                <w:lang w:val="nl-NL"/>
              </w:rPr>
              <w:t>1</w:t>
            </w:r>
            <w:r w:rsidRPr="00AF4178">
              <w:rPr>
                <w:sz w:val="20"/>
                <w:szCs w:val="20"/>
                <w:lang w:val="nl-NL"/>
              </w:rPr>
              <w:fldChar w:fldCharType="end"/>
            </w:r>
            <w:r w:rsidR="00420DA8">
              <w:rPr>
                <w:sz w:val="20"/>
                <w:szCs w:val="20"/>
                <w:lang w:val="nl-NL"/>
              </w:rPr>
              <w:t>]</w:t>
            </w:r>
          </w:p>
        </w:tc>
      </w:tr>
      <w:tr w:rsidR="00FA3730" w:rsidRPr="00AF4178" w:rsidTr="00774052">
        <w:tc>
          <w:tcPr>
            <w:cnfStyle w:val="001000000000" w:firstRow="0" w:lastRow="0" w:firstColumn="1" w:lastColumn="0" w:oddVBand="0" w:evenVBand="0" w:oddHBand="0" w:evenHBand="0" w:firstRowFirstColumn="0" w:firstRowLastColumn="0" w:lastRowFirstColumn="0" w:lastRowLastColumn="0"/>
            <w:tcW w:w="3227" w:type="dxa"/>
          </w:tcPr>
          <w:p w:rsidR="00FA3730" w:rsidRPr="00AF4178" w:rsidRDefault="00FA3730" w:rsidP="00774052">
            <w:pPr>
              <w:spacing w:line="480" w:lineRule="auto"/>
              <w:jc w:val="both"/>
              <w:rPr>
                <w:b w:val="0"/>
                <w:color w:val="auto"/>
                <w:sz w:val="20"/>
                <w:szCs w:val="20"/>
              </w:rPr>
            </w:pPr>
            <w:r w:rsidRPr="00AF4178">
              <w:rPr>
                <w:b w:val="0"/>
                <w:color w:val="auto"/>
                <w:sz w:val="20"/>
                <w:szCs w:val="20"/>
              </w:rPr>
              <w:t>Productivity loss costs</w:t>
            </w:r>
          </w:p>
        </w:tc>
        <w:tc>
          <w:tcPr>
            <w:tcW w:w="1276"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AF4178">
              <w:rPr>
                <w:color w:val="auto"/>
                <w:sz w:val="20"/>
                <w:szCs w:val="20"/>
              </w:rPr>
              <w:t>410.03</w:t>
            </w:r>
          </w:p>
        </w:tc>
        <w:tc>
          <w:tcPr>
            <w:tcW w:w="1842" w:type="dxa"/>
          </w:tcPr>
          <w:p w:rsidR="00FA3730" w:rsidRPr="00AF4178" w:rsidRDefault="00FA3730" w:rsidP="00774052">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sidRPr="00AF4178">
              <w:rPr>
                <w:color w:val="auto"/>
                <w:sz w:val="20"/>
                <w:szCs w:val="20"/>
              </w:rPr>
              <w:t>307.53 – 512.53</w:t>
            </w:r>
            <w:r w:rsidRPr="00AF4178">
              <w:rPr>
                <w:color w:val="auto"/>
                <w:sz w:val="20"/>
                <w:szCs w:val="20"/>
                <w:vertAlign w:val="superscript"/>
              </w:rPr>
              <w:t>2</w:t>
            </w:r>
          </w:p>
        </w:tc>
        <w:tc>
          <w:tcPr>
            <w:tcW w:w="2127" w:type="dxa"/>
          </w:tcPr>
          <w:p w:rsidR="00FA3730" w:rsidRPr="00AF4178" w:rsidRDefault="00FA3730" w:rsidP="00897C19">
            <w:pPr>
              <w:spacing w:line="480" w:lineRule="auto"/>
              <w:jc w:val="both"/>
              <w:cnfStyle w:val="000000000000" w:firstRow="0" w:lastRow="0" w:firstColumn="0" w:lastColumn="0" w:oddVBand="0" w:evenVBand="0" w:oddHBand="0" w:evenHBand="0" w:firstRowFirstColumn="0" w:firstRowLastColumn="0" w:lastRowFirstColumn="0" w:lastRowLastColumn="0"/>
              <w:rPr>
                <w:color w:val="auto"/>
                <w:sz w:val="20"/>
                <w:szCs w:val="20"/>
                <w:lang w:val="nl-NL"/>
              </w:rPr>
            </w:pPr>
            <w:r w:rsidRPr="00AF4178">
              <w:rPr>
                <w:sz w:val="20"/>
                <w:szCs w:val="20"/>
                <w:lang w:val="nl-NL"/>
              </w:rPr>
              <w:fldChar w:fldCharType="begin"/>
            </w:r>
            <w:r w:rsidRPr="00AF4178">
              <w:rPr>
                <w:color w:val="auto"/>
                <w:sz w:val="20"/>
                <w:szCs w:val="20"/>
                <w:lang w:val="nl-NL"/>
              </w:rPr>
              <w:instrText>ADDIN RW.CITE{{401 Hakkaart-van Roijen, L 2010}}</w:instrText>
            </w:r>
            <w:r w:rsidRPr="00AF4178">
              <w:rPr>
                <w:sz w:val="20"/>
                <w:szCs w:val="20"/>
                <w:lang w:val="nl-NL"/>
              </w:rPr>
              <w:fldChar w:fldCharType="separate"/>
            </w:r>
            <w:r w:rsidR="00420DA8">
              <w:rPr>
                <w:color w:val="auto"/>
                <w:sz w:val="20"/>
                <w:szCs w:val="20"/>
                <w:lang w:val="nl-NL"/>
              </w:rPr>
              <w:t>[</w:t>
            </w:r>
            <w:r w:rsidRPr="00AF4178">
              <w:rPr>
                <w:color w:val="auto"/>
                <w:sz w:val="20"/>
                <w:szCs w:val="20"/>
                <w:lang w:val="nl-NL"/>
              </w:rPr>
              <w:t>3</w:t>
            </w:r>
            <w:r w:rsidR="00897C19">
              <w:rPr>
                <w:color w:val="auto"/>
                <w:sz w:val="20"/>
                <w:szCs w:val="20"/>
                <w:lang w:val="nl-NL"/>
              </w:rPr>
              <w:t>1</w:t>
            </w:r>
            <w:r w:rsidRPr="00AF4178">
              <w:rPr>
                <w:sz w:val="20"/>
                <w:szCs w:val="20"/>
                <w:lang w:val="nl-NL"/>
              </w:rPr>
              <w:fldChar w:fldCharType="end"/>
            </w:r>
            <w:r w:rsidR="00420DA8">
              <w:rPr>
                <w:sz w:val="20"/>
                <w:szCs w:val="20"/>
                <w:lang w:val="nl-NL"/>
              </w:rPr>
              <w:t>]</w:t>
            </w:r>
          </w:p>
        </w:tc>
      </w:tr>
    </w:tbl>
    <w:p w:rsidR="00FA3730" w:rsidRPr="00AF4178" w:rsidRDefault="00FA3730" w:rsidP="00FA3730">
      <w:pPr>
        <w:pStyle w:val="NoSpacing"/>
        <w:spacing w:line="480" w:lineRule="auto"/>
        <w:jc w:val="both"/>
        <w:rPr>
          <w:rFonts w:ascii="Times New Roman" w:hAnsi="Times New Roman" w:cs="Times New Roman"/>
          <w:sz w:val="20"/>
          <w:szCs w:val="20"/>
        </w:rPr>
      </w:pPr>
      <w:r w:rsidRPr="00AF4178">
        <w:rPr>
          <w:rFonts w:ascii="Times New Roman" w:hAnsi="Times New Roman" w:cs="Times New Roman"/>
          <w:sz w:val="20"/>
          <w:szCs w:val="20"/>
        </w:rPr>
        <w:t>Costs are determined for every health state and were assumed to follow gamma-d</w:t>
      </w:r>
      <w:bookmarkStart w:id="0" w:name="_GoBack"/>
      <w:bookmarkEnd w:id="0"/>
      <w:r w:rsidRPr="00AF4178">
        <w:rPr>
          <w:rFonts w:ascii="Times New Roman" w:hAnsi="Times New Roman" w:cs="Times New Roman"/>
          <w:sz w:val="20"/>
          <w:szCs w:val="20"/>
        </w:rPr>
        <w:t xml:space="preserve">istributions in the PSA. Same events costs are used for the scenario analysis. Anticoagulant costs and other costs are corrected to reflect the base case analysis (180 days) and specific scenario analysis (143 days). </w:t>
      </w:r>
    </w:p>
    <w:p w:rsidR="00FA3730" w:rsidRPr="00AF4178" w:rsidRDefault="00FA3730" w:rsidP="00FA3730">
      <w:pPr>
        <w:spacing w:line="480" w:lineRule="auto"/>
        <w:jc w:val="both"/>
        <w:rPr>
          <w:rFonts w:cs="Times New Roman"/>
          <w:i/>
          <w:sz w:val="20"/>
          <w:szCs w:val="20"/>
        </w:rPr>
      </w:pPr>
      <w:r w:rsidRPr="00AF4178">
        <w:rPr>
          <w:rFonts w:eastAsia="Times New Roman" w:cs="Times New Roman"/>
          <w:sz w:val="20"/>
          <w:szCs w:val="20"/>
        </w:rPr>
        <w:t xml:space="preserve">VTE: venous thromboembolism; DVT: deep venous thrombosis; PE: pulmonary embolism; CRNM: clinically relevant non-major; </w:t>
      </w:r>
      <w:r w:rsidRPr="00AF4178">
        <w:rPr>
          <w:rFonts w:cs="Times New Roman"/>
          <w:sz w:val="20"/>
          <w:szCs w:val="20"/>
          <w:vertAlign w:val="superscript"/>
        </w:rPr>
        <w:t>1</w:t>
      </w:r>
      <w:r w:rsidRPr="00AF4178">
        <w:rPr>
          <w:rFonts w:cs="Times New Roman"/>
          <w:sz w:val="20"/>
          <w:szCs w:val="20"/>
        </w:rPr>
        <w:t xml:space="preserve">major bleeding utility is based on gastro-intestinal bleeding; </w:t>
      </w:r>
      <w:r w:rsidRPr="00AF4178">
        <w:rPr>
          <w:rFonts w:cs="Times New Roman"/>
          <w:sz w:val="20"/>
          <w:szCs w:val="20"/>
          <w:vertAlign w:val="superscript"/>
        </w:rPr>
        <w:t>2</w:t>
      </w:r>
      <w:r w:rsidRPr="00AF4178">
        <w:rPr>
          <w:rFonts w:cs="Times New Roman"/>
          <w:sz w:val="20"/>
          <w:szCs w:val="20"/>
        </w:rPr>
        <w:t>cost estimates that were only available as single point estimates were assumed to follow a gamma distribution with a 25% standard deviation of the mean.</w:t>
      </w:r>
    </w:p>
    <w:p w:rsidR="00FA3730" w:rsidRPr="00AF4178" w:rsidRDefault="00FA3730" w:rsidP="00FA3730">
      <w:pPr>
        <w:pStyle w:val="NormalWeb"/>
        <w:spacing w:line="480" w:lineRule="auto"/>
        <w:rPr>
          <w:sz w:val="16"/>
          <w:szCs w:val="16"/>
        </w:rPr>
      </w:pPr>
    </w:p>
    <w:p w:rsidR="00FA3730" w:rsidRDefault="00FA3730" w:rsidP="00FA3730"/>
    <w:p w:rsidR="00061C53" w:rsidRDefault="00061C53"/>
    <w:sectPr w:rsidR="00061C53" w:rsidSect="009B385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70A"/>
    <w:multiLevelType w:val="hybridMultilevel"/>
    <w:tmpl w:val="0E6EEB2E"/>
    <w:lvl w:ilvl="0" w:tplc="5C9889C0">
      <w:start w:val="1"/>
      <w:numFmt w:val="bullet"/>
      <w:lvlText w:val="–"/>
      <w:lvlJc w:val="left"/>
      <w:pPr>
        <w:ind w:left="717" w:hanging="360"/>
      </w:pPr>
      <w:rPr>
        <w:rFonts w:ascii="Arial" w:hAnsi="Aria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30"/>
    <w:rsid w:val="00061C53"/>
    <w:rsid w:val="00420DA8"/>
    <w:rsid w:val="007E641E"/>
    <w:rsid w:val="00897C19"/>
    <w:rsid w:val="0093486D"/>
    <w:rsid w:val="00AF7499"/>
    <w:rsid w:val="00C004C2"/>
    <w:rsid w:val="00FA37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30"/>
    <w:rPr>
      <w:rFonts w:ascii="Times New Roman" w:eastAsiaTheme="minorEastAsia" w:hAnsi="Times New Roman"/>
      <w:sz w:val="18"/>
      <w:lang w:val="en-GB" w:eastAsia="nl-NL"/>
    </w:rPr>
  </w:style>
  <w:style w:type="paragraph" w:styleId="Heading1">
    <w:name w:val="heading 1"/>
    <w:basedOn w:val="Normal"/>
    <w:next w:val="Normal"/>
    <w:link w:val="Heading1Char"/>
    <w:uiPriority w:val="9"/>
    <w:qFormat/>
    <w:rsid w:val="007E641E"/>
    <w:pPr>
      <w:keepNext/>
      <w:keepLines/>
      <w:spacing w:before="480" w:after="0"/>
      <w:outlineLvl w:val="0"/>
    </w:pPr>
    <w:rPr>
      <w:rFonts w:asciiTheme="majorHAnsi" w:eastAsiaTheme="majorEastAsia" w:hAnsiTheme="majorHAnsi" w:cstheme="majorBidi"/>
      <w:b/>
      <w:bCs/>
      <w:sz w:val="24"/>
      <w:szCs w:val="28"/>
      <w:lang w:eastAsia="en-US"/>
    </w:rPr>
  </w:style>
  <w:style w:type="paragraph" w:styleId="Heading2">
    <w:name w:val="heading 2"/>
    <w:basedOn w:val="Normal"/>
    <w:next w:val="Normal"/>
    <w:link w:val="Heading2Char"/>
    <w:uiPriority w:val="9"/>
    <w:unhideWhenUsed/>
    <w:qFormat/>
    <w:rsid w:val="00AF7499"/>
    <w:pPr>
      <w:keepNext/>
      <w:keepLines/>
      <w:spacing w:before="200" w:after="0"/>
      <w:outlineLvl w:val="1"/>
    </w:pPr>
    <w:rPr>
      <w:rFonts w:asciiTheme="minorHAnsi" w:eastAsiaTheme="majorEastAsia" w:hAnsiTheme="minorHAnsi" w:cstheme="majorBidi"/>
      <w:b/>
      <w:bCs/>
      <w:sz w:val="22"/>
      <w:szCs w:val="26"/>
      <w:lang w:eastAsia="en-US"/>
    </w:rPr>
  </w:style>
  <w:style w:type="paragraph" w:styleId="Heading3">
    <w:name w:val="heading 3"/>
    <w:basedOn w:val="Normal"/>
    <w:next w:val="Normal"/>
    <w:link w:val="Heading3Char"/>
    <w:uiPriority w:val="9"/>
    <w:unhideWhenUsed/>
    <w:qFormat/>
    <w:rsid w:val="0093486D"/>
    <w:pPr>
      <w:keepNext/>
      <w:keepLines/>
      <w:spacing w:before="200" w:after="0" w:line="22" w:lineRule="exact"/>
      <w:ind w:left="2157" w:hanging="360"/>
      <w:outlineLvl w:val="2"/>
    </w:pPr>
    <w:rPr>
      <w:rFonts w:ascii="Calibri" w:eastAsia="Times New Roman" w:hAnsi="Calibri"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41E"/>
    <w:rPr>
      <w:rFonts w:asciiTheme="majorHAnsi" w:eastAsiaTheme="majorEastAsia" w:hAnsiTheme="majorHAnsi" w:cstheme="majorBidi"/>
      <w:b/>
      <w:bCs/>
      <w:sz w:val="24"/>
      <w:szCs w:val="28"/>
      <w:lang w:val="en-GB"/>
    </w:rPr>
  </w:style>
  <w:style w:type="character" w:customStyle="1" w:styleId="Heading2Char">
    <w:name w:val="Heading 2 Char"/>
    <w:basedOn w:val="DefaultParagraphFont"/>
    <w:link w:val="Heading2"/>
    <w:uiPriority w:val="9"/>
    <w:rsid w:val="00AF7499"/>
    <w:rPr>
      <w:rFonts w:eastAsiaTheme="majorEastAsia" w:cstheme="majorBidi"/>
      <w:b/>
      <w:bCs/>
      <w:szCs w:val="26"/>
      <w:lang w:val="en-GB"/>
    </w:rPr>
  </w:style>
  <w:style w:type="character" w:customStyle="1" w:styleId="Heading3Char">
    <w:name w:val="Heading 3 Char"/>
    <w:basedOn w:val="DefaultParagraphFont"/>
    <w:link w:val="Heading3"/>
    <w:uiPriority w:val="9"/>
    <w:rsid w:val="0093486D"/>
    <w:rPr>
      <w:rFonts w:ascii="Calibri" w:eastAsia="Times New Roman" w:hAnsi="Calibri" w:cs="Times New Roman"/>
      <w:b/>
      <w:bCs/>
      <w:sz w:val="20"/>
      <w:szCs w:val="20"/>
      <w:lang w:val="en-GB" w:eastAsia="en-GB"/>
    </w:rPr>
  </w:style>
  <w:style w:type="character" w:styleId="Strong">
    <w:name w:val="Strong"/>
    <w:basedOn w:val="DefaultParagraphFont"/>
    <w:uiPriority w:val="22"/>
    <w:qFormat/>
    <w:rsid w:val="007E641E"/>
    <w:rPr>
      <w:b/>
      <w:bCs/>
    </w:rPr>
  </w:style>
  <w:style w:type="paragraph" w:styleId="ListParagraph">
    <w:name w:val="List Paragraph"/>
    <w:basedOn w:val="Normal"/>
    <w:uiPriority w:val="34"/>
    <w:qFormat/>
    <w:rsid w:val="007E641E"/>
    <w:pPr>
      <w:ind w:left="720"/>
      <w:contextualSpacing/>
    </w:pPr>
    <w:rPr>
      <w:rFonts w:asciiTheme="minorHAnsi" w:eastAsiaTheme="minorHAnsi" w:hAnsiTheme="minorHAnsi"/>
      <w:sz w:val="22"/>
      <w:lang w:eastAsia="en-US"/>
    </w:rPr>
  </w:style>
  <w:style w:type="paragraph" w:customStyle="1" w:styleId="Heading31">
    <w:name w:val="Heading 31"/>
    <w:basedOn w:val="Normal"/>
    <w:next w:val="Normal"/>
    <w:uiPriority w:val="9"/>
    <w:unhideWhenUsed/>
    <w:qFormat/>
    <w:rsid w:val="0093486D"/>
    <w:pPr>
      <w:keepNext/>
      <w:keepLines/>
      <w:spacing w:before="200" w:after="0"/>
      <w:outlineLvl w:val="2"/>
    </w:pPr>
    <w:rPr>
      <w:rFonts w:ascii="Calibri" w:eastAsia="Times New Roman" w:hAnsi="Calibri" w:cs="Times New Roman"/>
      <w:b/>
      <w:bCs/>
      <w:sz w:val="20"/>
    </w:rPr>
  </w:style>
  <w:style w:type="paragraph" w:styleId="NoSpacing">
    <w:name w:val="No Spacing"/>
    <w:uiPriority w:val="1"/>
    <w:qFormat/>
    <w:rsid w:val="00FA3730"/>
    <w:pPr>
      <w:spacing w:after="0" w:line="240" w:lineRule="auto"/>
    </w:pPr>
    <w:rPr>
      <w:rFonts w:eastAsiaTheme="minorEastAsia"/>
      <w:lang w:val="en-US" w:eastAsia="nl-NL"/>
    </w:rPr>
  </w:style>
  <w:style w:type="table" w:customStyle="1" w:styleId="Lichtearcering1">
    <w:name w:val="Lichte arcering1"/>
    <w:basedOn w:val="TableNormal"/>
    <w:uiPriority w:val="60"/>
    <w:rsid w:val="00FA3730"/>
    <w:pPr>
      <w:spacing w:after="0" w:line="240" w:lineRule="auto"/>
    </w:pPr>
    <w:rPr>
      <w:rFonts w:eastAsiaTheme="minorEastAsia"/>
      <w:color w:val="000000" w:themeColor="text1" w:themeShade="BF"/>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A3730"/>
    <w:pPr>
      <w:spacing w:before="100" w:beforeAutospacing="1" w:after="100" w:afterAutospacing="1" w:line="240" w:lineRule="auto"/>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30"/>
    <w:rPr>
      <w:rFonts w:ascii="Times New Roman" w:eastAsiaTheme="minorEastAsia" w:hAnsi="Times New Roman"/>
      <w:sz w:val="18"/>
      <w:lang w:val="en-GB" w:eastAsia="nl-NL"/>
    </w:rPr>
  </w:style>
  <w:style w:type="paragraph" w:styleId="Heading1">
    <w:name w:val="heading 1"/>
    <w:basedOn w:val="Normal"/>
    <w:next w:val="Normal"/>
    <w:link w:val="Heading1Char"/>
    <w:uiPriority w:val="9"/>
    <w:qFormat/>
    <w:rsid w:val="007E641E"/>
    <w:pPr>
      <w:keepNext/>
      <w:keepLines/>
      <w:spacing w:before="480" w:after="0"/>
      <w:outlineLvl w:val="0"/>
    </w:pPr>
    <w:rPr>
      <w:rFonts w:asciiTheme="majorHAnsi" w:eastAsiaTheme="majorEastAsia" w:hAnsiTheme="majorHAnsi" w:cstheme="majorBidi"/>
      <w:b/>
      <w:bCs/>
      <w:sz w:val="24"/>
      <w:szCs w:val="28"/>
      <w:lang w:eastAsia="en-US"/>
    </w:rPr>
  </w:style>
  <w:style w:type="paragraph" w:styleId="Heading2">
    <w:name w:val="heading 2"/>
    <w:basedOn w:val="Normal"/>
    <w:next w:val="Normal"/>
    <w:link w:val="Heading2Char"/>
    <w:uiPriority w:val="9"/>
    <w:unhideWhenUsed/>
    <w:qFormat/>
    <w:rsid w:val="00AF7499"/>
    <w:pPr>
      <w:keepNext/>
      <w:keepLines/>
      <w:spacing w:before="200" w:after="0"/>
      <w:outlineLvl w:val="1"/>
    </w:pPr>
    <w:rPr>
      <w:rFonts w:asciiTheme="minorHAnsi" w:eastAsiaTheme="majorEastAsia" w:hAnsiTheme="minorHAnsi" w:cstheme="majorBidi"/>
      <w:b/>
      <w:bCs/>
      <w:sz w:val="22"/>
      <w:szCs w:val="26"/>
      <w:lang w:eastAsia="en-US"/>
    </w:rPr>
  </w:style>
  <w:style w:type="paragraph" w:styleId="Heading3">
    <w:name w:val="heading 3"/>
    <w:basedOn w:val="Normal"/>
    <w:next w:val="Normal"/>
    <w:link w:val="Heading3Char"/>
    <w:uiPriority w:val="9"/>
    <w:unhideWhenUsed/>
    <w:qFormat/>
    <w:rsid w:val="0093486D"/>
    <w:pPr>
      <w:keepNext/>
      <w:keepLines/>
      <w:spacing w:before="200" w:after="0" w:line="22" w:lineRule="exact"/>
      <w:ind w:left="2157" w:hanging="360"/>
      <w:outlineLvl w:val="2"/>
    </w:pPr>
    <w:rPr>
      <w:rFonts w:ascii="Calibri" w:eastAsia="Times New Roman" w:hAnsi="Calibri"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41E"/>
    <w:rPr>
      <w:rFonts w:asciiTheme="majorHAnsi" w:eastAsiaTheme="majorEastAsia" w:hAnsiTheme="majorHAnsi" w:cstheme="majorBidi"/>
      <w:b/>
      <w:bCs/>
      <w:sz w:val="24"/>
      <w:szCs w:val="28"/>
      <w:lang w:val="en-GB"/>
    </w:rPr>
  </w:style>
  <w:style w:type="character" w:customStyle="1" w:styleId="Heading2Char">
    <w:name w:val="Heading 2 Char"/>
    <w:basedOn w:val="DefaultParagraphFont"/>
    <w:link w:val="Heading2"/>
    <w:uiPriority w:val="9"/>
    <w:rsid w:val="00AF7499"/>
    <w:rPr>
      <w:rFonts w:eastAsiaTheme="majorEastAsia" w:cstheme="majorBidi"/>
      <w:b/>
      <w:bCs/>
      <w:szCs w:val="26"/>
      <w:lang w:val="en-GB"/>
    </w:rPr>
  </w:style>
  <w:style w:type="character" w:customStyle="1" w:styleId="Heading3Char">
    <w:name w:val="Heading 3 Char"/>
    <w:basedOn w:val="DefaultParagraphFont"/>
    <w:link w:val="Heading3"/>
    <w:uiPriority w:val="9"/>
    <w:rsid w:val="0093486D"/>
    <w:rPr>
      <w:rFonts w:ascii="Calibri" w:eastAsia="Times New Roman" w:hAnsi="Calibri" w:cs="Times New Roman"/>
      <w:b/>
      <w:bCs/>
      <w:sz w:val="20"/>
      <w:szCs w:val="20"/>
      <w:lang w:val="en-GB" w:eastAsia="en-GB"/>
    </w:rPr>
  </w:style>
  <w:style w:type="character" w:styleId="Strong">
    <w:name w:val="Strong"/>
    <w:basedOn w:val="DefaultParagraphFont"/>
    <w:uiPriority w:val="22"/>
    <w:qFormat/>
    <w:rsid w:val="007E641E"/>
    <w:rPr>
      <w:b/>
      <w:bCs/>
    </w:rPr>
  </w:style>
  <w:style w:type="paragraph" w:styleId="ListParagraph">
    <w:name w:val="List Paragraph"/>
    <w:basedOn w:val="Normal"/>
    <w:uiPriority w:val="34"/>
    <w:qFormat/>
    <w:rsid w:val="007E641E"/>
    <w:pPr>
      <w:ind w:left="720"/>
      <w:contextualSpacing/>
    </w:pPr>
    <w:rPr>
      <w:rFonts w:asciiTheme="minorHAnsi" w:eastAsiaTheme="minorHAnsi" w:hAnsiTheme="minorHAnsi"/>
      <w:sz w:val="22"/>
      <w:lang w:eastAsia="en-US"/>
    </w:rPr>
  </w:style>
  <w:style w:type="paragraph" w:customStyle="1" w:styleId="Heading31">
    <w:name w:val="Heading 31"/>
    <w:basedOn w:val="Normal"/>
    <w:next w:val="Normal"/>
    <w:uiPriority w:val="9"/>
    <w:unhideWhenUsed/>
    <w:qFormat/>
    <w:rsid w:val="0093486D"/>
    <w:pPr>
      <w:keepNext/>
      <w:keepLines/>
      <w:spacing w:before="200" w:after="0"/>
      <w:outlineLvl w:val="2"/>
    </w:pPr>
    <w:rPr>
      <w:rFonts w:ascii="Calibri" w:eastAsia="Times New Roman" w:hAnsi="Calibri" w:cs="Times New Roman"/>
      <w:b/>
      <w:bCs/>
      <w:sz w:val="20"/>
    </w:rPr>
  </w:style>
  <w:style w:type="paragraph" w:styleId="NoSpacing">
    <w:name w:val="No Spacing"/>
    <w:uiPriority w:val="1"/>
    <w:qFormat/>
    <w:rsid w:val="00FA3730"/>
    <w:pPr>
      <w:spacing w:after="0" w:line="240" w:lineRule="auto"/>
    </w:pPr>
    <w:rPr>
      <w:rFonts w:eastAsiaTheme="minorEastAsia"/>
      <w:lang w:val="en-US" w:eastAsia="nl-NL"/>
    </w:rPr>
  </w:style>
  <w:style w:type="table" w:customStyle="1" w:styleId="Lichtearcering1">
    <w:name w:val="Lichte arcering1"/>
    <w:basedOn w:val="TableNormal"/>
    <w:uiPriority w:val="60"/>
    <w:rsid w:val="00FA3730"/>
    <w:pPr>
      <w:spacing w:after="0" w:line="240" w:lineRule="auto"/>
    </w:pPr>
    <w:rPr>
      <w:rFonts w:eastAsiaTheme="minorEastAsia"/>
      <w:color w:val="000000" w:themeColor="text1" w:themeShade="BF"/>
      <w:lang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FA3730"/>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Jelena Stevanovic</cp:lastModifiedBy>
  <cp:revision>3</cp:revision>
  <dcterms:created xsi:type="dcterms:W3CDTF">2015-07-22T20:59:00Z</dcterms:created>
  <dcterms:modified xsi:type="dcterms:W3CDTF">2015-07-22T21:53:00Z</dcterms:modified>
</cp:coreProperties>
</file>