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5D" w:rsidRPr="00AF4178" w:rsidRDefault="009B385D" w:rsidP="009B385D">
      <w:pPr>
        <w:pStyle w:val="NoSpacing"/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AF4178">
        <w:rPr>
          <w:rFonts w:ascii="Times New Roman" w:hAnsi="Times New Roman" w:cs="Times New Roman"/>
          <w:b/>
          <w:sz w:val="20"/>
          <w:szCs w:val="20"/>
          <w:lang w:val="en-GB"/>
        </w:rPr>
        <w:t xml:space="preserve">S1 </w:t>
      </w:r>
      <w:r w:rsidRPr="00AF4178">
        <w:rPr>
          <w:rFonts w:ascii="Times New Roman" w:hAnsi="Times New Roman" w:cs="Times New Roman"/>
          <w:b/>
          <w:sz w:val="20"/>
          <w:szCs w:val="20"/>
        </w:rPr>
        <w:t>Table Probabilities (%) applied in the model</w:t>
      </w:r>
      <w:r w:rsidRPr="00AF4178">
        <w:rPr>
          <w:rFonts w:cs="Times New Roman"/>
          <w:b/>
          <w:lang w:val="en-GB"/>
        </w:rPr>
        <w:t>.</w:t>
      </w:r>
      <w:r w:rsidRPr="00AF417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Lichtearcering2"/>
        <w:tblW w:w="6204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701"/>
      </w:tblGrid>
      <w:tr w:rsidR="009B385D" w:rsidRPr="00AF4178" w:rsidTr="00774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Parameter</w:t>
            </w:r>
          </w:p>
        </w:tc>
        <w:tc>
          <w:tcPr>
            <w:tcW w:w="1276" w:type="dxa"/>
          </w:tcPr>
          <w:p w:rsidR="009B385D" w:rsidRPr="00AF4178" w:rsidRDefault="009B385D" w:rsidP="0077405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Mean</w:t>
            </w:r>
          </w:p>
        </w:tc>
        <w:tc>
          <w:tcPr>
            <w:tcW w:w="1701" w:type="dxa"/>
          </w:tcPr>
          <w:p w:rsidR="009B385D" w:rsidRPr="00AF4178" w:rsidRDefault="009B385D" w:rsidP="00774052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>Range</w:t>
            </w:r>
          </w:p>
        </w:tc>
      </w:tr>
      <w:tr w:rsidR="009B385D" w:rsidRPr="00AF4178" w:rsidTr="0077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:rsidR="009B385D" w:rsidRPr="00AF4178" w:rsidRDefault="009B385D" w:rsidP="00774052">
            <w:pPr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 xml:space="preserve">   VTE related death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 xml:space="preserve">      </w:t>
            </w:r>
            <w:r w:rsidRPr="00AF4178">
              <w:rPr>
                <w:b w:val="0"/>
                <w:color w:val="auto"/>
                <w:sz w:val="20"/>
                <w:szCs w:val="20"/>
              </w:rPr>
              <w:t>Warfarin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 xml:space="preserve">      Dabigatran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 xml:space="preserve">   (recurrent) DVT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 xml:space="preserve">      Warfarin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 xml:space="preserve">      Dabigatran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 xml:space="preserve">   (non-fatal) PE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 xml:space="preserve">      </w:t>
            </w:r>
            <w:r w:rsidRPr="00AF4178">
              <w:rPr>
                <w:b w:val="0"/>
                <w:color w:val="auto"/>
                <w:sz w:val="20"/>
                <w:szCs w:val="20"/>
              </w:rPr>
              <w:t>Warfarin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 xml:space="preserve">      Dabigatran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 xml:space="preserve">   Major bleeding event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 xml:space="preserve">      </w:t>
            </w:r>
            <w:r w:rsidRPr="00AF4178">
              <w:rPr>
                <w:b w:val="0"/>
                <w:color w:val="auto"/>
                <w:sz w:val="20"/>
                <w:szCs w:val="20"/>
              </w:rPr>
              <w:t>Warfarin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AF4178">
              <w:rPr>
                <w:b w:val="0"/>
                <w:color w:val="auto"/>
                <w:sz w:val="20"/>
                <w:szCs w:val="20"/>
              </w:rPr>
              <w:t xml:space="preserve">      Dabigatran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 xml:space="preserve">   Major or CRNM bleeding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  <w:lang w:val="de-DE"/>
              </w:rPr>
            </w:pPr>
            <w:r w:rsidRPr="00AF4178">
              <w:rPr>
                <w:color w:val="auto"/>
                <w:sz w:val="20"/>
                <w:szCs w:val="20"/>
              </w:rPr>
              <w:t xml:space="preserve">      </w:t>
            </w:r>
            <w:r w:rsidRPr="00AF4178">
              <w:rPr>
                <w:b w:val="0"/>
                <w:color w:val="auto"/>
                <w:sz w:val="20"/>
                <w:szCs w:val="20"/>
                <w:lang w:val="de-DE"/>
              </w:rPr>
              <w:t>Warfarin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  <w:lang w:val="de-DE"/>
              </w:rPr>
            </w:pPr>
            <w:r w:rsidRPr="00AF4178">
              <w:rPr>
                <w:b w:val="0"/>
                <w:color w:val="auto"/>
                <w:sz w:val="20"/>
                <w:szCs w:val="20"/>
                <w:lang w:val="de-DE"/>
              </w:rPr>
              <w:t xml:space="preserve">      Dabigatran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AF4178">
              <w:rPr>
                <w:color w:val="auto"/>
                <w:sz w:val="20"/>
                <w:szCs w:val="20"/>
                <w:lang w:val="de-DE"/>
              </w:rPr>
              <w:t xml:space="preserve">   Minor bleeding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b w:val="0"/>
                <w:color w:val="auto"/>
                <w:sz w:val="20"/>
                <w:szCs w:val="20"/>
                <w:lang w:val="de-DE"/>
              </w:rPr>
            </w:pPr>
            <w:r w:rsidRPr="00AF4178">
              <w:rPr>
                <w:color w:val="auto"/>
                <w:sz w:val="20"/>
                <w:szCs w:val="20"/>
                <w:lang w:val="de-DE"/>
              </w:rPr>
              <w:t xml:space="preserve">      </w:t>
            </w:r>
            <w:r w:rsidRPr="00AF4178">
              <w:rPr>
                <w:b w:val="0"/>
                <w:color w:val="auto"/>
                <w:sz w:val="20"/>
                <w:szCs w:val="20"/>
                <w:lang w:val="de-DE"/>
              </w:rPr>
              <w:t>Warfarin</w:t>
            </w:r>
          </w:p>
          <w:p w:rsidR="009B385D" w:rsidRPr="00AF4178" w:rsidRDefault="009B385D" w:rsidP="00774052">
            <w:pPr>
              <w:spacing w:line="480" w:lineRule="auto"/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AF4178">
              <w:rPr>
                <w:b w:val="0"/>
                <w:color w:val="auto"/>
                <w:sz w:val="20"/>
                <w:szCs w:val="20"/>
                <w:lang w:val="de-DE"/>
              </w:rPr>
              <w:t xml:space="preserve">      Dabigatran</w:t>
            </w:r>
            <w:r w:rsidRPr="00AF4178">
              <w:rPr>
                <w:color w:val="auto"/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1276" w:type="dxa"/>
            <w:shd w:val="clear" w:color="auto" w:fill="FFFFFF" w:themeFill="background1"/>
          </w:tcPr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0.0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0.0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1.7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2.0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0.5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0.5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1.9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1.2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7.9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4.3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19.4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13.6</w:t>
            </w:r>
          </w:p>
        </w:tc>
        <w:tc>
          <w:tcPr>
            <w:tcW w:w="1701" w:type="dxa"/>
            <w:shd w:val="clear" w:color="auto" w:fill="FFFFFF" w:themeFill="background1"/>
          </w:tcPr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-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0.8 – 2.0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0.4 – 2.9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0.4 – 1.1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0.4 – 0.7</w:t>
            </w: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:rsidR="009B385D" w:rsidRPr="00AF4178" w:rsidRDefault="009B385D" w:rsidP="00774052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F4178">
              <w:rPr>
                <w:color w:val="auto"/>
                <w:sz w:val="20"/>
                <w:szCs w:val="20"/>
              </w:rPr>
              <w:t>0.6 – 0.8</w:t>
            </w:r>
          </w:p>
        </w:tc>
      </w:tr>
    </w:tbl>
    <w:p w:rsidR="009B385D" w:rsidRPr="00AF4178" w:rsidRDefault="009B385D" w:rsidP="009B385D">
      <w:pPr>
        <w:pStyle w:val="NoSpacing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4178">
        <w:rPr>
          <w:rFonts w:ascii="Times New Roman" w:hAnsi="Times New Roman" w:cs="Times New Roman"/>
          <w:sz w:val="20"/>
          <w:szCs w:val="20"/>
        </w:rPr>
        <w:t xml:space="preserve">Probabilities were calculated from the 6 months pooled RE-COVER and RE-COVER II study (base case analysis) and were assumed to follow a beta-distribution in the PSA.  </w:t>
      </w:r>
    </w:p>
    <w:p w:rsidR="009B385D" w:rsidRPr="00AF4178" w:rsidRDefault="009B385D" w:rsidP="009B385D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178">
        <w:rPr>
          <w:rFonts w:ascii="Times New Roman" w:eastAsia="Times New Roman" w:hAnsi="Times New Roman" w:cs="Times New Roman"/>
          <w:sz w:val="20"/>
          <w:szCs w:val="20"/>
        </w:rPr>
        <w:t>VTE: venous thromboembolism; DVT: deep venous thrombosis; PE: pulmonary embolism; CRNM: clinically relevant non-major</w:t>
      </w:r>
    </w:p>
    <w:p w:rsidR="009B385D" w:rsidRPr="00AF4178" w:rsidRDefault="009B385D" w:rsidP="009B385D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9B385D" w:rsidRPr="00AF4178" w:rsidRDefault="009B385D" w:rsidP="009B385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85D" w:rsidRPr="00AF4178" w:rsidRDefault="009B385D" w:rsidP="009B385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85D" w:rsidRPr="00AF4178" w:rsidRDefault="009B385D" w:rsidP="009B385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85D" w:rsidRPr="00AF4178" w:rsidRDefault="009B385D" w:rsidP="009B385D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385D" w:rsidRPr="00AF4178" w:rsidRDefault="009B385D" w:rsidP="009B385D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385D" w:rsidRPr="00AF4178" w:rsidSect="009B38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70A"/>
    <w:multiLevelType w:val="hybridMultilevel"/>
    <w:tmpl w:val="0E6EEB2E"/>
    <w:lvl w:ilvl="0" w:tplc="5C9889C0">
      <w:start w:val="1"/>
      <w:numFmt w:val="bullet"/>
      <w:lvlText w:val="–"/>
      <w:lvlJc w:val="left"/>
      <w:pPr>
        <w:ind w:left="717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D"/>
    <w:rsid w:val="00061C53"/>
    <w:rsid w:val="002A40B2"/>
    <w:rsid w:val="007E641E"/>
    <w:rsid w:val="0093486D"/>
    <w:rsid w:val="009B385D"/>
    <w:rsid w:val="00AF7499"/>
    <w:rsid w:val="00C004C2"/>
    <w:rsid w:val="00F3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5D"/>
    <w:rPr>
      <w:rFonts w:ascii="Times New Roman" w:eastAsiaTheme="minorEastAsia" w:hAnsi="Times New Roman"/>
      <w:sz w:val="18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49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86D"/>
    <w:pPr>
      <w:keepNext/>
      <w:keepLines/>
      <w:spacing w:before="200" w:after="0" w:line="22" w:lineRule="exact"/>
      <w:ind w:left="2157" w:hanging="360"/>
      <w:outlineLvl w:val="2"/>
    </w:pPr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41E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F7499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3486D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7E641E"/>
    <w:rPr>
      <w:b/>
      <w:bCs/>
    </w:rPr>
  </w:style>
  <w:style w:type="paragraph" w:styleId="ListParagraph">
    <w:name w:val="List Paragraph"/>
    <w:basedOn w:val="Normal"/>
    <w:uiPriority w:val="34"/>
    <w:qFormat/>
    <w:rsid w:val="007E641E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3486D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sz w:val="20"/>
    </w:rPr>
  </w:style>
  <w:style w:type="paragraph" w:styleId="NoSpacing">
    <w:name w:val="No Spacing"/>
    <w:uiPriority w:val="1"/>
    <w:qFormat/>
    <w:rsid w:val="009B385D"/>
    <w:pPr>
      <w:spacing w:after="0" w:line="240" w:lineRule="auto"/>
    </w:pPr>
    <w:rPr>
      <w:rFonts w:eastAsiaTheme="minorEastAsia"/>
      <w:lang w:val="en-US" w:eastAsia="nl-NL"/>
    </w:rPr>
  </w:style>
  <w:style w:type="table" w:customStyle="1" w:styleId="Lichtearcering1">
    <w:name w:val="Lichte arcering1"/>
    <w:basedOn w:val="TableNormal"/>
    <w:uiPriority w:val="60"/>
    <w:rsid w:val="009B385D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9B385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customStyle="1" w:styleId="Lichtearcering2">
    <w:name w:val="Lichte arcering2"/>
    <w:basedOn w:val="TableNormal"/>
    <w:uiPriority w:val="60"/>
    <w:rsid w:val="009B385D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5D"/>
    <w:rPr>
      <w:rFonts w:ascii="Times New Roman" w:eastAsiaTheme="minorEastAsia" w:hAnsi="Times New Roman"/>
      <w:sz w:val="18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499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86D"/>
    <w:pPr>
      <w:keepNext/>
      <w:keepLines/>
      <w:spacing w:before="200" w:after="0" w:line="22" w:lineRule="exact"/>
      <w:ind w:left="2157" w:hanging="360"/>
      <w:outlineLvl w:val="2"/>
    </w:pPr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41E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F7499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3486D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7E641E"/>
    <w:rPr>
      <w:b/>
      <w:bCs/>
    </w:rPr>
  </w:style>
  <w:style w:type="paragraph" w:styleId="ListParagraph">
    <w:name w:val="List Paragraph"/>
    <w:basedOn w:val="Normal"/>
    <w:uiPriority w:val="34"/>
    <w:qFormat/>
    <w:rsid w:val="007E641E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3486D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sz w:val="20"/>
    </w:rPr>
  </w:style>
  <w:style w:type="paragraph" w:styleId="NoSpacing">
    <w:name w:val="No Spacing"/>
    <w:uiPriority w:val="1"/>
    <w:qFormat/>
    <w:rsid w:val="009B385D"/>
    <w:pPr>
      <w:spacing w:after="0" w:line="240" w:lineRule="auto"/>
    </w:pPr>
    <w:rPr>
      <w:rFonts w:eastAsiaTheme="minorEastAsia"/>
      <w:lang w:val="en-US" w:eastAsia="nl-NL"/>
    </w:rPr>
  </w:style>
  <w:style w:type="table" w:customStyle="1" w:styleId="Lichtearcering1">
    <w:name w:val="Lichte arcering1"/>
    <w:basedOn w:val="TableNormal"/>
    <w:uiPriority w:val="60"/>
    <w:rsid w:val="009B385D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9B385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customStyle="1" w:styleId="Lichtearcering2">
    <w:name w:val="Lichte arcering2"/>
    <w:basedOn w:val="TableNormal"/>
    <w:uiPriority w:val="60"/>
    <w:rsid w:val="009B385D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2</cp:revision>
  <dcterms:created xsi:type="dcterms:W3CDTF">2015-07-22T21:01:00Z</dcterms:created>
  <dcterms:modified xsi:type="dcterms:W3CDTF">2015-07-22T21:01:00Z</dcterms:modified>
</cp:coreProperties>
</file>