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88" w:rsidRPr="0098367E" w:rsidRDefault="00BA2988" w:rsidP="00BA2988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98367E">
        <w:rPr>
          <w:rFonts w:ascii="Times New Roman" w:hAnsi="Times New Roman"/>
          <w:b/>
          <w:sz w:val="24"/>
          <w:szCs w:val="24"/>
          <w:lang w:val="en-US"/>
        </w:rPr>
        <w:t>S3 Table.</w:t>
      </w:r>
      <w:proofErr w:type="gramEnd"/>
      <w:r w:rsidRPr="009836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367E">
        <w:rPr>
          <w:rFonts w:ascii="Times New Roman" w:hAnsi="Times New Roman"/>
          <w:b/>
          <w:sz w:val="24"/>
          <w:szCs w:val="24"/>
        </w:rPr>
        <w:t>Logistic regression analysis showing associations between each class of maternal depression symptoms in comparison to minimal class (</w:t>
      </w:r>
      <w:r w:rsidRPr="00D03402">
        <w:rPr>
          <w:rFonts w:ascii="Times New Roman" w:hAnsi="Times New Roman"/>
          <w:b/>
          <w:sz w:val="24"/>
          <w:szCs w:val="24"/>
        </w:rPr>
        <w:t xml:space="preserve">reference group) and offspring lifetime suicidal attempt by age 16 years </w:t>
      </w:r>
      <w:r w:rsidR="00D03402" w:rsidRPr="00D03402">
        <w:rPr>
          <w:rFonts w:ascii="Times New Roman" w:hAnsi="Times New Roman"/>
          <w:b/>
          <w:sz w:val="24"/>
          <w:szCs w:val="24"/>
        </w:rPr>
        <w:t>(</w:t>
      </w:r>
      <w:r w:rsidRPr="00D03402">
        <w:rPr>
          <w:rFonts w:ascii="Times New Roman" w:hAnsi="Times New Roman"/>
          <w:b/>
          <w:sz w:val="24"/>
          <w:szCs w:val="24"/>
        </w:rPr>
        <w:t>Odds Ratios (OR) and 95% Confidence Intervals (95% CI) displayed</w:t>
      </w:r>
      <w:r w:rsidR="00D03402" w:rsidRPr="00D03402">
        <w:rPr>
          <w:rFonts w:ascii="Times New Roman" w:hAnsi="Times New Roman"/>
          <w:b/>
          <w:sz w:val="24"/>
          <w:szCs w:val="24"/>
        </w:rPr>
        <w:t>).</w:t>
      </w:r>
      <w:r w:rsidR="00E71DE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8487" w:type="dxa"/>
        <w:tblInd w:w="-176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56"/>
        <w:gridCol w:w="2296"/>
        <w:gridCol w:w="2296"/>
        <w:gridCol w:w="2055"/>
        <w:gridCol w:w="241"/>
        <w:gridCol w:w="2055"/>
        <w:gridCol w:w="2126"/>
        <w:gridCol w:w="2126"/>
      </w:tblGrid>
      <w:tr w:rsidR="00217EC7" w:rsidRPr="00217EC7" w:rsidTr="007613EF">
        <w:trPr>
          <w:gridAfter w:val="4"/>
          <w:wAfter w:w="6548" w:type="dxa"/>
          <w:trHeight w:val="300"/>
        </w:trPr>
        <w:tc>
          <w:tcPr>
            <w:tcW w:w="2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D59A1" w:rsidRPr="00217EC7" w:rsidRDefault="00ED59A1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9103" w:type="dxa"/>
            <w:gridSpan w:val="4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ED59A1" w:rsidRPr="00D03402" w:rsidRDefault="00ED59A1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</w:pPr>
            <w:r w:rsidRPr="00D03402">
              <w:rPr>
                <w:rFonts w:ascii="Times New Roman" w:eastAsia="Times New Roman" w:hAnsi="Times New Roman"/>
                <w:iCs/>
                <w:sz w:val="24"/>
                <w:szCs w:val="24"/>
                <w:lang w:eastAsia="en-GB"/>
              </w:rPr>
              <w:t>OR (95% CI)</w:t>
            </w:r>
          </w:p>
        </w:tc>
      </w:tr>
      <w:tr w:rsidR="00610BDF" w:rsidRPr="00217EC7" w:rsidTr="007613EF">
        <w:trPr>
          <w:gridAfter w:val="3"/>
          <w:wAfter w:w="6307" w:type="dxa"/>
          <w:trHeight w:val="657"/>
        </w:trPr>
        <w:tc>
          <w:tcPr>
            <w:tcW w:w="283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610BDF" w:rsidRPr="00217EC7" w:rsidRDefault="00610BDF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Maternal depression class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0BDF" w:rsidRPr="00D03402" w:rsidRDefault="00610BDF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0340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Model 1 (unadjusted)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0BDF" w:rsidRPr="00D03402" w:rsidRDefault="00610BDF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0340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Model 2</w:t>
            </w:r>
            <w:r w:rsidRPr="00D034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10BDF" w:rsidRPr="00D03402" w:rsidRDefault="00610BDF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0340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Model 3</w:t>
            </w:r>
            <w:r w:rsidRPr="00D034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vAlign w:val="bottom"/>
          </w:tcPr>
          <w:p w:rsidR="00610BDF" w:rsidRPr="00D03402" w:rsidRDefault="00610BDF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0340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Model 4</w:t>
            </w:r>
            <w:r w:rsidRPr="00D0340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c</w:t>
            </w:r>
          </w:p>
        </w:tc>
      </w:tr>
      <w:tr w:rsidR="007D0356" w:rsidRPr="00217EC7" w:rsidTr="007613EF">
        <w:trPr>
          <w:trHeight w:val="300"/>
        </w:trPr>
        <w:tc>
          <w:tcPr>
            <w:tcW w:w="2836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0356" w:rsidRPr="004D3D1F" w:rsidRDefault="007D0356" w:rsidP="00100DF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Minimal (</w:t>
            </w:r>
            <w:r w:rsidRPr="004D3D1F">
              <w:rPr>
                <w:rFonts w:ascii="Times New Roman" w:hAnsi="Times New Roman"/>
                <w:i/>
                <w:sz w:val="24"/>
                <w:szCs w:val="24"/>
              </w:rPr>
              <w:t xml:space="preserve">N = </w:t>
            </w: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4177)</w:t>
            </w:r>
          </w:p>
        </w:tc>
        <w:tc>
          <w:tcPr>
            <w:tcW w:w="910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56" w:rsidRPr="00217EC7" w:rsidRDefault="007D0356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Reference group</w:t>
            </w:r>
          </w:p>
        </w:tc>
        <w:tc>
          <w:tcPr>
            <w:tcW w:w="2296" w:type="dxa"/>
            <w:gridSpan w:val="2"/>
          </w:tcPr>
          <w:p w:rsidR="007D0356" w:rsidRPr="00217EC7" w:rsidRDefault="007D0356" w:rsidP="00761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D0356" w:rsidRPr="00217EC7" w:rsidRDefault="007D0356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</w:tcPr>
          <w:p w:rsidR="007D0356" w:rsidRPr="00217EC7" w:rsidRDefault="007D0356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7D0356" w:rsidRPr="00217EC7" w:rsidTr="007613EF">
        <w:trPr>
          <w:gridAfter w:val="3"/>
          <w:wAfter w:w="6307" w:type="dxa"/>
          <w:trHeight w:val="300"/>
        </w:trPr>
        <w:tc>
          <w:tcPr>
            <w:tcW w:w="2836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0356" w:rsidRPr="004D3D1F" w:rsidRDefault="007D0356" w:rsidP="00100DF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Mild (</w:t>
            </w:r>
            <w:r w:rsidRPr="004D3D1F">
              <w:rPr>
                <w:rFonts w:ascii="Times New Roman" w:hAnsi="Times New Roman"/>
                <w:i/>
                <w:sz w:val="24"/>
                <w:szCs w:val="24"/>
              </w:rPr>
              <w:t xml:space="preserve">N = </w:t>
            </w: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3384)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F05C0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1.50 (1.14, 1.96)**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1.35 (1.02, 1.78)*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1.34 (1.01, 1.76)</w:t>
            </w:r>
          </w:p>
        </w:tc>
        <w:tc>
          <w:tcPr>
            <w:tcW w:w="2296" w:type="dxa"/>
            <w:gridSpan w:val="2"/>
            <w:vAlign w:val="bottom"/>
          </w:tcPr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1.33 (1.01, 1.76)*</w:t>
            </w:r>
          </w:p>
        </w:tc>
      </w:tr>
      <w:tr w:rsidR="007D0356" w:rsidRPr="00217EC7" w:rsidTr="007613EF">
        <w:trPr>
          <w:gridAfter w:val="3"/>
          <w:wAfter w:w="6307" w:type="dxa"/>
          <w:trHeight w:val="300"/>
        </w:trPr>
        <w:tc>
          <w:tcPr>
            <w:tcW w:w="2836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0356" w:rsidRPr="004D3D1F" w:rsidRDefault="007D0356" w:rsidP="00100DF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Increasing (</w:t>
            </w:r>
            <w:r w:rsidRPr="004D3D1F">
              <w:rPr>
                <w:rFonts w:ascii="Times New Roman" w:hAnsi="Times New Roman"/>
                <w:i/>
                <w:sz w:val="24"/>
                <w:szCs w:val="24"/>
              </w:rPr>
              <w:t xml:space="preserve">N = </w:t>
            </w: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583)</w:t>
            </w:r>
          </w:p>
          <w:p w:rsidR="007D0356" w:rsidRPr="004D3D1F" w:rsidRDefault="007D0356" w:rsidP="00100DF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Sub-threshold (</w:t>
            </w:r>
            <w:r w:rsidRPr="004D3D1F">
              <w:rPr>
                <w:rFonts w:ascii="Times New Roman" w:hAnsi="Times New Roman"/>
                <w:i/>
                <w:sz w:val="24"/>
                <w:szCs w:val="24"/>
              </w:rPr>
              <w:t xml:space="preserve">N = </w:t>
            </w: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1863)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1.80 (1.12, 2.87)*</w:t>
            </w:r>
          </w:p>
          <w:p w:rsidR="007D0356" w:rsidRPr="00217EC7" w:rsidRDefault="007D0356" w:rsidP="00F05C0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2.55 (1.92, 3.38)***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1.60 (.99, 2.58)</w:t>
            </w:r>
            <w:r w:rsidRPr="00217E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2.05 (1.53, 2.76)***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1.51 (.93, 2.46)</w:t>
            </w:r>
            <w:r w:rsidRPr="00217E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</w:p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1.97 (1.46, 2.66)***</w:t>
            </w:r>
          </w:p>
        </w:tc>
        <w:tc>
          <w:tcPr>
            <w:tcW w:w="2296" w:type="dxa"/>
            <w:gridSpan w:val="2"/>
            <w:vAlign w:val="bottom"/>
          </w:tcPr>
          <w:p w:rsidR="007D0356" w:rsidRPr="00217EC7" w:rsidRDefault="007D0356" w:rsidP="007613E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1.41 (.86, 2.31)</w:t>
            </w:r>
          </w:p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1.85 (1.37, 2.50)***</w:t>
            </w:r>
          </w:p>
        </w:tc>
      </w:tr>
      <w:tr w:rsidR="007D0356" w:rsidRPr="00217EC7" w:rsidTr="007613EF">
        <w:trPr>
          <w:gridAfter w:val="3"/>
          <w:wAfter w:w="6307" w:type="dxa"/>
          <w:trHeight w:val="300"/>
        </w:trPr>
        <w:tc>
          <w:tcPr>
            <w:tcW w:w="2836" w:type="dxa"/>
            <w:tcBorders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D0356" w:rsidRPr="004D3D1F" w:rsidRDefault="007D0356" w:rsidP="00100DF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Chronic-severe (</w:t>
            </w:r>
            <w:r w:rsidRPr="004D3D1F">
              <w:rPr>
                <w:rFonts w:ascii="Times New Roman" w:hAnsi="Times New Roman"/>
                <w:i/>
                <w:sz w:val="24"/>
                <w:szCs w:val="24"/>
              </w:rPr>
              <w:t xml:space="preserve">N = </w:t>
            </w:r>
            <w:r w:rsidRPr="004D3D1F">
              <w:rPr>
                <w:rFonts w:ascii="Times New Roman" w:hAnsi="Times New Roman"/>
                <w:sz w:val="24"/>
                <w:szCs w:val="24"/>
                <w:lang w:eastAsia="en-GB"/>
              </w:rPr>
              <w:t>552)</w:t>
            </w:r>
          </w:p>
        </w:tc>
        <w:tc>
          <w:tcPr>
            <w:tcW w:w="245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F05C0E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3.79 (2.48, 5.78)***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2.64 (1.71, 4.08)***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2.35 (1.51, 3.67)***</w:t>
            </w:r>
          </w:p>
        </w:tc>
        <w:tc>
          <w:tcPr>
            <w:tcW w:w="2296" w:type="dxa"/>
            <w:gridSpan w:val="2"/>
            <w:vAlign w:val="bottom"/>
          </w:tcPr>
          <w:p w:rsidR="007D0356" w:rsidRPr="00217EC7" w:rsidRDefault="007D0356" w:rsidP="00645A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7EC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1.97 (1.25, 3.12)**</w:t>
            </w:r>
          </w:p>
        </w:tc>
      </w:tr>
    </w:tbl>
    <w:p w:rsidR="00ED59A1" w:rsidRPr="00217EC7" w:rsidRDefault="008F7F39" w:rsidP="00ED59A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8367E">
        <w:rPr>
          <w:rFonts w:ascii="Times New Roman" w:hAnsi="Times New Roman"/>
          <w:sz w:val="24"/>
          <w:szCs w:val="24"/>
        </w:rPr>
        <w:t xml:space="preserve">mputed N = </w:t>
      </w:r>
      <w:r>
        <w:rPr>
          <w:rFonts w:ascii="Times New Roman" w:hAnsi="Times New Roman"/>
          <w:sz w:val="24"/>
          <w:szCs w:val="24"/>
        </w:rPr>
        <w:t>10,559</w:t>
      </w:r>
      <w:r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10BDF" w:rsidRPr="00D03402">
        <w:rPr>
          <w:rFonts w:ascii="Times New Roman" w:hAnsi="Times New Roman"/>
          <w:sz w:val="24"/>
          <w:szCs w:val="24"/>
          <w:vertAlign w:val="superscript"/>
        </w:rPr>
        <w:t>#</w:t>
      </w:r>
      <w:r w:rsidR="00ED59A1" w:rsidRPr="00D0340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D59A1" w:rsidRPr="00D03402">
        <w:rPr>
          <w:rFonts w:ascii="Times New Roman" w:hAnsi="Times New Roman"/>
          <w:sz w:val="24"/>
          <w:szCs w:val="24"/>
        </w:rPr>
        <w:t>p&lt;.10; *p ≤ 0.05; ** p ≤ 0.01; *** p ≤ 0.001</w:t>
      </w:r>
    </w:p>
    <w:p w:rsidR="00ED59A1" w:rsidRPr="00D03402" w:rsidRDefault="00610BDF" w:rsidP="00ED59A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03402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D03402">
        <w:rPr>
          <w:rFonts w:ascii="Times New Roman" w:hAnsi="Times New Roman"/>
          <w:sz w:val="24"/>
          <w:szCs w:val="24"/>
        </w:rPr>
        <w:t xml:space="preserve"> </w:t>
      </w:r>
      <w:r w:rsidR="00ED59A1" w:rsidRPr="00D03402">
        <w:rPr>
          <w:rFonts w:ascii="Times New Roman" w:hAnsi="Times New Roman"/>
          <w:sz w:val="24"/>
          <w:szCs w:val="24"/>
        </w:rPr>
        <w:t>Adjusting for confounders assessed in pregnancy (housing tenure, marital status, maternal level of education, smoking in pregnancy, maternal family history of depression and maternal psychiatric disorder before pregnancy)</w:t>
      </w:r>
    </w:p>
    <w:p w:rsidR="00ED59A1" w:rsidRPr="00D03402" w:rsidRDefault="00610BDF" w:rsidP="00ED59A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03402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D03402">
        <w:rPr>
          <w:rFonts w:ascii="Times New Roman" w:hAnsi="Times New Roman"/>
          <w:sz w:val="24"/>
          <w:szCs w:val="24"/>
        </w:rPr>
        <w:t xml:space="preserve"> </w:t>
      </w:r>
      <w:r w:rsidR="00ED59A1" w:rsidRPr="00D03402">
        <w:rPr>
          <w:rFonts w:ascii="Times New Roman" w:hAnsi="Times New Roman"/>
          <w:sz w:val="24"/>
          <w:szCs w:val="24"/>
        </w:rPr>
        <w:t>Additionally adjusting for maternal suicide attempt (from pregnancy to child age 11 years)</w:t>
      </w:r>
    </w:p>
    <w:p w:rsidR="000C6F05" w:rsidRPr="00D03402" w:rsidRDefault="00610BDF" w:rsidP="00ED59A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03402">
        <w:rPr>
          <w:rFonts w:ascii="Times New Roman" w:hAnsi="Times New Roman"/>
          <w:sz w:val="24"/>
          <w:szCs w:val="24"/>
          <w:vertAlign w:val="superscript"/>
        </w:rPr>
        <w:t>c</w:t>
      </w:r>
      <w:proofErr w:type="gramEnd"/>
      <w:r w:rsidRPr="00D03402">
        <w:rPr>
          <w:rFonts w:ascii="Times New Roman" w:hAnsi="Times New Roman"/>
          <w:sz w:val="24"/>
          <w:szCs w:val="24"/>
        </w:rPr>
        <w:t xml:space="preserve"> </w:t>
      </w:r>
      <w:r w:rsidR="00ED59A1" w:rsidRPr="00D03402">
        <w:rPr>
          <w:rFonts w:ascii="Times New Roman" w:hAnsi="Times New Roman"/>
          <w:sz w:val="24"/>
          <w:szCs w:val="24"/>
        </w:rPr>
        <w:t>Additionally adjusting for DSM-IV diagnosis of MDD in offspring (assessed using the DAWBA at ages 7, 10, 13 and 15 years</w:t>
      </w:r>
      <w:r w:rsidR="0088394E">
        <w:rPr>
          <w:rFonts w:ascii="Times New Roman" w:hAnsi="Times New Roman"/>
          <w:sz w:val="24"/>
          <w:szCs w:val="24"/>
        </w:rPr>
        <w:t>)</w:t>
      </w:r>
    </w:p>
    <w:sectPr w:rsidR="000C6F05" w:rsidRPr="00D03402" w:rsidSect="00F53C0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9B" w:rsidRDefault="008565EE">
      <w:pPr>
        <w:spacing w:after="0" w:line="240" w:lineRule="auto"/>
      </w:pPr>
      <w:r>
        <w:separator/>
      </w:r>
    </w:p>
  </w:endnote>
  <w:endnote w:type="continuationSeparator" w:id="0">
    <w:p w:rsidR="0023429B" w:rsidRDefault="0085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84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470" w:rsidRDefault="005C0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2E23" w:rsidRDefault="00106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9B" w:rsidRDefault="008565EE">
      <w:pPr>
        <w:spacing w:after="0" w:line="240" w:lineRule="auto"/>
      </w:pPr>
      <w:r>
        <w:separator/>
      </w:r>
    </w:p>
  </w:footnote>
  <w:footnote w:type="continuationSeparator" w:id="0">
    <w:p w:rsidR="0023429B" w:rsidRDefault="0085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81"/>
    <w:rsid w:val="000641EF"/>
    <w:rsid w:val="00097CE1"/>
    <w:rsid w:val="000A5C39"/>
    <w:rsid w:val="000C6F05"/>
    <w:rsid w:val="00106A1E"/>
    <w:rsid w:val="00115CED"/>
    <w:rsid w:val="00137EA2"/>
    <w:rsid w:val="0015560B"/>
    <w:rsid w:val="001B5D86"/>
    <w:rsid w:val="002021CD"/>
    <w:rsid w:val="00217EC7"/>
    <w:rsid w:val="002302E7"/>
    <w:rsid w:val="0023429B"/>
    <w:rsid w:val="00254B81"/>
    <w:rsid w:val="0026029F"/>
    <w:rsid w:val="002B74B1"/>
    <w:rsid w:val="003137B1"/>
    <w:rsid w:val="0033069E"/>
    <w:rsid w:val="00332DFB"/>
    <w:rsid w:val="0036728E"/>
    <w:rsid w:val="004041C1"/>
    <w:rsid w:val="004241E0"/>
    <w:rsid w:val="00426400"/>
    <w:rsid w:val="0048592A"/>
    <w:rsid w:val="004D296B"/>
    <w:rsid w:val="00537331"/>
    <w:rsid w:val="00540BBA"/>
    <w:rsid w:val="0055525F"/>
    <w:rsid w:val="0056522A"/>
    <w:rsid w:val="005B652C"/>
    <w:rsid w:val="005C048B"/>
    <w:rsid w:val="005E300E"/>
    <w:rsid w:val="00610BDF"/>
    <w:rsid w:val="006215BD"/>
    <w:rsid w:val="006215DA"/>
    <w:rsid w:val="00645A14"/>
    <w:rsid w:val="00645E93"/>
    <w:rsid w:val="00696F90"/>
    <w:rsid w:val="006A58FB"/>
    <w:rsid w:val="006B698F"/>
    <w:rsid w:val="007258DF"/>
    <w:rsid w:val="0078602E"/>
    <w:rsid w:val="00792AC6"/>
    <w:rsid w:val="007C0260"/>
    <w:rsid w:val="007D0356"/>
    <w:rsid w:val="00854B7A"/>
    <w:rsid w:val="008565EE"/>
    <w:rsid w:val="008719F9"/>
    <w:rsid w:val="0088394E"/>
    <w:rsid w:val="008959B5"/>
    <w:rsid w:val="008A022D"/>
    <w:rsid w:val="008F7F39"/>
    <w:rsid w:val="00960DC9"/>
    <w:rsid w:val="00960EB5"/>
    <w:rsid w:val="009706A4"/>
    <w:rsid w:val="0097519E"/>
    <w:rsid w:val="009912FD"/>
    <w:rsid w:val="009C2BB0"/>
    <w:rsid w:val="009F411A"/>
    <w:rsid w:val="00A65928"/>
    <w:rsid w:val="00AA00C3"/>
    <w:rsid w:val="00AD7317"/>
    <w:rsid w:val="00B31079"/>
    <w:rsid w:val="00B47039"/>
    <w:rsid w:val="00BA2988"/>
    <w:rsid w:val="00BA791D"/>
    <w:rsid w:val="00BD403D"/>
    <w:rsid w:val="00C711FE"/>
    <w:rsid w:val="00C841D8"/>
    <w:rsid w:val="00C90E71"/>
    <w:rsid w:val="00D03402"/>
    <w:rsid w:val="00D42BC2"/>
    <w:rsid w:val="00D96E28"/>
    <w:rsid w:val="00DE15D4"/>
    <w:rsid w:val="00E3773C"/>
    <w:rsid w:val="00E61405"/>
    <w:rsid w:val="00E7136F"/>
    <w:rsid w:val="00E71DED"/>
    <w:rsid w:val="00ED59A1"/>
    <w:rsid w:val="00F05C0E"/>
    <w:rsid w:val="00F53C09"/>
    <w:rsid w:val="00F639CB"/>
    <w:rsid w:val="00F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959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373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8959B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B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B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0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37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37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3822-C4F0-4935-8A97-C9457A0F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Gemma</cp:lastModifiedBy>
  <cp:revision>3</cp:revision>
  <dcterms:created xsi:type="dcterms:W3CDTF">2015-05-21T15:52:00Z</dcterms:created>
  <dcterms:modified xsi:type="dcterms:W3CDTF">2015-06-03T10:03:00Z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hammertongl@cardiff.ac.uk@www.mendeley.com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