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5" w:rsidRPr="0002604F" w:rsidRDefault="00663845" w:rsidP="00704E9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Table S3.</w:t>
      </w:r>
      <w:r w:rsidRPr="005C4EB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O</w:t>
      </w:r>
      <w:r w:rsidRPr="005C4EB1">
        <w:rPr>
          <w:sz w:val="24"/>
          <w:szCs w:val="24"/>
        </w:rPr>
        <w:t>utput from b</w:t>
      </w:r>
      <w:r>
        <w:rPr>
          <w:sz w:val="24"/>
          <w:szCs w:val="24"/>
        </w:rPr>
        <w:t xml:space="preserve">est fit models </w:t>
      </w:r>
      <w:r w:rsidRPr="005C4EB1">
        <w:rPr>
          <w:sz w:val="24"/>
          <w:szCs w:val="24"/>
        </w:rPr>
        <w:t xml:space="preserve">for </w:t>
      </w:r>
      <w:r>
        <w:rPr>
          <w:sz w:val="24"/>
          <w:szCs w:val="24"/>
        </w:rPr>
        <w:t>both</w:t>
      </w:r>
      <w:r w:rsidRPr="005C4EB1">
        <w:rPr>
          <w:sz w:val="24"/>
          <w:szCs w:val="24"/>
        </w:rPr>
        <w:t xml:space="preserve"> publication metric</w:t>
      </w:r>
      <w:r>
        <w:rPr>
          <w:sz w:val="24"/>
          <w:szCs w:val="24"/>
        </w:rPr>
        <w:t>s</w:t>
      </w:r>
      <w:r w:rsidRPr="005C4EB1">
        <w:rPr>
          <w:sz w:val="24"/>
          <w:szCs w:val="24"/>
        </w:rPr>
        <w:t>. M</w:t>
      </w:r>
      <w:r w:rsidRPr="005C4EB1">
        <w:rPr>
          <w:rFonts w:cs="Arial"/>
          <w:color w:val="000000"/>
          <w:sz w:val="24"/>
          <w:szCs w:val="24"/>
        </w:rPr>
        <w:t xml:space="preserve">etrics for each species were entered as the response variable into general linear models in R (version 3.0.0). Population size and distribution (% 10km squares) were </w:t>
      </w:r>
      <w:r>
        <w:rPr>
          <w:rFonts w:cs="Arial"/>
          <w:color w:val="000000"/>
          <w:sz w:val="24"/>
          <w:szCs w:val="24"/>
        </w:rPr>
        <w:t xml:space="preserve">correlated and </w:t>
      </w:r>
      <w:r w:rsidRPr="005C4EB1">
        <w:rPr>
          <w:rFonts w:cs="Arial"/>
          <w:color w:val="000000"/>
          <w:sz w:val="24"/>
          <w:szCs w:val="24"/>
        </w:rPr>
        <w:t xml:space="preserve">interchangeable in the model </w:t>
      </w:r>
      <w:r>
        <w:rPr>
          <w:rFonts w:cs="Arial"/>
          <w:color w:val="000000"/>
          <w:sz w:val="24"/>
          <w:szCs w:val="24"/>
        </w:rPr>
        <w:t>(Pearson’s coefficient 0.508</w:t>
      </w:r>
      <w:r w:rsidRPr="005C4EB1">
        <w:rPr>
          <w:rFonts w:cs="Arial"/>
          <w:color w:val="000000"/>
          <w:sz w:val="24"/>
          <w:szCs w:val="24"/>
        </w:rPr>
        <w:t>, p&lt;0.001) and included as a continuous variable</w:t>
      </w:r>
      <w:r>
        <w:rPr>
          <w:rFonts w:cs="Arial"/>
          <w:color w:val="000000"/>
          <w:sz w:val="24"/>
          <w:szCs w:val="24"/>
        </w:rPr>
        <w:t xml:space="preserve"> (</w:t>
      </w:r>
      <w:r w:rsidRPr="005C4EB1">
        <w:rPr>
          <w:rFonts w:cs="Arial"/>
          <w:color w:val="000000"/>
          <w:sz w:val="24"/>
          <w:szCs w:val="24"/>
        </w:rPr>
        <w:t>log10+1 tran</w:t>
      </w:r>
      <w:r>
        <w:rPr>
          <w:rFonts w:cs="Arial"/>
          <w:color w:val="000000"/>
          <w:sz w:val="24"/>
          <w:szCs w:val="24"/>
        </w:rPr>
        <w:t>sformed)</w:t>
      </w:r>
      <w:r w:rsidRPr="005C4EB1">
        <w:rPr>
          <w:rFonts w:cs="Arial"/>
          <w:color w:val="000000"/>
          <w:sz w:val="24"/>
          <w:szCs w:val="24"/>
        </w:rPr>
        <w:t>. Five factors were also included in the model describing species functional group</w:t>
      </w:r>
      <w:r>
        <w:rPr>
          <w:rFonts w:cs="Arial"/>
          <w:color w:val="000000"/>
          <w:sz w:val="24"/>
          <w:szCs w:val="24"/>
        </w:rPr>
        <w:t xml:space="preserve"> (birds of prey, ducks and geese, gamebirds</w:t>
      </w:r>
      <w:r w:rsidRPr="005C4EB1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grebes/divers/rails, herons/bitterns/egrets, corvids, “other”, pigeons and doves, seabirds, small passerines and waders,</w:t>
      </w:r>
      <w:r w:rsidRPr="005C4EB1">
        <w:rPr>
          <w:rFonts w:cs="Arial"/>
          <w:color w:val="000000"/>
          <w:sz w:val="24"/>
          <w:szCs w:val="24"/>
        </w:rPr>
        <w:t xml:space="preserve"> whether the species was</w:t>
      </w:r>
      <w:r w:rsidRPr="005C4EB1">
        <w:rPr>
          <w:color w:val="000000"/>
          <w:sz w:val="24"/>
          <w:szCs w:val="24"/>
        </w:rPr>
        <w:t xml:space="preserve"> </w:t>
      </w:r>
      <w:r w:rsidRPr="005C4EB1">
        <w:rPr>
          <w:rFonts w:cs="Arial"/>
          <w:color w:val="000000"/>
          <w:sz w:val="24"/>
          <w:szCs w:val="24"/>
        </w:rPr>
        <w:t xml:space="preserve">introduced or native, </w:t>
      </w:r>
      <w:r w:rsidRPr="005C4EB1">
        <w:rPr>
          <w:color w:val="000000"/>
          <w:sz w:val="24"/>
          <w:szCs w:val="24"/>
        </w:rPr>
        <w:t>the subject of a Biodiversity Action Plan (BAP), its Red List status (“not assessed” and “least concern” vs</w:t>
      </w:r>
      <w:r>
        <w:rPr>
          <w:color w:val="000000"/>
          <w:sz w:val="24"/>
          <w:szCs w:val="24"/>
        </w:rPr>
        <w:t>.</w:t>
      </w:r>
      <w:r w:rsidRPr="005C4EB1">
        <w:rPr>
          <w:color w:val="000000"/>
          <w:sz w:val="24"/>
          <w:szCs w:val="24"/>
        </w:rPr>
        <w:t xml:space="preserve"> “near threatened”) and breeding status (resident or migrant). Models were run with population and distribution separately for each </w:t>
      </w:r>
      <w:r>
        <w:rPr>
          <w:color w:val="000000"/>
          <w:sz w:val="24"/>
          <w:szCs w:val="24"/>
        </w:rPr>
        <w:t xml:space="preserve">metric. A) </w:t>
      </w:r>
      <w:r>
        <w:t xml:space="preserve">Total number of papers and population; B) Total number of papers and distribution; C) </w:t>
      </w:r>
      <w:r>
        <w:rPr>
          <w:rFonts w:cs="Arial"/>
          <w:color w:val="000000"/>
          <w:sz w:val="24"/>
          <w:szCs w:val="24"/>
        </w:rPr>
        <w:t>h-index and population; D) h-index and distribution</w:t>
      </w:r>
    </w:p>
    <w:p w:rsidR="00663845" w:rsidRDefault="00663845" w:rsidP="000F7ED2">
      <w:r>
        <w:t>A)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33"/>
        <w:gridCol w:w="1008"/>
        <w:gridCol w:w="1066"/>
        <w:gridCol w:w="830"/>
        <w:gridCol w:w="1488"/>
      </w:tblGrid>
      <w:tr w:rsidR="00663845" w:rsidRPr="00514B85" w:rsidTr="00F7721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Pr="006E4B1D" w:rsidRDefault="00663845" w:rsidP="00F77214">
            <w:pPr>
              <w:spacing w:after="0" w:line="240" w:lineRule="auto"/>
              <w:rPr>
                <w:i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Pr(&gt;|t|)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1.31706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0.26046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5.057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9.51x10</w:t>
            </w:r>
            <w:r w:rsidRPr="00BF712E">
              <w:rPr>
                <w:color w:val="000000"/>
                <w:vertAlign w:val="superscript"/>
              </w:rPr>
              <w:t>-7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0.17256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2.00x10</w:t>
            </w:r>
            <w:r w:rsidRPr="00721354">
              <w:rPr>
                <w:color w:val="000000"/>
                <w:vertAlign w:val="superscript"/>
              </w:rPr>
              <w:t>-16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ducks and geese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0.000543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gamebirds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0.270379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grebes/divers/rails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-0.45001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0.000185 ***</w:t>
            </w:r>
          </w:p>
        </w:tc>
        <w:bookmarkStart w:id="0" w:name="_GoBack"/>
        <w:bookmarkEnd w:id="0"/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herons/bitterns/egrets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0.235169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corvids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-0.46517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0.15786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0.003588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0.008511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pigeons and doves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-0.77238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0.17096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-4.518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1.06x10</w:t>
            </w:r>
            <w:r w:rsidRPr="00BF712E">
              <w:rPr>
                <w:color w:val="000000"/>
                <w:vertAlign w:val="superscript"/>
              </w:rPr>
              <w:t>-5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seabirds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0.036353 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small passerines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-5.288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3.18x10</w:t>
            </w:r>
            <w:r w:rsidRPr="00BF712E">
              <w:rPr>
                <w:color w:val="000000"/>
                <w:vertAlign w:val="superscript"/>
              </w:rPr>
              <w:t>-7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waders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-0.17759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0.085891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red list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0.649643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0.001923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introduced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0.00225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breeding status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-0.16543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-3.142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0.001931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(stable)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-0.02579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0.08214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0.753889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(decline)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0.07904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0.05354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1.476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0.141427</w:t>
            </w:r>
          </w:p>
        </w:tc>
      </w:tr>
    </w:tbl>
    <w:p w:rsidR="00663845" w:rsidRDefault="00663845" w:rsidP="000F7ED2">
      <w:pPr>
        <w:rPr>
          <w:b/>
        </w:rPr>
      </w:pPr>
    </w:p>
    <w:p w:rsidR="00663845" w:rsidRDefault="00663845" w:rsidP="000F7ED2">
      <w:pPr>
        <w:rPr>
          <w:b/>
        </w:rPr>
      </w:pPr>
    </w:p>
    <w:p w:rsidR="00663845" w:rsidRDefault="00663845" w:rsidP="000F7ED2">
      <w:pPr>
        <w:rPr>
          <w:b/>
        </w:rPr>
      </w:pPr>
    </w:p>
    <w:p w:rsidR="00663845" w:rsidRDefault="00663845" w:rsidP="000F7ED2">
      <w:pPr>
        <w:rPr>
          <w:b/>
        </w:rPr>
      </w:pPr>
    </w:p>
    <w:p w:rsidR="00663845" w:rsidRDefault="00663845" w:rsidP="000F7ED2">
      <w:pPr>
        <w:rPr>
          <w:b/>
        </w:rPr>
      </w:pPr>
    </w:p>
    <w:p w:rsidR="00663845" w:rsidRDefault="00663845" w:rsidP="000F7ED2">
      <w:pPr>
        <w:rPr>
          <w:b/>
        </w:rPr>
      </w:pPr>
    </w:p>
    <w:p w:rsidR="00663845" w:rsidRPr="0002604F" w:rsidRDefault="00663845" w:rsidP="000F7ED2">
      <w:r w:rsidRPr="0002604F">
        <w:t>B)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33"/>
        <w:gridCol w:w="1053"/>
        <w:gridCol w:w="1066"/>
        <w:gridCol w:w="820"/>
        <w:gridCol w:w="1383"/>
      </w:tblGrid>
      <w:tr w:rsidR="00663845" w:rsidRPr="00514B85" w:rsidTr="00F7721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i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Pr(&gt;|t|)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1.379901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0.277225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4.978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1.37E-06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distribution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0.411997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0.044412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2.00E-16 ***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ducks and geese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0.107939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0.01507 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gamebirds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0.144219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0.7364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grebes/divers/rails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0.125544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0.0021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herons/bitterns/egrets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0.139189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0.99254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corvids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0.164608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0.08749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0.07394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pigeons and doves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-0.55564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0.177612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0.00202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seabirds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0.15898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0.14676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small passerines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0.00237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waders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0.6799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red list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0.18322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0.48737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0.170044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0.066765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0.01161 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introduced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0.00548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breeding status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-0.18454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0.055647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-3.316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0.00108 **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(stable)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-0.07738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0.087285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-0.887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0.37638</w:t>
            </w:r>
          </w:p>
        </w:tc>
      </w:tr>
      <w:tr w:rsidR="00663845" w:rsidRPr="00514B85" w:rsidTr="00F77214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(decline)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0.001917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0.056524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F772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0.97297</w:t>
            </w:r>
          </w:p>
        </w:tc>
      </w:tr>
    </w:tbl>
    <w:p w:rsidR="00663845" w:rsidRDefault="00663845" w:rsidP="00704E98">
      <w:pPr>
        <w:rPr>
          <w:rFonts w:cs="Arial"/>
          <w:color w:val="000000"/>
          <w:sz w:val="24"/>
          <w:szCs w:val="24"/>
        </w:rPr>
      </w:pPr>
    </w:p>
    <w:p w:rsidR="00663845" w:rsidRPr="005C4EB1" w:rsidRDefault="00663845" w:rsidP="00704E9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33"/>
        <w:gridCol w:w="1008"/>
        <w:gridCol w:w="1066"/>
        <w:gridCol w:w="830"/>
        <w:gridCol w:w="1488"/>
      </w:tblGrid>
      <w:tr w:rsidR="00663845" w:rsidRPr="00514B85" w:rsidTr="00DA7A5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Pr(&gt;|t|)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2.944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0.003621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p</w:t>
            </w:r>
            <w:r w:rsidRPr="00514B85">
              <w:rPr>
                <w:color w:val="000000"/>
                <w:lang w:eastAsia="zh-CN"/>
              </w:rPr>
              <w:t>opulation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0.15993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0.01394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11.476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2.00x10</w:t>
            </w:r>
            <w:r w:rsidRPr="00721354">
              <w:rPr>
                <w:color w:val="000000"/>
                <w:vertAlign w:val="superscript"/>
              </w:rPr>
              <w:t>-16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ducks and geese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-0.2572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0.09062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-2.838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0.004999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gamebirds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-0.01476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0.12116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-0.122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0.903144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grebes/divers/rails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-0.29989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0.10478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-2.862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0.004651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rFonts w:cs="Arial"/>
                <w:lang w:eastAsia="zh-CN"/>
              </w:rPr>
              <w:t>herons/bitterns/egrets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-0.1773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0.11486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-1.544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0.12422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corvids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-0.32706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0.14001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-2.336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0.020463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other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-0.23633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0.12081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-1.956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0.051811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pigeons and doves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-0.54196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0.15162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-3.575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0.000438 ***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seabirds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-0.13447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0.09279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-1.449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0.148839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small passerines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-0.26836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0.07835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-3.425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0.000744 ***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250F41" w:rsidRDefault="00663845" w:rsidP="00DA7A58">
            <w:pPr>
              <w:spacing w:after="0" w:line="240" w:lineRule="auto"/>
              <w:rPr>
                <w:lang w:eastAsia="zh-CN"/>
              </w:rPr>
            </w:pPr>
            <w:r w:rsidRPr="00250F41">
              <w:rPr>
                <w:lang w:eastAsia="zh-CN"/>
              </w:rPr>
              <w:t>waders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-0.05694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0.09126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-0.624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0.533347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red list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0.09997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0.15346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0.515502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BAP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0.14436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0.0561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2.573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0.010785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introduced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-0.25937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0.10026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-2.587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0.010381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breeding status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-0.13048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0.0467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-2.794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0.005704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(stable)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-0.04261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0.07285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-0.585</w:t>
            </w:r>
          </w:p>
        </w:tc>
        <w:tc>
          <w:tcPr>
            <w:tcW w:w="0" w:type="auto"/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0.559267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(decline)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0.01619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0.04748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0.341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0.733536</w:t>
            </w:r>
          </w:p>
        </w:tc>
      </w:tr>
    </w:tbl>
    <w:p w:rsidR="00663845" w:rsidRDefault="00663845" w:rsidP="00704E98"/>
    <w:p w:rsidR="00663845" w:rsidRDefault="00663845" w:rsidP="00704E98"/>
    <w:p w:rsidR="00663845" w:rsidRPr="00452110" w:rsidRDefault="00663845" w:rsidP="00704E9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33"/>
        <w:gridCol w:w="1008"/>
        <w:gridCol w:w="1066"/>
        <w:gridCol w:w="820"/>
        <w:gridCol w:w="1488"/>
      </w:tblGrid>
      <w:tr w:rsidR="00663845" w:rsidRPr="00514B85" w:rsidTr="00DA7A5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i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t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Pr(&gt;|t|)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0.76017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0.24989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0.00266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distribution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0.37216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0.04003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2.00x10</w:t>
            </w:r>
            <w:r w:rsidRPr="00721354">
              <w:rPr>
                <w:color w:val="000000"/>
                <w:vertAlign w:val="superscript"/>
              </w:rPr>
              <w:t>-16</w:t>
            </w:r>
            <w:r>
              <w:rPr>
                <w:color w:val="000000"/>
              </w:rPr>
              <w:t xml:space="preserve"> ***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ducks and geese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0.0818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gamebirds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0.53869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grebes/divers/rails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0.0294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herons/bitterns/egrets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0.75749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corvids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0.30042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0.28899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pigeons and doves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0.03697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seabirds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0.03076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small passerines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-0.09007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0.08114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0.26829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waders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0.52077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red list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0.38587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0.05323 .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introduced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-0.25156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0.10822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-2.324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0.02109 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 w:rsidRPr="00514B85">
              <w:rPr>
                <w:color w:val="000000"/>
                <w:lang w:eastAsia="zh-CN"/>
              </w:rPr>
              <w:t>breeding status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-0.15147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-3.02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0.00285 **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63845" w:rsidRPr="00514B8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(stable)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-0.08858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0.07868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0.26155</w:t>
            </w:r>
          </w:p>
        </w:tc>
      </w:tr>
      <w:tr w:rsidR="00663845" w:rsidRPr="00514B85" w:rsidTr="00DA7A58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20yr distribution (decline)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-0.05464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0.05095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-1.072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663845" w:rsidRDefault="00663845" w:rsidP="00DA7A5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0.28483</w:t>
            </w:r>
          </w:p>
        </w:tc>
      </w:tr>
    </w:tbl>
    <w:p w:rsidR="00663845" w:rsidRDefault="00663845" w:rsidP="00704E98"/>
    <w:sectPr w:rsidR="00663845" w:rsidSect="0060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98"/>
    <w:rsid w:val="0002604F"/>
    <w:rsid w:val="000F7ED2"/>
    <w:rsid w:val="00141CDB"/>
    <w:rsid w:val="001F6598"/>
    <w:rsid w:val="00250F41"/>
    <w:rsid w:val="00452110"/>
    <w:rsid w:val="00514B85"/>
    <w:rsid w:val="005C4EB1"/>
    <w:rsid w:val="00603D6A"/>
    <w:rsid w:val="00663845"/>
    <w:rsid w:val="006E4B1D"/>
    <w:rsid w:val="00704E98"/>
    <w:rsid w:val="00721354"/>
    <w:rsid w:val="009C6DA0"/>
    <w:rsid w:val="00AF41DD"/>
    <w:rsid w:val="00B1707E"/>
    <w:rsid w:val="00BA7D30"/>
    <w:rsid w:val="00BF712E"/>
    <w:rsid w:val="00DA7A58"/>
    <w:rsid w:val="00E6054F"/>
    <w:rsid w:val="00F77214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4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707</Words>
  <Characters>4030</Characters>
  <Application>Microsoft Office Outlook</Application>
  <DocSecurity>0</DocSecurity>
  <Lines>0</Lines>
  <Paragraphs>0</Paragraphs>
  <ScaleCrop>false</ScaleCrop>
  <Company>Newcastle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najm16</dc:creator>
  <cp:keywords/>
  <dc:description/>
  <cp:lastModifiedBy>Ailsa J McKenzie</cp:lastModifiedBy>
  <cp:revision>2</cp:revision>
  <dcterms:created xsi:type="dcterms:W3CDTF">2015-06-08T22:25:00Z</dcterms:created>
  <dcterms:modified xsi:type="dcterms:W3CDTF">2015-06-08T22:25:00Z</dcterms:modified>
</cp:coreProperties>
</file>