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EEA4" w14:textId="77777777" w:rsidR="009246AD" w:rsidRPr="00D77FEE" w:rsidRDefault="00194EA9" w:rsidP="00F35C62">
      <w:pPr>
        <w:jc w:val="center"/>
        <w:rPr>
          <w:b/>
          <w:sz w:val="32"/>
          <w:szCs w:val="32"/>
        </w:rPr>
      </w:pPr>
      <w:r w:rsidRPr="00D77FEE">
        <w:rPr>
          <w:b/>
          <w:sz w:val="32"/>
          <w:szCs w:val="32"/>
        </w:rPr>
        <w:t>Supporting Information</w:t>
      </w:r>
    </w:p>
    <w:p w14:paraId="3A54DEB8" w14:textId="77777777" w:rsidR="008F039F" w:rsidRDefault="008F039F" w:rsidP="008F039F">
      <w:pPr>
        <w:pStyle w:val="BATitle"/>
        <w:spacing w:line="360" w:lineRule="auto"/>
      </w:pPr>
      <w:r>
        <w:t>The Flavonoid Luteolin, but not Luteolin-7-</w:t>
      </w:r>
      <w:r>
        <w:rPr>
          <w:i/>
        </w:rPr>
        <w:t>O</w:t>
      </w:r>
      <w:r>
        <w:t xml:space="preserve">-glucoside, Prevents a Transthyretin Mediated Toxic Response </w:t>
      </w:r>
    </w:p>
    <w:p w14:paraId="6E4EBF00" w14:textId="7D8033EC" w:rsidR="00194EA9" w:rsidRPr="00F35C62" w:rsidRDefault="00194EA9" w:rsidP="00F35C62">
      <w:pPr>
        <w:pStyle w:val="BATitle"/>
        <w:spacing w:line="360" w:lineRule="auto"/>
        <w:rPr>
          <w:sz w:val="36"/>
          <w:szCs w:val="36"/>
        </w:rPr>
      </w:pPr>
    </w:p>
    <w:p w14:paraId="5E025065" w14:textId="2F5910E4" w:rsidR="00194EA9" w:rsidRPr="00E254B8" w:rsidRDefault="00194EA9" w:rsidP="00194EA9">
      <w:pPr>
        <w:pStyle w:val="BBAuthorName"/>
      </w:pPr>
      <w:r w:rsidRPr="00E254B8">
        <w:t>Irina Iakovleva</w:t>
      </w:r>
      <w:r w:rsidRPr="00E254B8">
        <w:rPr>
          <w:vertAlign w:val="superscript"/>
        </w:rPr>
        <w:t>1</w:t>
      </w:r>
      <w:r>
        <w:rPr>
          <w:vertAlign w:val="superscript"/>
        </w:rPr>
        <w:t>*</w:t>
      </w:r>
      <w:r w:rsidRPr="00E254B8">
        <w:t xml:space="preserve">, </w:t>
      </w:r>
      <w:proofErr w:type="spellStart"/>
      <w:r w:rsidRPr="00E254B8">
        <w:t>Afshan</w:t>
      </w:r>
      <w:proofErr w:type="spellEnd"/>
      <w:r w:rsidRPr="00E254B8">
        <w:t xml:space="preserve"> Begu</w:t>
      </w:r>
      <w:r>
        <w:t>m</w:t>
      </w:r>
      <w:r w:rsidRPr="00E254B8">
        <w:rPr>
          <w:vertAlign w:val="superscript"/>
        </w:rPr>
        <w:t>2</w:t>
      </w:r>
      <w:r>
        <w:rPr>
          <w:vertAlign w:val="superscript"/>
        </w:rPr>
        <w:t>*</w:t>
      </w:r>
      <w:r w:rsidRPr="00E254B8">
        <w:t xml:space="preserve">, </w:t>
      </w:r>
      <w:proofErr w:type="spellStart"/>
      <w:r w:rsidRPr="00E254B8">
        <w:t>Malgorzata</w:t>
      </w:r>
      <w:proofErr w:type="spellEnd"/>
      <w:r w:rsidRPr="00E254B8">
        <w:t xml:space="preserve"> Pokrzywa</w:t>
      </w:r>
      <w:r w:rsidRPr="00E254B8">
        <w:rPr>
          <w:vertAlign w:val="superscript"/>
        </w:rPr>
        <w:t>3</w:t>
      </w:r>
      <w:r w:rsidRPr="00E254B8">
        <w:t xml:space="preserve">, </w:t>
      </w:r>
      <w:proofErr w:type="spellStart"/>
      <w:r>
        <w:t>Malin</w:t>
      </w:r>
      <w:proofErr w:type="spellEnd"/>
      <w:r>
        <w:t xml:space="preserve"> </w:t>
      </w:r>
      <w:r w:rsidRPr="00E254B8">
        <w:t>Walfridsson</w:t>
      </w:r>
      <w:r w:rsidRPr="00E254B8">
        <w:rPr>
          <w:vertAlign w:val="superscript"/>
        </w:rPr>
        <w:t>1</w:t>
      </w:r>
      <w:r w:rsidRPr="00E254B8">
        <w:t xml:space="preserve">, </w:t>
      </w:r>
      <w:r w:rsidR="00F35C62">
        <w:t xml:space="preserve">A. </w:t>
      </w:r>
      <w:r w:rsidRPr="00E254B8">
        <w:t>Elisabeth Sauer-Eriksson</w:t>
      </w:r>
      <w:r w:rsidRPr="00E254B8">
        <w:rPr>
          <w:vertAlign w:val="superscript"/>
        </w:rPr>
        <w:t>2</w:t>
      </w:r>
      <w:r w:rsidRPr="00E254B8">
        <w:t xml:space="preserve"> and Anders Olofsson</w:t>
      </w:r>
      <w:r w:rsidRPr="00E254B8">
        <w:rPr>
          <w:vertAlign w:val="superscript"/>
        </w:rPr>
        <w:t>1</w:t>
      </w:r>
      <w:r w:rsidRPr="00E254B8">
        <w:t xml:space="preserve">   </w:t>
      </w:r>
    </w:p>
    <w:p w14:paraId="19D31407" w14:textId="77777777" w:rsidR="008E3B2B" w:rsidRPr="00F84E25" w:rsidRDefault="008E3B2B" w:rsidP="00F35C62">
      <w:pPr>
        <w:pStyle w:val="BCAuthorAddress"/>
        <w:spacing w:line="240" w:lineRule="auto"/>
      </w:pPr>
      <w:r w:rsidRPr="00F84E25">
        <w:rPr>
          <w:vertAlign w:val="superscript"/>
        </w:rPr>
        <w:t>1</w:t>
      </w:r>
      <w:r w:rsidRPr="00F84E25">
        <w:t xml:space="preserve">Department of Medical Biochemistry and Biophysics, </w:t>
      </w:r>
      <w:proofErr w:type="spellStart"/>
      <w:r w:rsidRPr="00F84E25">
        <w:t>Umeå</w:t>
      </w:r>
      <w:proofErr w:type="spellEnd"/>
      <w:r w:rsidRPr="00F84E25">
        <w:t xml:space="preserve"> University, 901 87 </w:t>
      </w:r>
      <w:proofErr w:type="spellStart"/>
      <w:r w:rsidRPr="00F84E25">
        <w:t>Umeå</w:t>
      </w:r>
      <w:proofErr w:type="spellEnd"/>
      <w:r w:rsidRPr="00F84E25">
        <w:t>, Sweden</w:t>
      </w:r>
    </w:p>
    <w:p w14:paraId="51B40225" w14:textId="77777777" w:rsidR="008E3B2B" w:rsidRPr="00F84E25" w:rsidRDefault="008E3B2B" w:rsidP="00F35C62">
      <w:pPr>
        <w:pStyle w:val="BCAuthorAddress"/>
        <w:spacing w:line="240" w:lineRule="auto"/>
      </w:pPr>
      <w:proofErr w:type="gramStart"/>
      <w:r w:rsidRPr="00F84E25">
        <w:rPr>
          <w:vertAlign w:val="superscript"/>
        </w:rPr>
        <w:t>2</w:t>
      </w:r>
      <w:r w:rsidRPr="00F84E25">
        <w:t xml:space="preserve">Department of Chemistry, </w:t>
      </w:r>
      <w:proofErr w:type="spellStart"/>
      <w:r w:rsidRPr="00F84E25">
        <w:t>Umeå</w:t>
      </w:r>
      <w:proofErr w:type="spellEnd"/>
      <w:r w:rsidRPr="00F84E25">
        <w:t xml:space="preserve"> University, 901 87 </w:t>
      </w:r>
      <w:proofErr w:type="spellStart"/>
      <w:r w:rsidRPr="00F84E25">
        <w:t>Umeå</w:t>
      </w:r>
      <w:proofErr w:type="spellEnd"/>
      <w:r w:rsidRPr="00F84E25">
        <w:t>, Sweden.</w:t>
      </w:r>
      <w:proofErr w:type="gramEnd"/>
      <w:r w:rsidRPr="00F84E25">
        <w:t xml:space="preserve"> </w:t>
      </w:r>
    </w:p>
    <w:p w14:paraId="01C328BA" w14:textId="77777777" w:rsidR="008E3B2B" w:rsidRPr="00F84E25" w:rsidRDefault="008E3B2B" w:rsidP="00F35C62">
      <w:pPr>
        <w:pStyle w:val="BCAuthorAddress"/>
        <w:spacing w:line="240" w:lineRule="auto"/>
      </w:pPr>
      <w:r w:rsidRPr="00F84E25">
        <w:rPr>
          <w:vertAlign w:val="superscript"/>
        </w:rPr>
        <w:t>*</w:t>
      </w:r>
      <w:r w:rsidRPr="00F84E25">
        <w:t xml:space="preserve">Both authors contributed equally to this work. </w:t>
      </w:r>
    </w:p>
    <w:p w14:paraId="36FE0E89" w14:textId="77777777" w:rsidR="008E3B2B" w:rsidRPr="009D4D9C" w:rsidRDefault="008E3B2B" w:rsidP="00F35C62">
      <w:pPr>
        <w:pStyle w:val="BCAuthorAddress"/>
        <w:spacing w:line="240" w:lineRule="auto"/>
        <w:rPr>
          <w:lang w:val="sv-SE"/>
        </w:rPr>
      </w:pPr>
      <w:proofErr w:type="gramStart"/>
      <w:r w:rsidRPr="00F84E25">
        <w:rPr>
          <w:vertAlign w:val="superscript"/>
        </w:rPr>
        <w:t>3</w:t>
      </w:r>
      <w:r w:rsidRPr="00F84E25">
        <w:t xml:space="preserve">Airoptic Sp. z </w:t>
      </w:r>
      <w:proofErr w:type="spellStart"/>
      <w:r w:rsidRPr="00F84E25">
        <w:t>o.o</w:t>
      </w:r>
      <w:proofErr w:type="spellEnd"/>
      <w:r w:rsidRPr="00F84E25">
        <w:t>.</w:t>
      </w:r>
      <w:proofErr w:type="gramEnd"/>
      <w:r w:rsidRPr="00F84E25">
        <w:t xml:space="preserve">  </w:t>
      </w:r>
      <w:r w:rsidRPr="009D4D9C">
        <w:rPr>
          <w:lang w:val="sv-SE"/>
        </w:rPr>
        <w:t xml:space="preserve">ZIWT, </w:t>
      </w:r>
      <w:proofErr w:type="spellStart"/>
      <w:r w:rsidRPr="009D4D9C">
        <w:rPr>
          <w:lang w:val="sv-SE"/>
        </w:rPr>
        <w:t>ul</w:t>
      </w:r>
      <w:proofErr w:type="spellEnd"/>
      <w:r w:rsidRPr="009D4D9C">
        <w:rPr>
          <w:lang w:val="sv-SE"/>
        </w:rPr>
        <w:t xml:space="preserve">. </w:t>
      </w:r>
      <w:proofErr w:type="spellStart"/>
      <w:r w:rsidRPr="009D4D9C">
        <w:rPr>
          <w:lang w:val="sv-SE"/>
        </w:rPr>
        <w:t>Rubiez</w:t>
      </w:r>
      <w:proofErr w:type="spellEnd"/>
      <w:r w:rsidRPr="009D4D9C">
        <w:rPr>
          <w:lang w:val="sv-SE"/>
        </w:rPr>
        <w:t xml:space="preserve"> 46 H, 61-612, Poznan, </w:t>
      </w:r>
      <w:proofErr w:type="spellStart"/>
      <w:r w:rsidRPr="009D4D9C">
        <w:rPr>
          <w:lang w:val="sv-SE"/>
        </w:rPr>
        <w:t>Poland</w:t>
      </w:r>
      <w:proofErr w:type="spellEnd"/>
    </w:p>
    <w:p w14:paraId="4B8062A1" w14:textId="77777777" w:rsidR="00D77FEE" w:rsidRPr="008E3B2B" w:rsidRDefault="008E3B2B" w:rsidP="00F35C62">
      <w:pPr>
        <w:pStyle w:val="BCAuthorAddress"/>
        <w:spacing w:line="240" w:lineRule="auto"/>
      </w:pPr>
      <w:r w:rsidRPr="00F84E25">
        <w:rPr>
          <w:color w:val="000000"/>
        </w:rPr>
        <w:t>Correspondence: anders.olofsson@medchem.umu.se</w:t>
      </w:r>
    </w:p>
    <w:p w14:paraId="1754A890" w14:textId="77777777" w:rsidR="00D77FEE" w:rsidRDefault="00D77FEE" w:rsidP="00194EA9">
      <w:pPr>
        <w:rPr>
          <w:b/>
        </w:rPr>
      </w:pPr>
    </w:p>
    <w:p w14:paraId="25D34945" w14:textId="77777777" w:rsidR="00D77FEE" w:rsidRDefault="00D77FEE" w:rsidP="00194EA9">
      <w:pPr>
        <w:rPr>
          <w:b/>
        </w:rPr>
      </w:pPr>
    </w:p>
    <w:p w14:paraId="35AEB54F" w14:textId="77777777" w:rsidR="00D77FEE" w:rsidRDefault="00D77FEE" w:rsidP="00194EA9">
      <w:pPr>
        <w:rPr>
          <w:b/>
        </w:rPr>
      </w:pPr>
    </w:p>
    <w:p w14:paraId="0A6E57FE" w14:textId="77777777" w:rsidR="00D77FEE" w:rsidRDefault="00D77FEE" w:rsidP="00194EA9">
      <w:pPr>
        <w:rPr>
          <w:b/>
        </w:rPr>
      </w:pPr>
    </w:p>
    <w:p w14:paraId="463258E8" w14:textId="77777777" w:rsidR="00D77FEE" w:rsidRDefault="00D77FEE" w:rsidP="00194EA9">
      <w:pPr>
        <w:rPr>
          <w:b/>
        </w:rPr>
      </w:pPr>
    </w:p>
    <w:p w14:paraId="14898783" w14:textId="4F3EE32F" w:rsidR="00D77FEE" w:rsidRDefault="00D77FEE" w:rsidP="00A1751B">
      <w:pPr>
        <w:ind w:left="1418"/>
        <w:jc w:val="left"/>
        <w:rPr>
          <w:b/>
        </w:rPr>
      </w:pPr>
    </w:p>
    <w:p w14:paraId="7B206E26" w14:textId="3FACDF52" w:rsidR="00D77FEE" w:rsidRDefault="008441E3" w:rsidP="008441E3">
      <w:pPr>
        <w:tabs>
          <w:tab w:val="left" w:pos="3355"/>
        </w:tabs>
        <w:rPr>
          <w:b/>
        </w:rPr>
      </w:pPr>
      <w:r>
        <w:rPr>
          <w:b/>
        </w:rPr>
        <w:tab/>
      </w:r>
    </w:p>
    <w:p w14:paraId="262EA589" w14:textId="77777777" w:rsidR="00D77FEE" w:rsidRDefault="00D77FEE" w:rsidP="00F35C62">
      <w:pPr>
        <w:spacing w:line="360" w:lineRule="auto"/>
        <w:ind w:left="1701"/>
        <w:rPr>
          <w:b/>
        </w:rPr>
      </w:pPr>
    </w:p>
    <w:tbl>
      <w:tblPr>
        <w:tblpPr w:leftFromText="141" w:rightFromText="141" w:vertAnchor="page" w:horzAnchor="margin" w:tblpY="2145"/>
        <w:tblW w:w="5096" w:type="pct"/>
        <w:tblLook w:val="0000" w:firstRow="0" w:lastRow="0" w:firstColumn="0" w:lastColumn="0" w:noHBand="0" w:noVBand="0"/>
      </w:tblPr>
      <w:tblGrid>
        <w:gridCol w:w="3328"/>
        <w:gridCol w:w="3121"/>
        <w:gridCol w:w="3311"/>
      </w:tblGrid>
      <w:tr w:rsidR="008441E3" w:rsidRPr="00F408EB" w14:paraId="30464F19" w14:textId="77777777" w:rsidTr="008441E3">
        <w:trPr>
          <w:trHeight w:val="251"/>
        </w:trPr>
        <w:tc>
          <w:tcPr>
            <w:tcW w:w="1705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7C04010D" w14:textId="77777777" w:rsidR="008441E3" w:rsidRPr="00F408EB" w:rsidRDefault="008441E3" w:rsidP="008441E3">
            <w:pPr>
              <w:keepNext/>
              <w:snapToGrid w:val="0"/>
              <w:rPr>
                <w:rFonts w:eastAsia="Advt93-r"/>
                <w:b/>
                <w:bCs/>
                <w:sz w:val="20"/>
              </w:rPr>
            </w:pPr>
            <w:r w:rsidRPr="00F408EB">
              <w:rPr>
                <w:rFonts w:eastAsia="Advt93-r"/>
                <w:b/>
                <w:bCs/>
                <w:sz w:val="20"/>
              </w:rPr>
              <w:lastRenderedPageBreak/>
              <w:t>Data-collection parameters</w:t>
            </w:r>
          </w:p>
        </w:tc>
        <w:tc>
          <w:tcPr>
            <w:tcW w:w="1599" w:type="pct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0A95133" w14:textId="77777777" w:rsidR="008441E3" w:rsidRPr="00C22F84" w:rsidRDefault="008441E3" w:rsidP="008441E3">
            <w:pPr>
              <w:keepNext/>
              <w:snapToGrid w:val="0"/>
              <w:jc w:val="right"/>
              <w:rPr>
                <w:rFonts w:eastAsia="Advt93-r"/>
                <w:b/>
                <w:bCs/>
                <w:sz w:val="20"/>
              </w:rPr>
            </w:pPr>
            <w:r>
              <w:rPr>
                <w:rFonts w:eastAsia="Advt93-r"/>
                <w:b/>
                <w:bCs/>
                <w:sz w:val="20"/>
              </w:rPr>
              <w:t>TTRwt-l</w:t>
            </w:r>
            <w:r w:rsidRPr="00C22F84">
              <w:rPr>
                <w:rFonts w:eastAsia="Advt93-r"/>
                <w:b/>
                <w:bCs/>
                <w:sz w:val="20"/>
              </w:rPr>
              <w:t>uteolin</w:t>
            </w:r>
          </w:p>
        </w:tc>
        <w:tc>
          <w:tcPr>
            <w:tcW w:w="1696" w:type="pct"/>
            <w:tcBorders>
              <w:top w:val="single" w:sz="4" w:space="0" w:color="000000"/>
              <w:bottom w:val="single" w:sz="4" w:space="0" w:color="auto"/>
            </w:tcBorders>
          </w:tcPr>
          <w:p w14:paraId="3A9CE692" w14:textId="77777777" w:rsidR="008441E3" w:rsidRPr="00643C5B" w:rsidRDefault="008441E3" w:rsidP="008441E3">
            <w:pPr>
              <w:keepNext/>
              <w:snapToGrid w:val="0"/>
              <w:jc w:val="right"/>
              <w:rPr>
                <w:rFonts w:eastAsia="Advt93-r"/>
                <w:b/>
                <w:bCs/>
                <w:sz w:val="20"/>
                <w:lang w:val="sv-SE"/>
              </w:rPr>
            </w:pPr>
            <w:r>
              <w:rPr>
                <w:rFonts w:eastAsia="Advt93-r"/>
                <w:b/>
                <w:bCs/>
                <w:sz w:val="20"/>
              </w:rPr>
              <w:t>TTRV30M-</w:t>
            </w:r>
            <w:r w:rsidRPr="00643C5B">
              <w:rPr>
                <w:rFonts w:eastAsia="Advt93-r"/>
                <w:b/>
                <w:bCs/>
                <w:sz w:val="20"/>
              </w:rPr>
              <w:t>luteolin</w:t>
            </w:r>
          </w:p>
        </w:tc>
      </w:tr>
      <w:tr w:rsidR="008441E3" w:rsidRPr="00F408EB" w14:paraId="1BCE2905" w14:textId="77777777" w:rsidTr="008441E3">
        <w:trPr>
          <w:trHeight w:val="56"/>
        </w:trPr>
        <w:tc>
          <w:tcPr>
            <w:tcW w:w="1705" w:type="pct"/>
            <w:tcBorders>
              <w:top w:val="single" w:sz="4" w:space="0" w:color="auto"/>
            </w:tcBorders>
            <w:vAlign w:val="bottom"/>
          </w:tcPr>
          <w:p w14:paraId="145546AE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Wavelength (Å) </w:t>
            </w:r>
            <w:r>
              <w:rPr>
                <w:rFonts w:eastAsia="Advt93-r"/>
                <w:sz w:val="20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</w:tcBorders>
          </w:tcPr>
          <w:p w14:paraId="26853776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0.9002</w:t>
            </w: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5FAD70D3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1.5400</w:t>
            </w:r>
          </w:p>
        </w:tc>
      </w:tr>
      <w:tr w:rsidR="008441E3" w:rsidRPr="00F408EB" w14:paraId="1313F327" w14:textId="77777777" w:rsidTr="008441E3">
        <w:trPr>
          <w:trHeight w:val="56"/>
        </w:trPr>
        <w:tc>
          <w:tcPr>
            <w:tcW w:w="1705" w:type="pct"/>
            <w:vAlign w:val="bottom"/>
          </w:tcPr>
          <w:p w14:paraId="4F085A8A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Temperature (K) </w:t>
            </w:r>
          </w:p>
        </w:tc>
        <w:tc>
          <w:tcPr>
            <w:tcW w:w="1599" w:type="pct"/>
            <w:vAlign w:val="bottom"/>
          </w:tcPr>
          <w:p w14:paraId="0E86430B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100</w:t>
            </w:r>
          </w:p>
        </w:tc>
        <w:tc>
          <w:tcPr>
            <w:tcW w:w="1696" w:type="pct"/>
          </w:tcPr>
          <w:p w14:paraId="4FC6A77B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100</w:t>
            </w:r>
          </w:p>
        </w:tc>
      </w:tr>
      <w:tr w:rsidR="008441E3" w:rsidRPr="00F408EB" w14:paraId="5D34D440" w14:textId="77777777" w:rsidTr="008441E3">
        <w:trPr>
          <w:trHeight w:val="56"/>
        </w:trPr>
        <w:tc>
          <w:tcPr>
            <w:tcW w:w="1705" w:type="pct"/>
            <w:vAlign w:val="bottom"/>
          </w:tcPr>
          <w:p w14:paraId="7F63CDFF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Oscillation range (°)</w:t>
            </w:r>
          </w:p>
        </w:tc>
        <w:tc>
          <w:tcPr>
            <w:tcW w:w="1599" w:type="pct"/>
            <w:vAlign w:val="bottom"/>
          </w:tcPr>
          <w:p w14:paraId="32E29DA2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0.15</w:t>
            </w:r>
          </w:p>
        </w:tc>
        <w:tc>
          <w:tcPr>
            <w:tcW w:w="1696" w:type="pct"/>
          </w:tcPr>
          <w:p w14:paraId="3AC61C34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0.5</w:t>
            </w:r>
          </w:p>
        </w:tc>
      </w:tr>
      <w:tr w:rsidR="008441E3" w:rsidRPr="00F408EB" w14:paraId="2CD57EB6" w14:textId="77777777" w:rsidTr="008441E3">
        <w:trPr>
          <w:trHeight w:val="56"/>
        </w:trPr>
        <w:tc>
          <w:tcPr>
            <w:tcW w:w="1705" w:type="pct"/>
            <w:vAlign w:val="bottom"/>
          </w:tcPr>
          <w:p w14:paraId="4EBF8187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Crystal-to-detector distance (mm)</w:t>
            </w:r>
          </w:p>
        </w:tc>
        <w:tc>
          <w:tcPr>
            <w:tcW w:w="1599" w:type="pct"/>
            <w:vAlign w:val="bottom"/>
          </w:tcPr>
          <w:p w14:paraId="23D8EF90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184.4</w:t>
            </w:r>
          </w:p>
        </w:tc>
        <w:tc>
          <w:tcPr>
            <w:tcW w:w="1696" w:type="pct"/>
          </w:tcPr>
          <w:p w14:paraId="546B20C8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60</w:t>
            </w:r>
          </w:p>
        </w:tc>
      </w:tr>
      <w:tr w:rsidR="008441E3" w:rsidRPr="00F408EB" w14:paraId="497AD254" w14:textId="77777777" w:rsidTr="008441E3">
        <w:trPr>
          <w:trHeight w:val="251"/>
        </w:trPr>
        <w:tc>
          <w:tcPr>
            <w:tcW w:w="1705" w:type="pct"/>
            <w:tcBorders>
              <w:bottom w:val="single" w:sz="4" w:space="0" w:color="auto"/>
            </w:tcBorders>
            <w:vAlign w:val="bottom"/>
          </w:tcPr>
          <w:p w14:paraId="156ACEBB" w14:textId="77777777" w:rsidR="008441E3" w:rsidRDefault="008441E3" w:rsidP="008441E3">
            <w:pPr>
              <w:keepNext/>
              <w:snapToGrid w:val="0"/>
              <w:rPr>
                <w:rFonts w:eastAsia="Advt93-r"/>
                <w:b/>
                <w:bCs/>
                <w:sz w:val="20"/>
              </w:rPr>
            </w:pPr>
          </w:p>
          <w:p w14:paraId="3D89A1C4" w14:textId="77777777" w:rsidR="008441E3" w:rsidRPr="00F408EB" w:rsidRDefault="008441E3" w:rsidP="008441E3">
            <w:pPr>
              <w:keepNext/>
              <w:snapToGrid w:val="0"/>
              <w:rPr>
                <w:rFonts w:eastAsia="Advt93-r"/>
                <w:b/>
                <w:bCs/>
                <w:sz w:val="20"/>
              </w:rPr>
            </w:pPr>
            <w:r w:rsidRPr="00F408EB">
              <w:rPr>
                <w:rFonts w:eastAsia="Advt93-r"/>
                <w:b/>
                <w:bCs/>
                <w:sz w:val="20"/>
              </w:rPr>
              <w:t>Data-integration statistics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vAlign w:val="bottom"/>
          </w:tcPr>
          <w:p w14:paraId="640FC121" w14:textId="77777777" w:rsidR="008441E3" w:rsidRPr="00733FEE" w:rsidRDefault="008441E3" w:rsidP="008441E3">
            <w:pPr>
              <w:keepNext/>
              <w:snapToGrid w:val="0"/>
              <w:jc w:val="right"/>
              <w:rPr>
                <w:rFonts w:eastAsia="Advt93-r"/>
                <w:bCs/>
                <w:sz w:val="20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4B710287" w14:textId="77777777" w:rsidR="008441E3" w:rsidRPr="00733FEE" w:rsidRDefault="008441E3" w:rsidP="008441E3">
            <w:pPr>
              <w:keepNext/>
              <w:snapToGrid w:val="0"/>
              <w:jc w:val="right"/>
              <w:rPr>
                <w:rFonts w:eastAsia="Advt93-r"/>
                <w:bCs/>
                <w:sz w:val="20"/>
              </w:rPr>
            </w:pPr>
          </w:p>
        </w:tc>
      </w:tr>
      <w:tr w:rsidR="008441E3" w:rsidRPr="00F408EB" w14:paraId="34FAD62E" w14:textId="77777777" w:rsidTr="008441E3">
        <w:trPr>
          <w:trHeight w:val="251"/>
        </w:trPr>
        <w:tc>
          <w:tcPr>
            <w:tcW w:w="1705" w:type="pct"/>
            <w:tcBorders>
              <w:top w:val="single" w:sz="4" w:space="0" w:color="auto"/>
            </w:tcBorders>
            <w:vAlign w:val="bottom"/>
          </w:tcPr>
          <w:p w14:paraId="07E3BFD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Space group </w:t>
            </w:r>
          </w:p>
        </w:tc>
        <w:tc>
          <w:tcPr>
            <w:tcW w:w="1599" w:type="pct"/>
            <w:tcBorders>
              <w:top w:val="single" w:sz="4" w:space="0" w:color="auto"/>
            </w:tcBorders>
          </w:tcPr>
          <w:p w14:paraId="4742DD4A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P21212</w:t>
            </w:r>
          </w:p>
        </w:tc>
        <w:tc>
          <w:tcPr>
            <w:tcW w:w="1696" w:type="pct"/>
            <w:tcBorders>
              <w:top w:val="single" w:sz="4" w:space="0" w:color="auto"/>
            </w:tcBorders>
          </w:tcPr>
          <w:p w14:paraId="6B303F57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P21212</w:t>
            </w:r>
          </w:p>
        </w:tc>
      </w:tr>
      <w:tr w:rsidR="008441E3" w:rsidRPr="00F408EB" w14:paraId="71652B75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15F77A01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Unit-cell parameters (Å) </w:t>
            </w:r>
          </w:p>
        </w:tc>
        <w:tc>
          <w:tcPr>
            <w:tcW w:w="1599" w:type="pct"/>
          </w:tcPr>
          <w:p w14:paraId="5210434A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a = 42.6,  b = 85.9, c =  63.9</w:t>
            </w:r>
          </w:p>
        </w:tc>
        <w:tc>
          <w:tcPr>
            <w:tcW w:w="1696" w:type="pct"/>
          </w:tcPr>
          <w:p w14:paraId="54F2604C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a = 42.8,  b = 85.8, c =  63.7</w:t>
            </w:r>
          </w:p>
        </w:tc>
      </w:tr>
      <w:tr w:rsidR="008441E3" w:rsidRPr="00F408EB" w14:paraId="585E5A7A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51411E4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Resolution limits (Å ) </w:t>
            </w:r>
          </w:p>
        </w:tc>
        <w:tc>
          <w:tcPr>
            <w:tcW w:w="1599" w:type="pct"/>
          </w:tcPr>
          <w:p w14:paraId="4A32ECCC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 xml:space="preserve">38.2-1.12 </w:t>
            </w:r>
            <w:r w:rsidRPr="00733FEE">
              <w:rPr>
                <w:sz w:val="20"/>
              </w:rPr>
              <w:t>(1.16  - 1.12)</w:t>
            </w:r>
          </w:p>
        </w:tc>
        <w:tc>
          <w:tcPr>
            <w:tcW w:w="1696" w:type="pct"/>
          </w:tcPr>
          <w:p w14:paraId="1EB31CA3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23.81  - 1.70 (1.76  - 1.70)</w:t>
            </w:r>
          </w:p>
        </w:tc>
      </w:tr>
      <w:tr w:rsidR="008441E3" w:rsidRPr="00F408EB" w14:paraId="0066EE1A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36C1DC2D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Total No. of reflections </w:t>
            </w:r>
          </w:p>
        </w:tc>
        <w:tc>
          <w:tcPr>
            <w:tcW w:w="1599" w:type="pct"/>
          </w:tcPr>
          <w:p w14:paraId="46288CBA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524231</w:t>
            </w:r>
          </w:p>
        </w:tc>
        <w:tc>
          <w:tcPr>
            <w:tcW w:w="1696" w:type="pct"/>
          </w:tcPr>
          <w:p w14:paraId="1CABA85E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228831</w:t>
            </w:r>
          </w:p>
        </w:tc>
      </w:tr>
      <w:tr w:rsidR="008441E3" w:rsidRPr="00F408EB" w14:paraId="2F840DB3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07C907A8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No. of unique reflections</w:t>
            </w:r>
          </w:p>
        </w:tc>
        <w:tc>
          <w:tcPr>
            <w:tcW w:w="1599" w:type="pct"/>
          </w:tcPr>
          <w:p w14:paraId="463771F4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 xml:space="preserve">91106 </w:t>
            </w:r>
            <w:r w:rsidRPr="00733FEE">
              <w:rPr>
                <w:sz w:val="20"/>
              </w:rPr>
              <w:t>(8981)</w:t>
            </w:r>
          </w:p>
        </w:tc>
        <w:tc>
          <w:tcPr>
            <w:tcW w:w="1696" w:type="pct"/>
          </w:tcPr>
          <w:p w14:paraId="581B6F27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26524 (2500)</w:t>
            </w:r>
          </w:p>
        </w:tc>
      </w:tr>
      <w:tr w:rsidR="008441E3" w:rsidRPr="00F408EB" w14:paraId="5B44AA01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780E6065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Multiplicity </w:t>
            </w:r>
          </w:p>
        </w:tc>
        <w:tc>
          <w:tcPr>
            <w:tcW w:w="1599" w:type="pct"/>
          </w:tcPr>
          <w:p w14:paraId="5A94F0C3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5.7(5.5)</w:t>
            </w:r>
          </w:p>
        </w:tc>
        <w:tc>
          <w:tcPr>
            <w:tcW w:w="1696" w:type="pct"/>
          </w:tcPr>
          <w:p w14:paraId="1EE53C3D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 xml:space="preserve">8.6 (8.4) </w:t>
            </w:r>
          </w:p>
        </w:tc>
      </w:tr>
      <w:tr w:rsidR="008441E3" w:rsidRPr="00F408EB" w14:paraId="027BFE24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743ACAE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Completeness (%) </w:t>
            </w:r>
          </w:p>
        </w:tc>
        <w:tc>
          <w:tcPr>
            <w:tcW w:w="1599" w:type="pct"/>
          </w:tcPr>
          <w:p w14:paraId="0E868790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99.8 (99.9)</w:t>
            </w:r>
          </w:p>
        </w:tc>
        <w:tc>
          <w:tcPr>
            <w:tcW w:w="1696" w:type="pct"/>
          </w:tcPr>
          <w:p w14:paraId="5A0B6705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99.59 (95.93)</w:t>
            </w:r>
          </w:p>
        </w:tc>
      </w:tr>
      <w:tr w:rsidR="008441E3" w:rsidRPr="00F408EB" w14:paraId="793CFB0C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69D15DF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sz w:val="20"/>
              </w:rPr>
            </w:pPr>
            <w:proofErr w:type="spellStart"/>
            <w:r w:rsidRPr="00F408EB">
              <w:rPr>
                <w:sz w:val="20"/>
              </w:rPr>
              <w:t>R</w:t>
            </w:r>
            <w:r w:rsidRPr="00F408EB">
              <w:rPr>
                <w:sz w:val="20"/>
                <w:vertAlign w:val="subscript"/>
              </w:rPr>
              <w:t>merge</w:t>
            </w:r>
            <w:proofErr w:type="spellEnd"/>
            <w:r w:rsidRPr="00F408EB">
              <w:rPr>
                <w:sz w:val="20"/>
              </w:rPr>
              <w:t xml:space="preserve">† </w:t>
            </w:r>
          </w:p>
        </w:tc>
        <w:tc>
          <w:tcPr>
            <w:tcW w:w="1599" w:type="pct"/>
          </w:tcPr>
          <w:p w14:paraId="200E404C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0.047 (0.36)</w:t>
            </w:r>
          </w:p>
        </w:tc>
        <w:tc>
          <w:tcPr>
            <w:tcW w:w="1696" w:type="pct"/>
          </w:tcPr>
          <w:p w14:paraId="5DC5683E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0.045 (0.31)</w:t>
            </w:r>
          </w:p>
        </w:tc>
      </w:tr>
      <w:tr w:rsidR="008441E3" w:rsidRPr="00F408EB" w14:paraId="236F95F3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3377E41C" w14:textId="77777777" w:rsidR="008441E3" w:rsidRPr="00F408EB" w:rsidRDefault="008441E3" w:rsidP="008441E3">
            <w:pPr>
              <w:keepNext/>
              <w:snapToGrid w:val="0"/>
              <w:spacing w:after="60"/>
              <w:rPr>
                <w:sz w:val="20"/>
              </w:rPr>
            </w:pPr>
            <w:r w:rsidRPr="00F408EB">
              <w:rPr>
                <w:rFonts w:eastAsia="Advt93-r"/>
                <w:sz w:val="20"/>
              </w:rPr>
              <w:t>Mean I/</w:t>
            </w:r>
            <w:r w:rsidRPr="00F408EB">
              <w:rPr>
                <w:sz w:val="20"/>
              </w:rPr>
              <w:t>(σ (I)</w:t>
            </w:r>
          </w:p>
        </w:tc>
        <w:tc>
          <w:tcPr>
            <w:tcW w:w="1599" w:type="pct"/>
          </w:tcPr>
          <w:p w14:paraId="1976DD77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17.29 (3.49)</w:t>
            </w:r>
          </w:p>
        </w:tc>
        <w:tc>
          <w:tcPr>
            <w:tcW w:w="1696" w:type="pct"/>
          </w:tcPr>
          <w:p w14:paraId="001AE92A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43.31 (6.07)</w:t>
            </w:r>
          </w:p>
        </w:tc>
      </w:tr>
      <w:tr w:rsidR="008441E3" w:rsidRPr="00C22F84" w14:paraId="26889022" w14:textId="77777777" w:rsidTr="008441E3">
        <w:trPr>
          <w:trHeight w:val="251"/>
        </w:trPr>
        <w:tc>
          <w:tcPr>
            <w:tcW w:w="5000" w:type="pct"/>
            <w:gridSpan w:val="3"/>
            <w:vAlign w:val="bottom"/>
          </w:tcPr>
          <w:p w14:paraId="0AD84CC5" w14:textId="77777777" w:rsidR="008441E3" w:rsidRDefault="008441E3" w:rsidP="008441E3">
            <w:pPr>
              <w:keepNext/>
              <w:snapToGrid w:val="0"/>
              <w:rPr>
                <w:rFonts w:eastAsia="Advt93-r"/>
                <w:b/>
                <w:bCs/>
                <w:sz w:val="20"/>
              </w:rPr>
            </w:pPr>
          </w:p>
          <w:p w14:paraId="2705D9FD" w14:textId="77777777" w:rsidR="008441E3" w:rsidRDefault="008441E3" w:rsidP="008441E3">
            <w:pPr>
              <w:keepNext/>
              <w:snapToGrid w:val="0"/>
              <w:rPr>
                <w:rFonts w:eastAsia="Advt93-r"/>
                <w:b/>
                <w:bCs/>
                <w:sz w:val="20"/>
              </w:rPr>
            </w:pPr>
            <w:r w:rsidRPr="00A84CBD">
              <w:rPr>
                <w:rFonts w:eastAsia="Advt93-r"/>
                <w:b/>
                <w:bCs/>
                <w:sz w:val="20"/>
              </w:rPr>
              <w:t xml:space="preserve">Refinement </w:t>
            </w:r>
            <w:r w:rsidRPr="00A84CBD">
              <w:rPr>
                <w:rFonts w:eastAsia="Advt93-r"/>
                <w:b/>
                <w:sz w:val="20"/>
              </w:rPr>
              <w:t>and model building statistics</w:t>
            </w:r>
          </w:p>
        </w:tc>
      </w:tr>
      <w:tr w:rsidR="008441E3" w:rsidRPr="00C22F84" w14:paraId="090D8404" w14:textId="77777777" w:rsidTr="008441E3">
        <w:trPr>
          <w:trHeight w:val="251"/>
        </w:trPr>
        <w:tc>
          <w:tcPr>
            <w:tcW w:w="1705" w:type="pct"/>
            <w:tcBorders>
              <w:top w:val="single" w:sz="4" w:space="0" w:color="000000"/>
            </w:tcBorders>
            <w:vAlign w:val="bottom"/>
          </w:tcPr>
          <w:p w14:paraId="600E3E4B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Resolution Range (Å )</w:t>
            </w:r>
          </w:p>
        </w:tc>
        <w:tc>
          <w:tcPr>
            <w:tcW w:w="1599" w:type="pct"/>
            <w:tcBorders>
              <w:top w:val="single" w:sz="4" w:space="0" w:color="000000"/>
            </w:tcBorders>
            <w:vAlign w:val="bottom"/>
          </w:tcPr>
          <w:p w14:paraId="1D78AA33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38-1.12</w:t>
            </w:r>
          </w:p>
        </w:tc>
        <w:tc>
          <w:tcPr>
            <w:tcW w:w="1696" w:type="pct"/>
            <w:tcBorders>
              <w:top w:val="single" w:sz="4" w:space="0" w:color="000000"/>
            </w:tcBorders>
          </w:tcPr>
          <w:p w14:paraId="39263008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23.81  - 1.70</w:t>
            </w:r>
          </w:p>
        </w:tc>
      </w:tr>
      <w:tr w:rsidR="008441E3" w:rsidRPr="00C22F84" w14:paraId="53D99A7F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668E5083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</w:t>
            </w:r>
            <w:r w:rsidRPr="00F408EB">
              <w:rPr>
                <w:rFonts w:eastAsia="Advt93-r"/>
                <w:sz w:val="20"/>
                <w:vertAlign w:val="subscript"/>
              </w:rPr>
              <w:t xml:space="preserve"> </w:t>
            </w:r>
            <w:r w:rsidRPr="00F408EB">
              <w:rPr>
                <w:rFonts w:eastAsia="Advt93-r"/>
                <w:sz w:val="20"/>
              </w:rPr>
              <w:t>factor (%)</w:t>
            </w:r>
          </w:p>
        </w:tc>
        <w:tc>
          <w:tcPr>
            <w:tcW w:w="1599" w:type="pct"/>
          </w:tcPr>
          <w:p w14:paraId="7CB3A13B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13.</w:t>
            </w:r>
            <w:r>
              <w:rPr>
                <w:rFonts w:eastAsia="Advt93-r"/>
                <w:bCs/>
                <w:sz w:val="20"/>
              </w:rPr>
              <w:t>6</w:t>
            </w:r>
            <w:r w:rsidRPr="00733FEE">
              <w:rPr>
                <w:rFonts w:eastAsia="Advt93-r"/>
                <w:bCs/>
                <w:sz w:val="20"/>
              </w:rPr>
              <w:t>(17.2)</w:t>
            </w:r>
          </w:p>
        </w:tc>
        <w:tc>
          <w:tcPr>
            <w:tcW w:w="1696" w:type="pct"/>
          </w:tcPr>
          <w:p w14:paraId="123D4701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16.2(21.0)</w:t>
            </w:r>
          </w:p>
        </w:tc>
      </w:tr>
      <w:tr w:rsidR="008441E3" w:rsidRPr="00C22F84" w14:paraId="42024A4E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5E08EF9F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</w:t>
            </w:r>
            <w:r w:rsidRPr="00F408EB">
              <w:rPr>
                <w:rFonts w:eastAsia="Advt93-r"/>
                <w:sz w:val="20"/>
                <w:vertAlign w:val="subscript"/>
              </w:rPr>
              <w:t xml:space="preserve"> </w:t>
            </w:r>
            <w:r w:rsidRPr="00F408EB">
              <w:rPr>
                <w:rFonts w:eastAsia="Advt93-r"/>
                <w:sz w:val="20"/>
              </w:rPr>
              <w:t>free (%)</w:t>
            </w:r>
          </w:p>
        </w:tc>
        <w:tc>
          <w:tcPr>
            <w:tcW w:w="1599" w:type="pct"/>
            <w:vAlign w:val="bottom"/>
          </w:tcPr>
          <w:p w14:paraId="17DD9FC6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15.</w:t>
            </w:r>
            <w:r>
              <w:rPr>
                <w:rFonts w:eastAsia="Advt93-r"/>
                <w:bCs/>
                <w:sz w:val="20"/>
              </w:rPr>
              <w:t>1</w:t>
            </w:r>
            <w:r w:rsidRPr="00733FEE">
              <w:rPr>
                <w:rFonts w:eastAsia="Advt93-r"/>
                <w:bCs/>
                <w:sz w:val="20"/>
              </w:rPr>
              <w:t>(17.6)</w:t>
            </w:r>
          </w:p>
        </w:tc>
        <w:tc>
          <w:tcPr>
            <w:tcW w:w="1696" w:type="pct"/>
          </w:tcPr>
          <w:p w14:paraId="2C472FD2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19.7(24.0)</w:t>
            </w:r>
          </w:p>
        </w:tc>
      </w:tr>
      <w:tr w:rsidR="008441E3" w:rsidRPr="00C22F84" w14:paraId="02AED76A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6CE962F5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No. of protein atoms</w:t>
            </w:r>
          </w:p>
        </w:tc>
        <w:tc>
          <w:tcPr>
            <w:tcW w:w="1599" w:type="pct"/>
            <w:vAlign w:val="bottom"/>
          </w:tcPr>
          <w:p w14:paraId="50863BED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2298</w:t>
            </w:r>
          </w:p>
        </w:tc>
        <w:tc>
          <w:tcPr>
            <w:tcW w:w="1696" w:type="pct"/>
          </w:tcPr>
          <w:p w14:paraId="48B5D4BB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2205</w:t>
            </w:r>
          </w:p>
        </w:tc>
      </w:tr>
      <w:tr w:rsidR="008441E3" w:rsidRPr="00C22F84" w14:paraId="584839BF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088AA9F2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No. of water atoms                                                                                           </w:t>
            </w:r>
          </w:p>
        </w:tc>
        <w:tc>
          <w:tcPr>
            <w:tcW w:w="1599" w:type="pct"/>
            <w:vAlign w:val="bottom"/>
          </w:tcPr>
          <w:p w14:paraId="4AA65161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>
              <w:rPr>
                <w:rFonts w:eastAsia="Advt93-r"/>
                <w:bCs/>
                <w:sz w:val="20"/>
              </w:rPr>
              <w:t>250</w:t>
            </w:r>
          </w:p>
        </w:tc>
        <w:tc>
          <w:tcPr>
            <w:tcW w:w="1696" w:type="pct"/>
          </w:tcPr>
          <w:p w14:paraId="698CC401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271</w:t>
            </w:r>
          </w:p>
        </w:tc>
      </w:tr>
      <w:tr w:rsidR="008441E3" w:rsidRPr="00C22F84" w14:paraId="2B461A75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65DC36FE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 xml:space="preserve">No. of </w:t>
            </w:r>
            <w:r>
              <w:rPr>
                <w:rFonts w:eastAsia="Advt93-r"/>
                <w:sz w:val="20"/>
              </w:rPr>
              <w:t>ligand/ion</w:t>
            </w:r>
          </w:p>
        </w:tc>
        <w:tc>
          <w:tcPr>
            <w:tcW w:w="1599" w:type="pct"/>
            <w:vAlign w:val="bottom"/>
          </w:tcPr>
          <w:p w14:paraId="4C36899C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4</w:t>
            </w:r>
            <w:r>
              <w:rPr>
                <w:rFonts w:eastAsia="Advt93-r"/>
                <w:bCs/>
                <w:sz w:val="20"/>
              </w:rPr>
              <w:t>/1</w:t>
            </w:r>
          </w:p>
        </w:tc>
        <w:tc>
          <w:tcPr>
            <w:tcW w:w="1696" w:type="pct"/>
          </w:tcPr>
          <w:p w14:paraId="634A0F9E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</w:t>
            </w:r>
            <w:r>
              <w:rPr>
                <w:rFonts w:eastAsia="Advt93-r"/>
                <w:bCs/>
                <w:sz w:val="20"/>
              </w:rPr>
              <w:t>/1</w:t>
            </w:r>
          </w:p>
        </w:tc>
      </w:tr>
      <w:tr w:rsidR="008441E3" w:rsidRPr="00C22F84" w14:paraId="5C6DE62A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3B71D039" w14:textId="77777777" w:rsidR="008441E3" w:rsidRPr="00A84CBD" w:rsidRDefault="008441E3" w:rsidP="008441E3">
            <w:pPr>
              <w:keepNext/>
              <w:snapToGrid w:val="0"/>
              <w:rPr>
                <w:rFonts w:eastAsia="Advt93-r"/>
                <w:b/>
                <w:sz w:val="20"/>
              </w:rPr>
            </w:pPr>
            <w:proofErr w:type="spellStart"/>
            <w:r w:rsidRPr="00A84CBD">
              <w:rPr>
                <w:rFonts w:eastAsia="Advt93-r"/>
                <w:b/>
                <w:sz w:val="20"/>
              </w:rPr>
              <w:t>R.m.s</w:t>
            </w:r>
            <w:proofErr w:type="spellEnd"/>
            <w:r w:rsidRPr="00A84CBD">
              <w:rPr>
                <w:rFonts w:eastAsia="Advt93-r"/>
                <w:b/>
                <w:sz w:val="20"/>
              </w:rPr>
              <w:t>. deviations from ideal geometry</w:t>
            </w:r>
          </w:p>
        </w:tc>
        <w:tc>
          <w:tcPr>
            <w:tcW w:w="1599" w:type="pct"/>
            <w:vAlign w:val="bottom"/>
          </w:tcPr>
          <w:p w14:paraId="184DECC2" w14:textId="77777777" w:rsidR="008441E3" w:rsidRPr="00733FEE" w:rsidRDefault="008441E3" w:rsidP="008441E3">
            <w:pPr>
              <w:keepNext/>
              <w:snapToGrid w:val="0"/>
              <w:jc w:val="right"/>
              <w:rPr>
                <w:rFonts w:eastAsia="Advt93-r"/>
                <w:bCs/>
                <w:sz w:val="20"/>
              </w:rPr>
            </w:pPr>
          </w:p>
        </w:tc>
        <w:tc>
          <w:tcPr>
            <w:tcW w:w="1696" w:type="pct"/>
          </w:tcPr>
          <w:p w14:paraId="00807DFC" w14:textId="77777777" w:rsidR="008441E3" w:rsidRPr="00733FEE" w:rsidRDefault="008441E3" w:rsidP="008441E3">
            <w:pPr>
              <w:keepNext/>
              <w:snapToGrid w:val="0"/>
              <w:jc w:val="right"/>
              <w:rPr>
                <w:rFonts w:eastAsia="Advt93-r"/>
                <w:bCs/>
                <w:sz w:val="20"/>
              </w:rPr>
            </w:pPr>
          </w:p>
        </w:tc>
      </w:tr>
      <w:tr w:rsidR="008441E3" w:rsidRPr="00C22F84" w14:paraId="6684E320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7F23CD3F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Bond distances (Å )</w:t>
            </w:r>
          </w:p>
        </w:tc>
        <w:tc>
          <w:tcPr>
            <w:tcW w:w="1599" w:type="pct"/>
            <w:vAlign w:val="bottom"/>
          </w:tcPr>
          <w:p w14:paraId="1B85D616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0.012</w:t>
            </w:r>
          </w:p>
        </w:tc>
        <w:tc>
          <w:tcPr>
            <w:tcW w:w="1696" w:type="pct"/>
          </w:tcPr>
          <w:p w14:paraId="7872C88E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0.007</w:t>
            </w:r>
          </w:p>
        </w:tc>
      </w:tr>
      <w:tr w:rsidR="008441E3" w:rsidRPr="00C22F84" w14:paraId="3D682B41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130A1FEA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Bond angles (</w:t>
            </w:r>
            <w:r w:rsidRPr="00F408EB">
              <w:rPr>
                <w:rFonts w:eastAsia="Advt93-r"/>
                <w:sz w:val="20"/>
                <w:vertAlign w:val="superscript"/>
              </w:rPr>
              <w:t>o</w:t>
            </w:r>
            <w:r w:rsidRPr="00F408EB">
              <w:rPr>
                <w:rFonts w:eastAsia="Advt93-r"/>
                <w:sz w:val="20"/>
              </w:rPr>
              <w:t>)</w:t>
            </w:r>
          </w:p>
        </w:tc>
        <w:tc>
          <w:tcPr>
            <w:tcW w:w="1599" w:type="pct"/>
          </w:tcPr>
          <w:p w14:paraId="06770CF5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1.7</w:t>
            </w:r>
          </w:p>
        </w:tc>
        <w:tc>
          <w:tcPr>
            <w:tcW w:w="1696" w:type="pct"/>
          </w:tcPr>
          <w:p w14:paraId="2038C848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1.10</w:t>
            </w:r>
          </w:p>
        </w:tc>
      </w:tr>
      <w:tr w:rsidR="008441E3" w:rsidRPr="00C22F84" w14:paraId="4FDE4EB4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60501FD3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Ramachandran plot</w:t>
            </w:r>
          </w:p>
        </w:tc>
        <w:tc>
          <w:tcPr>
            <w:tcW w:w="1599" w:type="pct"/>
          </w:tcPr>
          <w:p w14:paraId="7CE1B8DE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</w:p>
        </w:tc>
        <w:tc>
          <w:tcPr>
            <w:tcW w:w="1696" w:type="pct"/>
          </w:tcPr>
          <w:p w14:paraId="7A7E06F8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</w:p>
        </w:tc>
      </w:tr>
      <w:tr w:rsidR="008441E3" w:rsidRPr="00C22F84" w14:paraId="4CC199CA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1E7E3DEA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>
              <w:rPr>
                <w:rFonts w:eastAsia="Advt93-r"/>
                <w:sz w:val="20"/>
              </w:rPr>
              <w:t>Residues in most favo</w:t>
            </w:r>
            <w:r w:rsidRPr="00F408EB">
              <w:rPr>
                <w:rFonts w:eastAsia="Advt93-r"/>
                <w:sz w:val="20"/>
              </w:rPr>
              <w:t xml:space="preserve">red regions (%) </w:t>
            </w:r>
          </w:p>
        </w:tc>
        <w:tc>
          <w:tcPr>
            <w:tcW w:w="1599" w:type="pct"/>
          </w:tcPr>
          <w:p w14:paraId="6C19EA69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98.04</w:t>
            </w:r>
          </w:p>
        </w:tc>
        <w:tc>
          <w:tcPr>
            <w:tcW w:w="1696" w:type="pct"/>
          </w:tcPr>
          <w:p w14:paraId="3942A506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98.05</w:t>
            </w:r>
          </w:p>
        </w:tc>
      </w:tr>
      <w:tr w:rsidR="008441E3" w:rsidRPr="00C22F84" w14:paraId="4D0A0A64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3A35C69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Residues in additional allowed regions (%)</w:t>
            </w:r>
          </w:p>
        </w:tc>
        <w:tc>
          <w:tcPr>
            <w:tcW w:w="1599" w:type="pct"/>
          </w:tcPr>
          <w:p w14:paraId="3C1000B2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1.57</w:t>
            </w:r>
          </w:p>
        </w:tc>
        <w:tc>
          <w:tcPr>
            <w:tcW w:w="1696" w:type="pct"/>
          </w:tcPr>
          <w:p w14:paraId="4CF779D7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2.0</w:t>
            </w:r>
          </w:p>
        </w:tc>
      </w:tr>
      <w:tr w:rsidR="008441E3" w:rsidRPr="00C22F84" w14:paraId="46760B3E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153D7DA4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Residues in disallowed regions (%)</w:t>
            </w:r>
          </w:p>
        </w:tc>
        <w:tc>
          <w:tcPr>
            <w:tcW w:w="1599" w:type="pct"/>
          </w:tcPr>
          <w:p w14:paraId="7309B1D9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0.0</w:t>
            </w:r>
          </w:p>
        </w:tc>
        <w:tc>
          <w:tcPr>
            <w:tcW w:w="1696" w:type="pct"/>
          </w:tcPr>
          <w:p w14:paraId="55F8D7A7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 xml:space="preserve">0.0   </w:t>
            </w:r>
          </w:p>
        </w:tc>
      </w:tr>
      <w:tr w:rsidR="008441E3" w:rsidRPr="00C22F84" w14:paraId="70089D51" w14:textId="77777777" w:rsidTr="008441E3">
        <w:trPr>
          <w:trHeight w:val="251"/>
        </w:trPr>
        <w:tc>
          <w:tcPr>
            <w:tcW w:w="1705" w:type="pct"/>
            <w:vAlign w:val="bottom"/>
          </w:tcPr>
          <w:p w14:paraId="399A20BE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  <w:r w:rsidRPr="00F408EB">
              <w:rPr>
                <w:rFonts w:eastAsia="Advt93-r"/>
                <w:sz w:val="20"/>
              </w:rPr>
              <w:t>Average B-factor (Å</w:t>
            </w:r>
            <w:r w:rsidRPr="00F408EB">
              <w:rPr>
                <w:rFonts w:eastAsia="Advt93-r"/>
                <w:sz w:val="20"/>
                <w:vertAlign w:val="superscript"/>
              </w:rPr>
              <w:t>2</w:t>
            </w:r>
            <w:r w:rsidRPr="00F408EB">
              <w:rPr>
                <w:rFonts w:eastAsia="Advt93-r"/>
                <w:sz w:val="20"/>
              </w:rPr>
              <w:t>)</w:t>
            </w:r>
            <w:r>
              <w:rPr>
                <w:rFonts w:eastAsia="Advt93-r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599" w:type="pct"/>
          </w:tcPr>
          <w:p w14:paraId="68E6DCFB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rFonts w:eastAsia="Advt93-r"/>
                <w:bCs/>
                <w:sz w:val="20"/>
              </w:rPr>
              <w:t>18.2</w:t>
            </w:r>
          </w:p>
        </w:tc>
        <w:tc>
          <w:tcPr>
            <w:tcW w:w="1696" w:type="pct"/>
          </w:tcPr>
          <w:p w14:paraId="7BB87FB8" w14:textId="77777777" w:rsidR="008441E3" w:rsidRPr="00733FEE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  <w:r w:rsidRPr="00733FEE">
              <w:rPr>
                <w:sz w:val="20"/>
              </w:rPr>
              <w:t>19.8</w:t>
            </w:r>
          </w:p>
        </w:tc>
      </w:tr>
      <w:tr w:rsidR="008441E3" w:rsidRPr="00C22F84" w14:paraId="666CDCD1" w14:textId="77777777" w:rsidTr="008441E3">
        <w:trPr>
          <w:trHeight w:val="251"/>
        </w:trPr>
        <w:tc>
          <w:tcPr>
            <w:tcW w:w="1705" w:type="pct"/>
            <w:tcBorders>
              <w:bottom w:val="single" w:sz="4" w:space="0" w:color="auto"/>
            </w:tcBorders>
            <w:vAlign w:val="bottom"/>
          </w:tcPr>
          <w:p w14:paraId="158826C9" w14:textId="77777777" w:rsidR="008441E3" w:rsidRPr="00F408EB" w:rsidRDefault="008441E3" w:rsidP="008441E3">
            <w:pPr>
              <w:keepNext/>
              <w:snapToGrid w:val="0"/>
              <w:spacing w:after="60"/>
              <w:rPr>
                <w:rFonts w:eastAsia="Advt93-r"/>
                <w:sz w:val="20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</w:tcPr>
          <w:p w14:paraId="2344B853" w14:textId="77777777" w:rsidR="008441E3" w:rsidRPr="00A84CBD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14:paraId="1E6010AF" w14:textId="77777777" w:rsidR="008441E3" w:rsidRPr="00A84CBD" w:rsidRDefault="008441E3" w:rsidP="008441E3">
            <w:pPr>
              <w:keepNext/>
              <w:snapToGrid w:val="0"/>
              <w:spacing w:after="60"/>
              <w:jc w:val="right"/>
              <w:rPr>
                <w:rFonts w:eastAsia="Advt93-r"/>
                <w:bCs/>
                <w:sz w:val="20"/>
              </w:rPr>
            </w:pPr>
          </w:p>
        </w:tc>
      </w:tr>
      <w:tr w:rsidR="008441E3" w:rsidRPr="00C22F84" w14:paraId="2E1AEAE7" w14:textId="77777777" w:rsidTr="008441E3">
        <w:trPr>
          <w:trHeight w:val="251"/>
        </w:trPr>
        <w:tc>
          <w:tcPr>
            <w:tcW w:w="5000" w:type="pct"/>
            <w:gridSpan w:val="3"/>
            <w:vAlign w:val="bottom"/>
          </w:tcPr>
          <w:p w14:paraId="7960368F" w14:textId="77777777" w:rsidR="008441E3" w:rsidRDefault="008441E3" w:rsidP="008441E3">
            <w:pPr>
              <w:pStyle w:val="FETableFootnote"/>
              <w:rPr>
                <w:color w:val="000000"/>
                <w:lang w:eastAsia="ar-SA"/>
              </w:rPr>
            </w:pPr>
            <w:r w:rsidRPr="0024573C">
              <w:rPr>
                <w:rFonts w:eastAsia="Advt93-r"/>
              </w:rPr>
              <w:t>†</w:t>
            </w:r>
            <w:proofErr w:type="spellStart"/>
            <w:r w:rsidRPr="0024573C">
              <w:rPr>
                <w:rFonts w:eastAsia="Advt93-r"/>
              </w:rPr>
              <w:t>Rmerge</w:t>
            </w:r>
            <w:proofErr w:type="spellEnd"/>
            <w:r w:rsidRPr="0024573C">
              <w:rPr>
                <w:rFonts w:eastAsia="Advt93-r"/>
              </w:rPr>
              <w:t xml:space="preserve"> = ∑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 xml:space="preserve"> ∑</w:t>
            </w:r>
            <w:proofErr w:type="spellStart"/>
            <w:r w:rsidRPr="0024573C">
              <w:rPr>
                <w:rFonts w:eastAsia="Advt93-r"/>
              </w:rPr>
              <w:t>i</w:t>
            </w:r>
            <w:proofErr w:type="spellEnd"/>
            <w:r w:rsidRPr="0024573C">
              <w:rPr>
                <w:rFonts w:eastAsia="Advt93-r"/>
              </w:rPr>
              <w:t xml:space="preserve"> | Ii {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>} – {I (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>)} | ⁄ ∑</w:t>
            </w:r>
            <w:proofErr w:type="spellStart"/>
            <w:r w:rsidRPr="0024573C">
              <w:rPr>
                <w:rFonts w:eastAsia="Advt93-r"/>
              </w:rPr>
              <w:t>hkl∑i</w:t>
            </w:r>
            <w:proofErr w:type="spellEnd"/>
            <w:r w:rsidRPr="0024573C">
              <w:rPr>
                <w:rFonts w:eastAsia="Advt93-r"/>
              </w:rPr>
              <w:t xml:space="preserve"> Ii (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>), where {I (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>)} is the mean intensity of the observations Ii (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 xml:space="preserve">) of reﬂection </w:t>
            </w:r>
            <w:proofErr w:type="spellStart"/>
            <w:r w:rsidRPr="0024573C">
              <w:rPr>
                <w:rFonts w:eastAsia="Advt93-r"/>
              </w:rPr>
              <w:t>hkl</w:t>
            </w:r>
            <w:proofErr w:type="spellEnd"/>
            <w:r w:rsidRPr="0024573C">
              <w:rPr>
                <w:rFonts w:eastAsia="Advt93-r"/>
              </w:rPr>
              <w:t xml:space="preserve">. </w:t>
            </w:r>
            <w:r w:rsidRPr="0024573C">
              <w:rPr>
                <w:color w:val="000000"/>
                <w:lang w:eastAsia="ar-SA"/>
              </w:rPr>
              <w:t xml:space="preserve"> </w:t>
            </w:r>
            <w:proofErr w:type="spellStart"/>
            <w:r w:rsidRPr="0024573C">
              <w:rPr>
                <w:color w:val="000000"/>
                <w:lang w:eastAsia="ar-SA"/>
              </w:rPr>
              <w:t>R</w:t>
            </w:r>
            <w:r w:rsidRPr="0024573C">
              <w:rPr>
                <w:color w:val="000000"/>
                <w:vertAlign w:val="subscript"/>
                <w:lang w:eastAsia="ar-SA"/>
              </w:rPr>
              <w:t>free</w:t>
            </w:r>
            <w:proofErr w:type="spellEnd"/>
            <w:r w:rsidRPr="0024573C">
              <w:rPr>
                <w:color w:val="000000"/>
                <w:lang w:eastAsia="ar-SA"/>
              </w:rPr>
              <w:t xml:space="preserve"> is</w:t>
            </w:r>
            <w:r w:rsidRPr="0024573C">
              <w:rPr>
                <w:color w:val="000000"/>
                <w:vertAlign w:val="superscript"/>
                <w:lang w:eastAsia="ar-SA"/>
              </w:rPr>
              <w:t xml:space="preserve"> </w:t>
            </w:r>
            <w:r w:rsidRPr="0024573C">
              <w:rPr>
                <w:color w:val="000000"/>
                <w:lang w:eastAsia="ar-SA"/>
              </w:rPr>
              <w:t>based upon 5% of the data randomly culled and not used in the refinement.</w:t>
            </w:r>
          </w:p>
          <w:p w14:paraId="4BFF1388" w14:textId="77777777" w:rsidR="008441E3" w:rsidRDefault="008441E3" w:rsidP="008441E3"/>
          <w:p w14:paraId="7B19F6B8" w14:textId="77777777" w:rsidR="008441E3" w:rsidRPr="004F648D" w:rsidRDefault="008441E3" w:rsidP="008441E3"/>
        </w:tc>
      </w:tr>
    </w:tbl>
    <w:p w14:paraId="4D027B9F" w14:textId="77777777" w:rsidR="00F35C62" w:rsidRDefault="00F35C62" w:rsidP="008441E3">
      <w:pPr>
        <w:spacing w:line="360" w:lineRule="auto"/>
        <w:rPr>
          <w:b/>
        </w:rPr>
      </w:pPr>
      <w:bookmarkStart w:id="0" w:name="_GoBack"/>
      <w:bookmarkEnd w:id="0"/>
    </w:p>
    <w:sectPr w:rsidR="00F35C62" w:rsidSect="000B5610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9E51" w14:textId="77777777" w:rsidR="003D374F" w:rsidRDefault="003D374F">
      <w:r>
        <w:separator/>
      </w:r>
    </w:p>
  </w:endnote>
  <w:endnote w:type="continuationSeparator" w:id="0">
    <w:p w14:paraId="49FDFF87" w14:textId="77777777" w:rsidR="003D374F" w:rsidRDefault="003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vt93-r">
    <w:altName w:val="MS Mincho"/>
    <w:charset w:val="8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CF71" w14:textId="77777777" w:rsidR="00A053AB" w:rsidRDefault="00A0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6CE7C" w14:textId="77777777" w:rsidR="00A053AB" w:rsidRDefault="00A0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FD26" w14:textId="77777777" w:rsidR="00A053AB" w:rsidRDefault="00A0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1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06C2D" w14:textId="77777777" w:rsidR="00A053AB" w:rsidRDefault="00A0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984CD" w14:textId="77777777" w:rsidR="003D374F" w:rsidRDefault="003D374F">
      <w:r>
        <w:separator/>
      </w:r>
    </w:p>
  </w:footnote>
  <w:footnote w:type="continuationSeparator" w:id="0">
    <w:p w14:paraId="0AF40DC1" w14:textId="77777777" w:rsidR="003D374F" w:rsidRDefault="003D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34F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CE1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B2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9F02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51CA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087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5A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98B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2E9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A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7EC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F4EEE"/>
    <w:multiLevelType w:val="hybridMultilevel"/>
    <w:tmpl w:val="BF7ED7F0"/>
    <w:lvl w:ilvl="0" w:tplc="83A4A7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8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A9"/>
    <w:rsid w:val="00015D82"/>
    <w:rsid w:val="0005660F"/>
    <w:rsid w:val="000702AD"/>
    <w:rsid w:val="000B5610"/>
    <w:rsid w:val="000C05CC"/>
    <w:rsid w:val="00194EA9"/>
    <w:rsid w:val="001A7A90"/>
    <w:rsid w:val="00212B1D"/>
    <w:rsid w:val="00291467"/>
    <w:rsid w:val="002A7493"/>
    <w:rsid w:val="002C3431"/>
    <w:rsid w:val="002C4C32"/>
    <w:rsid w:val="003138BA"/>
    <w:rsid w:val="003664E9"/>
    <w:rsid w:val="003679A1"/>
    <w:rsid w:val="003A6119"/>
    <w:rsid w:val="003B4AF3"/>
    <w:rsid w:val="003D374F"/>
    <w:rsid w:val="00475FD2"/>
    <w:rsid w:val="004E7185"/>
    <w:rsid w:val="004F6052"/>
    <w:rsid w:val="00507E78"/>
    <w:rsid w:val="005609AF"/>
    <w:rsid w:val="00591A57"/>
    <w:rsid w:val="005D0C10"/>
    <w:rsid w:val="0061736B"/>
    <w:rsid w:val="006455A5"/>
    <w:rsid w:val="00671AE4"/>
    <w:rsid w:val="006B2581"/>
    <w:rsid w:val="006D0EA2"/>
    <w:rsid w:val="00712254"/>
    <w:rsid w:val="007629D3"/>
    <w:rsid w:val="00780566"/>
    <w:rsid w:val="007B653B"/>
    <w:rsid w:val="007E3770"/>
    <w:rsid w:val="008047DE"/>
    <w:rsid w:val="00812CB6"/>
    <w:rsid w:val="008441E3"/>
    <w:rsid w:val="008655C0"/>
    <w:rsid w:val="008E3B2B"/>
    <w:rsid w:val="008F039F"/>
    <w:rsid w:val="00912169"/>
    <w:rsid w:val="0092037A"/>
    <w:rsid w:val="009246AD"/>
    <w:rsid w:val="009925F8"/>
    <w:rsid w:val="009F2E7E"/>
    <w:rsid w:val="00A02D62"/>
    <w:rsid w:val="00A053AB"/>
    <w:rsid w:val="00A1751B"/>
    <w:rsid w:val="00A20EB5"/>
    <w:rsid w:val="00A726F3"/>
    <w:rsid w:val="00A764EF"/>
    <w:rsid w:val="00AB34C5"/>
    <w:rsid w:val="00B552F6"/>
    <w:rsid w:val="00B73527"/>
    <w:rsid w:val="00B7618D"/>
    <w:rsid w:val="00BD2C44"/>
    <w:rsid w:val="00C10EE0"/>
    <w:rsid w:val="00C12556"/>
    <w:rsid w:val="00C5263A"/>
    <w:rsid w:val="00D00C89"/>
    <w:rsid w:val="00D32E24"/>
    <w:rsid w:val="00D77FEE"/>
    <w:rsid w:val="00DD6DBB"/>
    <w:rsid w:val="00E074F2"/>
    <w:rsid w:val="00E57170"/>
    <w:rsid w:val="00E91482"/>
    <w:rsid w:val="00E96302"/>
    <w:rsid w:val="00F134F5"/>
    <w:rsid w:val="00F35C62"/>
    <w:rsid w:val="00F47B85"/>
    <w:rsid w:val="00F550E4"/>
    <w:rsid w:val="00F5645C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2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3">
    <w:name w:val="heading 3"/>
    <w:basedOn w:val="Normal"/>
    <w:next w:val="BodyText"/>
    <w:link w:val="Heading3Char"/>
    <w:qFormat/>
    <w:rsid w:val="00A1751B"/>
    <w:pPr>
      <w:keepNext/>
      <w:numPr>
        <w:ilvl w:val="2"/>
        <w:numId w:val="9"/>
      </w:numPr>
      <w:tabs>
        <w:tab w:val="left" w:pos="0"/>
      </w:tabs>
      <w:suppressAutoHyphens/>
      <w:spacing w:before="240" w:after="120" w:line="276" w:lineRule="auto"/>
      <w:jc w:val="left"/>
      <w:outlineLvl w:val="2"/>
    </w:pPr>
    <w:rPr>
      <w:rFonts w:ascii="Thorndale AMT" w:eastAsia="Albany AMT" w:hAnsi="Thorndale AMT" w:cs="Lucidasans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4EA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4EA9"/>
    <w:rPr>
      <w:rFonts w:ascii="Times" w:hAnsi="Times"/>
      <w:sz w:val="24"/>
    </w:rPr>
  </w:style>
  <w:style w:type="character" w:customStyle="1" w:styleId="Heading3Char">
    <w:name w:val="Heading 3 Char"/>
    <w:basedOn w:val="DefaultParagraphFont"/>
    <w:link w:val="Heading3"/>
    <w:rsid w:val="00A1751B"/>
    <w:rPr>
      <w:rFonts w:ascii="Thorndale AMT" w:eastAsia="Albany AMT" w:hAnsi="Thorndale AMT" w:cs="Lucidasans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A1751B"/>
    <w:rPr>
      <w:rFonts w:ascii="Times" w:hAnsi="Times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3">
    <w:name w:val="heading 3"/>
    <w:basedOn w:val="Normal"/>
    <w:next w:val="BodyText"/>
    <w:link w:val="Heading3Char"/>
    <w:qFormat/>
    <w:rsid w:val="00A1751B"/>
    <w:pPr>
      <w:keepNext/>
      <w:numPr>
        <w:ilvl w:val="2"/>
        <w:numId w:val="9"/>
      </w:numPr>
      <w:tabs>
        <w:tab w:val="left" w:pos="0"/>
      </w:tabs>
      <w:suppressAutoHyphens/>
      <w:spacing w:before="240" w:after="120" w:line="276" w:lineRule="auto"/>
      <w:jc w:val="left"/>
      <w:outlineLvl w:val="2"/>
    </w:pPr>
    <w:rPr>
      <w:rFonts w:ascii="Thorndale AMT" w:eastAsia="Albany AMT" w:hAnsi="Thorndale AMT" w:cs="Lucidasans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4EA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4EA9"/>
    <w:rPr>
      <w:rFonts w:ascii="Times" w:hAnsi="Times"/>
      <w:sz w:val="24"/>
    </w:rPr>
  </w:style>
  <w:style w:type="character" w:customStyle="1" w:styleId="Heading3Char">
    <w:name w:val="Heading 3 Char"/>
    <w:basedOn w:val="DefaultParagraphFont"/>
    <w:link w:val="Heading3"/>
    <w:rsid w:val="00A1751B"/>
    <w:rPr>
      <w:rFonts w:ascii="Thorndale AMT" w:eastAsia="Albany AMT" w:hAnsi="Thorndale AMT" w:cs="Lucidasans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A1751B"/>
    <w:rPr>
      <w:rFonts w:ascii="Times" w:hAnsi="Time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2224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Irina</dc:creator>
  <cp:keywords/>
  <cp:lastModifiedBy>Irina</cp:lastModifiedBy>
  <cp:revision>10</cp:revision>
  <cp:lastPrinted>2015-03-04T15:52:00Z</cp:lastPrinted>
  <dcterms:created xsi:type="dcterms:W3CDTF">2015-03-04T17:49:00Z</dcterms:created>
  <dcterms:modified xsi:type="dcterms:W3CDTF">2015-04-12T15:20:00Z</dcterms:modified>
</cp:coreProperties>
</file>