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E30" w:rsidRPr="00E23105" w:rsidRDefault="004F3E30" w:rsidP="004F3E30">
      <w:pPr>
        <w:pStyle w:val="ThesisSubsubsection"/>
        <w:spacing w:before="0" w:after="0" w:line="480" w:lineRule="auto"/>
        <w:jc w:val="left"/>
        <w:rPr>
          <w:color w:val="auto"/>
          <w:lang w:val="en-GB"/>
        </w:rPr>
      </w:pPr>
      <w:r w:rsidRPr="00E23105">
        <w:rPr>
          <w:noProof w:val="0"/>
          <w:color w:val="auto"/>
          <w:lang w:val="en-GB"/>
        </w:rPr>
        <w:t>Site comparisons</w:t>
      </w:r>
    </w:p>
    <w:p w:rsidR="00766FF9" w:rsidRDefault="00766FF9" w:rsidP="00766FF9">
      <w:pPr>
        <w:pStyle w:val="ThesisMain"/>
      </w:pPr>
      <w:r>
        <w:t xml:space="preserve">The sampling from three diverse climates and vegetation types broadened significantly the number and diversity of species studied here (see Table 1 </w:t>
      </w:r>
      <w:r w:rsidR="00665539">
        <w:t xml:space="preserve">in the main </w:t>
      </w:r>
      <w:r w:rsidR="001B2383">
        <w:t>article</w:t>
      </w:r>
      <w:r w:rsidR="00665539">
        <w:t xml:space="preserve"> </w:t>
      </w:r>
      <w:r>
        <w:t xml:space="preserve">for site details). However, due to the </w:t>
      </w:r>
      <w:r w:rsidR="009D2C5F">
        <w:t>lack of</w:t>
      </w:r>
      <w:r>
        <w:t xml:space="preserve"> site replication within a given climate</w:t>
      </w:r>
      <w:r w:rsidR="00ED5038">
        <w:t xml:space="preserve"> and non-random species selection</w:t>
      </w:r>
      <w:r>
        <w:t>, it is not possible to draw reliable con</w:t>
      </w:r>
      <w:r w:rsidR="009D2C5F">
        <w:t>clusions about climate/vegetation type differences and only tentati</w:t>
      </w:r>
      <w:r w:rsidR="00067434">
        <w:t xml:space="preserve">ve observations </w:t>
      </w:r>
      <w:r w:rsidR="00C21E1A">
        <w:t xml:space="preserve">and interpretations </w:t>
      </w:r>
      <w:r w:rsidR="00067434">
        <w:t>can be made</w:t>
      </w:r>
      <w:r w:rsidR="00ED5038">
        <w:t>.</w:t>
      </w:r>
    </w:p>
    <w:p w:rsidR="00766FF9" w:rsidRDefault="00766FF9" w:rsidP="00766FF9">
      <w:pPr>
        <w:pStyle w:val="ThesisMain"/>
      </w:pPr>
      <w:r w:rsidRPr="00766FF9">
        <w:t>To compare the sites one-way ANOVA was used (Holm-Šidák post-hoc test) for normally distributed traits with equal variances. For the traits</w:t>
      </w:r>
      <w:r w:rsidR="00C21E1A">
        <w:t xml:space="preserve"> with not normal distributions</w:t>
      </w:r>
      <w:r w:rsidRPr="00766FF9">
        <w:t xml:space="preserve"> or unequal variances, ANOVA on ranks was used (Kruskal-Wallis test, Dunn’s post-hoc test). The alpha level of performed tests was 0.05.</w:t>
      </w:r>
      <w:r w:rsidR="00C21E1A">
        <w:t xml:space="preserve"> Table </w:t>
      </w:r>
      <w:r w:rsidR="001B2383">
        <w:t>1</w:t>
      </w:r>
      <w:r w:rsidR="00182018" w:rsidRPr="00E23105">
        <w:t xml:space="preserve"> </w:t>
      </w:r>
      <w:r w:rsidR="00182018">
        <w:t xml:space="preserve">summarizes </w:t>
      </w:r>
      <w:r w:rsidR="00182018" w:rsidRPr="00E23105">
        <w:t>site means, medians, and ANOVA r</w:t>
      </w:r>
      <w:r w:rsidR="00182018">
        <w:t>esults with significance values.</w:t>
      </w:r>
    </w:p>
    <w:p w:rsidR="004F3E30" w:rsidRPr="00E23105" w:rsidRDefault="004F3E30" w:rsidP="004F3E30">
      <w:pPr>
        <w:pStyle w:val="ThesisMain"/>
      </w:pPr>
      <w:r>
        <w:t>T</w:t>
      </w:r>
      <w:r w:rsidRPr="00E23105">
        <w:t xml:space="preserve">here were significant differences between sites in parenchyma traits. Total parenchyma was most abundant in the tropical rainforest (fraction median = 0.39, Fig. </w:t>
      </w:r>
      <w:r w:rsidR="001B2383">
        <w:t>1</w:t>
      </w:r>
      <w:r w:rsidRPr="00E23105">
        <w:t xml:space="preserve">A), and this mainly resulted from ray fraction being highest in that site (median = 0.23 </w:t>
      </w:r>
      <w:r w:rsidRPr="00905EB1">
        <w:rPr>
          <w:i/>
        </w:rPr>
        <w:t>vs</w:t>
      </w:r>
      <w:r w:rsidRPr="00E23105">
        <w:t xml:space="preserve">. 0.16 in the tropical woodland and 0.15 in the temperate forest, Fig. </w:t>
      </w:r>
      <w:r w:rsidR="001B2383">
        <w:t>1</w:t>
      </w:r>
      <w:r w:rsidRPr="00E23105">
        <w:t xml:space="preserve">B). Average axial </w:t>
      </w:r>
      <w:proofErr w:type="gramStart"/>
      <w:r w:rsidRPr="00E23105">
        <w:t>parenchyma</w:t>
      </w:r>
      <w:proofErr w:type="gramEnd"/>
      <w:r w:rsidRPr="00E23105">
        <w:t xml:space="preserve"> fraction was similar across the three sites (0.15 in the tropical rainforest, 0.14 in the tropical woodland and 0.10 in the temperate forest, Fig. </w:t>
      </w:r>
      <w:r w:rsidR="001B2383">
        <w:t>1</w:t>
      </w:r>
      <w:r w:rsidRPr="00E23105">
        <w:t xml:space="preserve">C). </w:t>
      </w:r>
      <w:r>
        <w:t>P</w:t>
      </w:r>
      <w:r w:rsidRPr="00E23105">
        <w:t xml:space="preserve">arenchyma traits </w:t>
      </w:r>
      <w:r>
        <w:t xml:space="preserve">did not </w:t>
      </w:r>
      <w:r w:rsidRPr="00E23105">
        <w:t xml:space="preserve">differ significantly between the tropical woodland and the temperate forest. </w:t>
      </w:r>
    </w:p>
    <w:p w:rsidR="004F3E30" w:rsidRPr="00E23105" w:rsidRDefault="004F3E30" w:rsidP="004F3E30">
      <w:pPr>
        <w:pStyle w:val="ThesisMain"/>
      </w:pPr>
      <w:r>
        <w:t>Average v</w:t>
      </w:r>
      <w:r w:rsidRPr="00E23105">
        <w:t xml:space="preserve">essel area was significantly smaller </w:t>
      </w:r>
      <w:r>
        <w:t>at</w:t>
      </w:r>
      <w:r w:rsidRPr="00E23105">
        <w:t xml:space="preserve"> the </w:t>
      </w:r>
      <w:r>
        <w:t xml:space="preserve">cool </w:t>
      </w:r>
      <w:r w:rsidRPr="00E23105">
        <w:t>temperate forest site th</w:t>
      </w:r>
      <w:r w:rsidR="00A16C85">
        <w:t>e</w:t>
      </w:r>
      <w:r w:rsidRPr="00E23105">
        <w:t xml:space="preserve">n </w:t>
      </w:r>
      <w:r>
        <w:t>at</w:t>
      </w:r>
      <w:r w:rsidRPr="00E23105">
        <w:t xml:space="preserve"> the two tropical sites</w:t>
      </w:r>
      <w:r>
        <w:t>. B</w:t>
      </w:r>
      <w:r w:rsidRPr="00E23105">
        <w:t xml:space="preserve">etween those two tropical sites, which have similar temperature but markedly different rainfall, vessel area did not differ significantly (Fig. </w:t>
      </w:r>
      <w:r w:rsidR="001B2383">
        <w:lastRenderedPageBreak/>
        <w:t>1</w:t>
      </w:r>
      <w:r w:rsidRPr="00E23105">
        <w:t>D). Hydraulically weighted diameter mirrored the patterns of vessel area</w:t>
      </w:r>
      <w:r>
        <w:t>,</w:t>
      </w:r>
      <w:r w:rsidRPr="00E23105">
        <w:t xml:space="preserve"> but with even more pronounced site differences. </w:t>
      </w:r>
      <w:r>
        <w:t>C</w:t>
      </w:r>
      <w:r w:rsidRPr="00E23105">
        <w:t>onduits</w:t>
      </w:r>
      <w:r w:rsidRPr="00E23105">
        <w:rPr>
          <w:vertAlign w:val="subscript"/>
        </w:rPr>
        <w:t>15μm</w:t>
      </w:r>
      <w:r w:rsidRPr="00E23105">
        <w:t xml:space="preserve"> </w:t>
      </w:r>
      <w:r>
        <w:t xml:space="preserve">are </w:t>
      </w:r>
      <w:r w:rsidRPr="00E23105">
        <w:t xml:space="preserve">a potentially </w:t>
      </w:r>
      <w:r w:rsidR="00612CF0" w:rsidRPr="00E23105">
        <w:t xml:space="preserve">conductive </w:t>
      </w:r>
      <w:r w:rsidR="00612CF0">
        <w:t>tissue</w:t>
      </w:r>
      <w:r w:rsidRPr="00E23105">
        <w:t xml:space="preserve"> composed of very narrow cells (maximum lumen diameter smaller than 15μm). Conduits</w:t>
      </w:r>
      <w:r w:rsidRPr="00E23105">
        <w:rPr>
          <w:vertAlign w:val="subscript"/>
        </w:rPr>
        <w:t>15μm</w:t>
      </w:r>
      <w:r w:rsidRPr="00E23105">
        <w:t xml:space="preserve"> occurred in only 0.05% of species </w:t>
      </w:r>
      <w:r>
        <w:t xml:space="preserve">(2 of 41) </w:t>
      </w:r>
      <w:r w:rsidRPr="00E23105">
        <w:t>from the rainforest (warm-wet site)</w:t>
      </w:r>
      <w:r>
        <w:t>,</w:t>
      </w:r>
      <w:r w:rsidRPr="00E23105">
        <w:t xml:space="preserve"> but </w:t>
      </w:r>
      <w:r>
        <w:t>in</w:t>
      </w:r>
      <w:r w:rsidRPr="00E23105">
        <w:t xml:space="preserve"> 91% </w:t>
      </w:r>
      <w:r>
        <w:t xml:space="preserve">of </w:t>
      </w:r>
      <w:r w:rsidRPr="00E23105">
        <w:t xml:space="preserve">species </w:t>
      </w:r>
      <w:r w:rsidR="007075A5">
        <w:t>(10</w:t>
      </w:r>
      <w:r>
        <w:t xml:space="preserve"> of 11) </w:t>
      </w:r>
      <w:r w:rsidRPr="00E23105">
        <w:t xml:space="preserve">from the tropical woodland (warm-dry site) and 82% </w:t>
      </w:r>
      <w:r w:rsidR="007075A5">
        <w:t>(14</w:t>
      </w:r>
      <w:r>
        <w:t xml:space="preserve"> of 17) </w:t>
      </w:r>
      <w:r w:rsidRPr="00E23105">
        <w:t xml:space="preserve">in the temperate forest (cold-wet site). In general, </w:t>
      </w:r>
      <w:r>
        <w:t xml:space="preserve">species from </w:t>
      </w:r>
      <w:r w:rsidRPr="00E23105">
        <w:t>the rainforest site had large vessels with none or few conduits</w:t>
      </w:r>
      <w:r w:rsidRPr="00E23105">
        <w:rPr>
          <w:vertAlign w:val="subscript"/>
        </w:rPr>
        <w:t>15μm</w:t>
      </w:r>
      <w:r w:rsidRPr="00E23105">
        <w:t xml:space="preserve">, </w:t>
      </w:r>
      <w:r>
        <w:t xml:space="preserve">species from </w:t>
      </w:r>
      <w:r w:rsidRPr="00E23105">
        <w:t>the woodland site had large vessels with abundant conduits</w:t>
      </w:r>
      <w:r w:rsidRPr="00E23105">
        <w:rPr>
          <w:vertAlign w:val="subscript"/>
        </w:rPr>
        <w:t>15μm</w:t>
      </w:r>
      <w:r w:rsidRPr="00E23105">
        <w:t xml:space="preserve">, and </w:t>
      </w:r>
      <w:r>
        <w:t xml:space="preserve">species from </w:t>
      </w:r>
      <w:r w:rsidRPr="00E23105">
        <w:t>the temperate forest site had small vessels with abundant conduits</w:t>
      </w:r>
      <w:r w:rsidRPr="00E23105">
        <w:rPr>
          <w:vertAlign w:val="subscript"/>
        </w:rPr>
        <w:t xml:space="preserve">15μm </w:t>
      </w:r>
      <w:r w:rsidRPr="00E23105">
        <w:t xml:space="preserve">(Fig. </w:t>
      </w:r>
      <w:r w:rsidR="001B2383">
        <w:t>1</w:t>
      </w:r>
      <w:r w:rsidRPr="00E23105">
        <w:t>E).</w:t>
      </w:r>
    </w:p>
    <w:p w:rsidR="004F3E30" w:rsidRPr="00E23105" w:rsidRDefault="004F3E30" w:rsidP="004F3E30">
      <w:pPr>
        <w:pStyle w:val="ThesisMain"/>
      </w:pPr>
      <w:r>
        <w:t>At</w:t>
      </w:r>
      <w:r w:rsidRPr="00E23105">
        <w:t xml:space="preserve"> the tropical woodland and</w:t>
      </w:r>
      <w:r>
        <w:t xml:space="preserve"> </w:t>
      </w:r>
      <w:r w:rsidR="00612CF0">
        <w:t xml:space="preserve">the </w:t>
      </w:r>
      <w:r w:rsidRPr="00E23105">
        <w:t>temperate forest site</w:t>
      </w:r>
      <w:r>
        <w:t>s</w:t>
      </w:r>
      <w:r w:rsidRPr="00E23105">
        <w:t xml:space="preserve"> </w:t>
      </w:r>
      <w:r>
        <w:t>only</w:t>
      </w:r>
      <w:r w:rsidRPr="00E23105">
        <w:t xml:space="preserve"> </w:t>
      </w:r>
      <w:proofErr w:type="spellStart"/>
      <w:r w:rsidRPr="00E23105">
        <w:rPr>
          <w:i/>
        </w:rPr>
        <w:t>Pimelea</w:t>
      </w:r>
      <w:proofErr w:type="spellEnd"/>
      <w:r w:rsidRPr="00E23105">
        <w:rPr>
          <w:i/>
        </w:rPr>
        <w:t xml:space="preserve"> linifolia</w:t>
      </w:r>
      <w:r>
        <w:t xml:space="preserve"> </w:t>
      </w:r>
      <w:r w:rsidRPr="00E23105">
        <w:t>had density &lt; 0.5 g cm</w:t>
      </w:r>
      <w:r w:rsidRPr="00E23105">
        <w:rPr>
          <w:vertAlign w:val="superscript"/>
        </w:rPr>
        <w:t>-3</w:t>
      </w:r>
      <w:r w:rsidRPr="00E23105">
        <w:t>. In comparison, more than half of the species (23 of 41)</w:t>
      </w:r>
      <w:r>
        <w:t xml:space="preserve"> </w:t>
      </w:r>
      <w:r w:rsidRPr="00E23105">
        <w:t>at the tropical rainforest site had density &lt; 0.5 g cm</w:t>
      </w:r>
      <w:r w:rsidRPr="00E23105">
        <w:rPr>
          <w:vertAlign w:val="superscript"/>
        </w:rPr>
        <w:t>-3</w:t>
      </w:r>
      <w:r w:rsidRPr="00E23105">
        <w:t xml:space="preserve">. Not surprisingly, </w:t>
      </w:r>
      <w:r>
        <w:t xml:space="preserve">mean </w:t>
      </w:r>
      <w:r w:rsidRPr="00E23105">
        <w:t xml:space="preserve">wood density was significantly lower in the rainforest than in the two other sites, </w:t>
      </w:r>
      <w:r>
        <w:t>among</w:t>
      </w:r>
      <w:r w:rsidRPr="00E23105">
        <w:t xml:space="preserve"> which there was no significant difference</w:t>
      </w:r>
      <w:r w:rsidR="000D1231">
        <w:t xml:space="preserve"> (</w:t>
      </w:r>
      <w:r w:rsidR="000D1231" w:rsidRPr="00E23105">
        <w:t xml:space="preserve">Fig. </w:t>
      </w:r>
      <w:r w:rsidR="001B2383">
        <w:t>1</w:t>
      </w:r>
      <w:r w:rsidR="000D1231" w:rsidRPr="00E23105">
        <w:t>F)</w:t>
      </w:r>
      <w:r w:rsidRPr="00E23105">
        <w:t xml:space="preserve">.  In interpreting these results, it needs to </w:t>
      </w:r>
      <w:proofErr w:type="gramStart"/>
      <w:r w:rsidRPr="00E23105">
        <w:t>be remembered</w:t>
      </w:r>
      <w:proofErr w:type="gramEnd"/>
      <w:r w:rsidRPr="00E23105">
        <w:t xml:space="preserve"> that these species were not sampled at random from all species present, but selectively from the medium and low range of wood density</w:t>
      </w:r>
      <w:r>
        <w:t xml:space="preserve"> (and, further, that there was no replication within site-types, so these results are best thought of as indicative only)</w:t>
      </w:r>
      <w:r w:rsidRPr="00E23105">
        <w:t xml:space="preserve">. Because density tends to vary with fibre wall and lumen fractions </w:t>
      </w:r>
      <w:r w:rsidR="00255FB5" w:rsidRPr="00E23105">
        <w:fldChar w:fldCharType="begin"/>
      </w:r>
      <w:r w:rsidR="00905EB1">
        <w:instrText xml:space="preserve"> ADDIN ZOTERO_ITEM CSL_CITATION {"citationID":"28LM9PJj","properties":{"formattedCitation":"{\\rtf [1\\uc0\\u8211{}6]}","plainCitation":"[1–6]"},"citationItems":[{"id":77,"uris":["http://zotero.org/users/953188/items/NQ9EINET"],"uri":["http://zotero.org/users/953188/items/NQ9EINET"],"itemData":{"id":77,"type":"article-journal","title":"Anatomy and properties of Japanese hardwoods. I. Variation of fibre dimensions and tissue proportions and their relation to basic density","container-title":"IAWA Bulletin n.s.","page":"419–24","volume":"12","source":"Google Scholar","abstract":"Variations of tissue proportions and fibre dimensions (fibre length, fibre cross sectional area, fibre wall thickness, fibre wall area, percentage of fibre wall area) of 50 Japanese hardwoods are compared. The fibre cross sectional area showed large variations as compared to fibre length. There is no significant correlation between fibre cross sectional area and fibre wall thickness. The multiple regression analysis showed that fibre wall thickness, percentage of fibre wall material and ray volume are the parameters most closely correlated with basic density.","author":[{"family":"Fujiwara","given":"S."},{"family":"Sameshima","given":"K."},{"family":"Kuroda","given":"K."},{"family":"Takamura","given":"N."}],"issued":{"date-parts":[["1991"]]}}},{"id":49,"uris":["http://zotero.org/users/953188/items/GUJ79GAD"],"uri":["http://zotero.org/users/953188/items/GUJ79GAD"],"itemData":{"id":49,"type":"article-journal","title":"Xylem density, biomechanics and anatomical traits correlate with water stress in 17 evergreen shrub species of the Mediterranean</w:instrText>
      </w:r>
      <w:r w:rsidR="00905EB1">
        <w:rPr>
          <w:rFonts w:ascii="Cambria Math" w:hAnsi="Cambria Math" w:cs="Cambria Math"/>
        </w:rPr>
        <w:instrText>‐</w:instrText>
      </w:r>
      <w:r w:rsidR="00905EB1">
        <w:instrText xml:space="preserve">type climate region of South Africa","container-title":"Journal of Ecology","page":"171-183","volume":"95","issue":"1","source":"onlinelibrary.wiley.com","abstract":"1Climate change in South Africa may threaten the sclerophyllous evergreen shrubs of this region. Available data suggest that they are not as tolerant of water stress as chaparral shrubs occurring in climatically similar California, USA.2Seventeen species from nine angiosperm families, including both fynbos and succulent karoo species, were studied at a field site in Western Cape Province, South Africa. Minimum seasonal pressure potential (Pmin), xylem specific conductivity (Ks), stem strength against breakage (modulus of rupture, MOR), xylem density, theoretical vessel implosion resistance () and several fibre and vessel anatomical traits were measured.3Species displayed great variability in Pmin, similar to the range reported for chaparral and karoo shrub species, but in contrast to previous reports for fynbos shrubs.4More negative Pmin was associated with having greater xylem density, MOR and . There was no relationship between Pmin and traits associated with increased water transport efficiency.5Xylem density integrates many xylem traits related to water stress tolerance, including Pmin, MOR and , as well as percentage fibre wall, parenchyma, vessel area and fibre lumen diameter.6Xylem density may be an integral trait for predicting the impact of climate change on evergreen shrubs.","DOI":"10.1111/j.1365-2745.2006.01186.x","ISSN":"1365-2745","language":"en","author":[{"family":"Jacobsen","given":"Anna L"},{"family":"Agenbag","given":"Lize"},{"family":"Esler","given":"Karen J"},{"family":"Pratt","given":"R Brandon"},{"family":"Ewers","given":"Frank W"},{"family":"Davis","given":"Stephen D"}],"issued":{"date-parts":[["2007",1,1]]},"accessed":{"date-parts":[["2012",3,14]]}}},{"id":162,"uris":["http://zotero.org/users/953188/items/XUJBUJKJ"],"uri":["http://zotero.org/users/953188/items/XUJBUJKJ"],"itemData":{"id":162,"type":"article-journal","title":"Functional anatomy of five endangered tropical timber wood species of the family Dipterocarpaceae","container-title":"Trees - Structure and Function","page":"521-529","volume":"23","issue":"3","source":"SpringerLink","abstract":"Wood anatomy of five dipterocarp species endemic to the Philippines was studied with the goal to explore functional wood traits of ecological significance. Stem wood of 6-year-old trees grown under similar environmental conditions in a plantation (Leyte, Philippines) was used. Wood densities decreased in the following order Hopea plagata &amp;gt; Dipterocarpus kerrii &amp;gt; Parashorea malaanoman &amp;gt; Shorea almon ≈ Shorea contorta . This was mainly caused by significantly thicker fiber cell walls of H. plagata and D. kerrii than those of the other three species. Wood density was negatively correlated with the abundance of axial parenchyma cells. Predicted conductance was independent from wood density and lowest in H. plataga and highest in D. kerrii and S. contorta . These results indicate that H. plagata and D. kerrii is woods have higher constructions costs in term of carbon per unit of biomass, and that H. plagata is probably better acclimated to varying soil moisture than the other species.","DOI":"10.1007/s00468-008-0298-4","ISSN":"0931-1890","author":[{"family":"Rana","given":"Rumana"},{"family":"Langenfeld-Heyser","given":"Rosemarie"},{"family":"Finkeldey","given":"Reiner"},{"family":"Polle","given":"Andrea"}],"issued":{"date-parts":[["2009"]]},"accessed":{"date-parts":[["2012",5,24]]}}},{"id":27,"uris":["http://zotero.org/users/953188/items/IVBME4HT"],"uri":["http://zotero.org/users/953188/items/IVBME4HT"],"itemData":{"id":27,"type":"article-journal","title":"Wood anatomy and wood density in shrubs: responses to varying aridity along transcontinental transects","container-title":"American Journal of Botany","page":"1388-1398","volume":"96","issue":"8","source":"www.amjbot.org","abstract":"Wood density plays a key role in ecological strategies and life history variation in woody plants, but little is known about its anatomical basis in shrubs. We quantified the relationships between wood density, anatomy, and climate in 61 shrub species from eight field sites along latitudinal belts between 31° and 35° in North and South America. Measurements included cell dimensions, transverse areas of each xylem cell type and percentage contact between different cell types and vessels. Wood density was more significantly correlated with precipitation and aridity than with temperature. High wood density was achieved through reductions in cell size and increases in the proportion of wall relative to lumen. Wood density was independent of vessel traits, suggesting that this trait does not impose conduction limitations in shrubs. The proportion of fibers in direct contact with vessels decreased with and was independent of wood density, indicating that the number of fiber-vessel contacts does not explain the previously observed correlation between wood density and implosion resistance. Axial and radial parenchyma each had a significant but opposite association with wood density. Fiber size and wall thickness link wood density, life history, and ecological strategies by controlling the proportion of carbon invested per unit stem volume.","DOI":"10.3732/ajb.0800237","ISSN":"0002-9122, 1537-2197","shortTitle":"Wood anatomy and wood density in shrubs","journalAbbreviation":"Am. J. Bot.","language":"en","author":[{"family":"Martínez-Cabrera","given":"Hugo I"},{"family":"Jones","given":"Cynthia S"},{"family":"Espino","given":"Susana"},{"family":"Schenk","given":"H. Jochen"}],"issued":{"date-parts":[["2009",8,1]]},"accessed":{"date-parts":[["2012",3,14]]}}},{"id":1484,"uris":["http://zotero.org/users/953188/items/73F7JQ52"],"uri":["http://zotero.org/users/953188/items/73F7JQ52"],"itemData":{"id":1484,"type":"article-journal","title":"Fibre wall and lumen fractions drive wood density variation across 24 Australian angiosperms","container-title":"AoB PLANTS","volume":"5","source":"CrossRef","URL":"http://aobpla.oxfordjournals.org/content/5/plt046.full","DOI":"10.1093/aobpla/plt046","ISSN":"2041-2851","author":[{"family":"Ziemińska","given":"K."},{"family":"Butler","given":"D. W."},{"family":"Gleason","given":"S. M."},{"family":"Wright","given":"I. J."},{"family":"Westoby","given":"M."}],"issued":{"date-parts":[["2013",10,10]]},"accessed":{"date-parts":[["2014",1,3]],"season":"10:05:04"}}},{"id":1777,"uris":["http://zotero.org/users/953188/items/8D3ASMXF"],"uri":["http://zotero.org/users/953188/items/8D3ASMXF"],"itemData":{"id":1777,"type":"article-journal","title":"Wood specific gravity and anatomy of branches and roots in 113 Amazonian rainforest tree species across environmental gradients","container-title":"New Phytologist","page":"79-94","volume":"202","issue":"1","source":"Wiley Online Library","abstract":"* Wood specific gravity (WSG) is a strong predictor of tree performance across environmental gradients. Yet it remains unclear how anatomical elements linked to different wood functions contribute to variation in WSG in branches and roots across tropical forests.\n\n\n* We examined WSG and wood anatomy in white sand, clay terra firme and seasonally flooded forests in French Guiana, spanning broad environmental gradients found throughout Amazonia. We measured 15 traits relating to branches and small woody roots in 113 species representing the 15 most abundant species in each habitat and representative species from seven monophyletic lineages occurring in all habitats.\n\n\n* Fiber traits appear to be major determinants of WSG, independent of vessel traits, in branches and roots. Fiber traits and branch and root WSG increased from seasonally flooded species to clay terra firme species and lastly to white sand species. Branch and root wood traits were strongly phylogenetically constrained. Lineages differed in wood design, but exhibited similar variation in wood structure across habitats.\n\n\n* We conclude that tropical trees can invest differently in support and transport to respond to environmental conditions. Wind disturbance and drought stress represent significant filters driving tree distribution of Amazonian forests; hence we suggest that biophysical explanations should receive more attention.","DOI":"10.1111/nph.12632","ISSN":"1469-8137","journalAbbreviation":"New Phytol","language":"en","author":[{"family":"Fortunel","given":"Claire"},{"family":"Ruelle","given":"Julien"},{"family":"Beauchêne","given":"Jacques"},{"family":"Fine","given":"Paul V. A."},{"family":"Baraloto","given":"Christopher"}],"issued":{"date-parts":[["2014",4,1]]},"accessed":{"date-parts":[["2014",9,19]]}}}],"schema":"https://github.com/citation-style-language/schema/raw/master/csl-citation.json"} </w:instrText>
      </w:r>
      <w:r w:rsidR="00255FB5" w:rsidRPr="00E23105">
        <w:fldChar w:fldCharType="separate"/>
      </w:r>
      <w:r w:rsidR="00905EB1" w:rsidRPr="00905EB1">
        <w:rPr>
          <w:szCs w:val="24"/>
        </w:rPr>
        <w:t>[1–6]</w:t>
      </w:r>
      <w:r w:rsidR="00255FB5" w:rsidRPr="00E23105">
        <w:fldChar w:fldCharType="end"/>
      </w:r>
      <w:r w:rsidRPr="00E23105">
        <w:t xml:space="preserve">, differences in those tissues across the three sites could be expected </w:t>
      </w:r>
      <w:r>
        <w:t>to</w:t>
      </w:r>
      <w:r w:rsidRPr="00E23105">
        <w:t xml:space="preserve"> mirror the differences in density. This was the case for fibre wall fraction but not for fibre lumen, indicating that lower density in the rainforest was </w:t>
      </w:r>
      <w:r w:rsidR="003653C7">
        <w:t xml:space="preserve">mainly </w:t>
      </w:r>
      <w:r w:rsidRPr="00E23105">
        <w:t xml:space="preserve">driven by fibre wall </w:t>
      </w:r>
      <w:proofErr w:type="gramStart"/>
      <w:r w:rsidRPr="00E23105">
        <w:t>fraction,</w:t>
      </w:r>
      <w:proofErr w:type="gramEnd"/>
      <w:r w:rsidRPr="00E23105">
        <w:t xml:space="preserve"> and </w:t>
      </w:r>
      <w:r w:rsidR="003653C7">
        <w:t xml:space="preserve">other tissue component could have </w:t>
      </w:r>
      <w:r w:rsidRPr="00E23105">
        <w:t xml:space="preserve">possibly </w:t>
      </w:r>
      <w:r w:rsidR="003653C7">
        <w:t>secondary effects (</w:t>
      </w:r>
      <w:r w:rsidRPr="00E23105">
        <w:t xml:space="preserve">e.g. </w:t>
      </w:r>
      <w:r w:rsidR="003653C7">
        <w:t xml:space="preserve">fibre lumen or </w:t>
      </w:r>
      <w:r w:rsidRPr="00E23105">
        <w:t>parenchyma</w:t>
      </w:r>
      <w:r w:rsidR="003653C7">
        <w:t xml:space="preserve"> or c</w:t>
      </w:r>
      <w:r w:rsidR="003653C7" w:rsidRPr="00E23105">
        <w:t>onduits</w:t>
      </w:r>
      <w:r w:rsidR="003653C7" w:rsidRPr="00E23105">
        <w:rPr>
          <w:vertAlign w:val="subscript"/>
        </w:rPr>
        <w:t>15μm</w:t>
      </w:r>
      <w:r w:rsidR="003653C7" w:rsidRPr="003653C7">
        <w:t xml:space="preserve"> wall fractions).</w:t>
      </w:r>
    </w:p>
    <w:p w:rsidR="00255FB5" w:rsidRDefault="004F3E30">
      <w:pPr>
        <w:pStyle w:val="ThesisMain"/>
      </w:pPr>
      <w:r w:rsidRPr="00E23105">
        <w:lastRenderedPageBreak/>
        <w:t>The stiffest wood material (highest MOE)</w:t>
      </w:r>
      <w:r>
        <w:t xml:space="preserve"> </w:t>
      </w:r>
      <w:proofErr w:type="gramStart"/>
      <w:r w:rsidRPr="00E23105">
        <w:t>was observed</w:t>
      </w:r>
      <w:proofErr w:type="gramEnd"/>
      <w:r w:rsidRPr="00E23105">
        <w:t xml:space="preserve"> in the temperate woodland, while the two tropical sites did not differ significantly. Leaf area to sapwood area ratio was larger in the rainforest site than in the two other sites, which did not differ significantly</w:t>
      </w:r>
      <w:r>
        <w:t xml:space="preserve"> from one another in this respect</w:t>
      </w:r>
      <w:r w:rsidRPr="00E23105">
        <w:t>.</w:t>
      </w:r>
    </w:p>
    <w:p w:rsidR="00255FB5" w:rsidRDefault="006E3EB5">
      <w:pPr>
        <w:pStyle w:val="NormalIndent"/>
        <w:spacing w:line="480" w:lineRule="auto"/>
        <w:ind w:left="0"/>
        <w:rPr>
          <w:b/>
          <w:bCs/>
        </w:rPr>
      </w:pPr>
      <w:r w:rsidRPr="006E3EB5">
        <w:rPr>
          <w:b/>
          <w:bCs/>
        </w:rPr>
        <w:t xml:space="preserve">Site </w:t>
      </w:r>
      <w:r w:rsidR="001A181A" w:rsidRPr="001A181A">
        <w:rPr>
          <w:b/>
          <w:bCs/>
          <w:sz w:val="26"/>
          <w:szCs w:val="26"/>
        </w:rPr>
        <w:t>comparisons</w:t>
      </w:r>
      <w:r>
        <w:rPr>
          <w:b/>
          <w:bCs/>
        </w:rPr>
        <w:t xml:space="preserve"> discussion</w:t>
      </w:r>
    </w:p>
    <w:p w:rsidR="00255FB5" w:rsidRDefault="006E3EB5">
      <w:pPr>
        <w:pStyle w:val="NormalIndent"/>
        <w:spacing w:line="480" w:lineRule="auto"/>
        <w:ind w:left="0" w:firstLine="720"/>
      </w:pPr>
      <w:r w:rsidRPr="006E3EB5">
        <w:t xml:space="preserve">Ray and axial parenchyma fractions had different patterns of variation across the sites. The absolute spread of ray fraction was similar across sites, but in the tropical </w:t>
      </w:r>
      <w:proofErr w:type="gramStart"/>
      <w:r w:rsidRPr="006E3EB5">
        <w:t>rainforest</w:t>
      </w:r>
      <w:proofErr w:type="gramEnd"/>
      <w:r w:rsidRPr="006E3EB5">
        <w:t xml:space="preserve"> it was shift</w:t>
      </w:r>
      <w:r w:rsidR="000D1231">
        <w:t xml:space="preserve">ed towards higher values (Fig. </w:t>
      </w:r>
      <w:r w:rsidR="001B2383">
        <w:t>1</w:t>
      </w:r>
      <w:r w:rsidRPr="006E3EB5">
        <w:t xml:space="preserve">B). In contrast, the spread of axial parenchyma fractions varied across sites. The widest spread was at the tropical rainforest, and it encompassed the spread found at the tropical woodland and </w:t>
      </w:r>
      <w:r w:rsidR="000D1231">
        <w:t xml:space="preserve">the temperate forest (Fig. </w:t>
      </w:r>
      <w:r w:rsidR="001B2383">
        <w:t>1</w:t>
      </w:r>
      <w:r w:rsidRPr="006E3EB5">
        <w:t xml:space="preserve">C). Across 81 species of </w:t>
      </w:r>
      <w:r w:rsidRPr="006E3EB5">
        <w:rPr>
          <w:i/>
        </w:rPr>
        <w:t>Ilex</w:t>
      </w:r>
      <w:r w:rsidRPr="006E3EB5">
        <w:t xml:space="preserve"> (mainly </w:t>
      </w:r>
      <w:r w:rsidR="000D1231">
        <w:t>mature stems), it has been observed</w:t>
      </w:r>
      <w:r w:rsidRPr="006E3EB5">
        <w:t xml:space="preserve"> that axial parenchyma is more abundant in the tropics than in the temperate regions (</w:t>
      </w:r>
      <w:r w:rsidR="00255FB5" w:rsidRPr="006E3EB5">
        <w:fldChar w:fldCharType="begin"/>
      </w:r>
      <w:r w:rsidR="00905EB1">
        <w:instrText xml:space="preserve"> ADDIN ZOTERO_ITEM CSL_CITATION {"citationID":"2j00da3ood","properties":{"formattedCitation":"[7]","plainCitation":"[7]"},"citationItems":[{"id":805,"uris":["http://zotero.org/users/953188/items/WP7MSZ2W"],"uri":["http://zotero.org/users/953188/items/WP7MSZ2W"],"itemData":{"id":805,"type":"article-journal","title":"The wood anatomical range in &lt;i&gt;Ilex&lt;/i&gt; (Aquifoliaceae) and its ecological and phylogenetic significance","container-title":"Blumea","page":"193-258","volume":"21","author":[{"family":"Baas","given":"Pieter"}],"issued":{"date-parts":[["1973"]]}}}],"schema":"https://github.com/citation-style-language/schema/raw/master/csl-citation.json"} </w:instrText>
      </w:r>
      <w:r w:rsidR="00255FB5" w:rsidRPr="006E3EB5">
        <w:fldChar w:fldCharType="separate"/>
      </w:r>
      <w:r w:rsidR="00905EB1" w:rsidRPr="00905EB1">
        <w:rPr>
          <w:rFonts w:cs="Open Sans"/>
        </w:rPr>
        <w:t>[7]</w:t>
      </w:r>
      <w:r w:rsidR="00255FB5" w:rsidRPr="006E3EB5">
        <w:fldChar w:fldCharType="end"/>
      </w:r>
      <w:r w:rsidRPr="006E3EB5">
        <w:t xml:space="preserve">; although we note that the method of assessing parenchyma abundance or the statistical analysis used were not clear in that publication). In addition, a global wood anatomy dataset indicates that the incidence of species with more abundant axial parenchyma is higher in the tropics </w:t>
      </w:r>
      <w:r w:rsidR="00255FB5" w:rsidRPr="006E3EB5">
        <w:fldChar w:fldCharType="begin"/>
      </w:r>
      <w:r w:rsidR="00905EB1">
        <w:instrText xml:space="preserve"> ADDIN ZOTERO_ITEM CSL_CITATION {"citationID":"m9ld8a211","properties":{"formattedCitation":"[8]","plainCitation":"[8]"},"citationItems":[{"id":464,"uris":["http://zotero.org/users/953188/items/XPRVBU7R"],"uri":["http://zotero.org/users/953188/items/XPRVBU7R"],"itemData":{"id":464,"type":"article-journal","title":"Variations in dicot wood anatomy: a global analysis based on the InsideWood database","container-title":"IAWA Journal","page":"229-258","volume":"28","issue":"3","source":"ISI Web of Knowledge","abstract":"Information from the InsideWood database (5,663 descriptions) was used to determine the relative abundance of selected IAWA Hardwood List Features, for the whole world and for the broad geographic regions used in the IAWA List. Features that occur in more than 75 % of the records are: growth ring boundaries indistinct or absent, diffuse porosity, exclusively simple perforation plates, alternate intervessel pitting, and non-septate fibers. The geographic distribution of vessel element features found in this study is consistent with previous studies: ring porosity is a Northern Hemisphere adaptation; numerous, narrow, short vessel elements are more common in temperate regions than in tropical regions. Element size is related to habit, with few wide vessels being a syndrome that is virtually absent from shrubs and small trees. The co-occurrence of selected features, ones that earlier have been suggested to be correlated, was examined; e.g., tangential vessel arrangement and ring porosity, rare axial parenchyma and septate fibers, tracheids and exclusively solitary vessels that are of medium to wide diameter. Axial parenchyma features show geographic variation, with aliform to confluent parenchyma and bands more than 3 cells wide being primarily tropical in occurrence. Storied rays, crystals, and silica bodies are more common in the tropics than in the temperate Northern Hemisphere. For ray features, geographic patterns are less apparent. In Australia, incidences of some features (vestured pits, solitary vessels, radial/diagonal vessel arrangement) are influenced by the Myrtaceae being a major component of the flora. This paper is but a general overview. Information from the InsideWood database when combined with detailed information on ecological and geographical distributions of species, and subjected to more robust statistical analyses can be used to address a variety of questions on the evolution of wood structure and the ecological and phylogenetic significance of suites of features.","ISSN":"0928-1541","shortTitle":"Variations in dicot wood anatomy","journalAbbreviation":"IAWA J.","language":"English","author":[{"family":"Wheeler","given":"E. A."},{"family":"Baas","given":"P."},{"family":"Rodgers","given":"S."}],"issued":{"date-parts":[["2007"]]}}}],"schema":"https://github.com/citation-style-language/schema/raw/master/csl-citation.json"} </w:instrText>
      </w:r>
      <w:r w:rsidR="00255FB5" w:rsidRPr="006E3EB5">
        <w:fldChar w:fldCharType="separate"/>
      </w:r>
      <w:r w:rsidR="00905EB1" w:rsidRPr="00905EB1">
        <w:rPr>
          <w:rFonts w:cs="Open Sans"/>
        </w:rPr>
        <w:t>[8]</w:t>
      </w:r>
      <w:r w:rsidR="00255FB5" w:rsidRPr="006E3EB5">
        <w:fldChar w:fldCharType="end"/>
      </w:r>
      <w:r w:rsidRPr="006E3EB5">
        <w:t>.</w:t>
      </w:r>
      <w:r w:rsidR="000D1231">
        <w:t xml:space="preserve"> In that study </w:t>
      </w:r>
      <w:proofErr w:type="gramStart"/>
      <w:r w:rsidR="000D1231">
        <w:t>parenchyma</w:t>
      </w:r>
      <w:proofErr w:type="gramEnd"/>
      <w:r w:rsidR="000D1231">
        <w:t xml:space="preserve"> abundance was not</w:t>
      </w:r>
      <w:r w:rsidR="000D1231" w:rsidRPr="006E3EB5">
        <w:t xml:space="preserve"> measured directly</w:t>
      </w:r>
      <w:r w:rsidR="000D1231">
        <w:t xml:space="preserve"> but rather abundance categories were used</w:t>
      </w:r>
      <w:r w:rsidRPr="006E3EB5">
        <w:t xml:space="preserve"> and it is difficult to draw comparisons. Tentatively we can say that in twigs, similar to the mature stems analysed by </w:t>
      </w:r>
      <w:r w:rsidR="00255FB5" w:rsidRPr="006E3EB5">
        <w:fldChar w:fldCharType="begin"/>
      </w:r>
      <w:r w:rsidR="00E47C5D">
        <w:instrText xml:space="preserve"> ADDIN ZOTERO_ITEM CSL_CITATION {"citationID":"0MZfVoYc","properties":{"formattedCitation":"[8]","plainCitation":"[8]"},"citationItems":[{"id":464,"uris":["http://zotero.org/users/953188/items/XPRVBU7R"],"uri":["http://zotero.org/users/953188/items/XPRVBU7R"],"itemData":{"id":464,"type":"article-journal","title":"Variations in dicot wood anatomy: a global analysis based on the InsideWood database","container-title":"IAWA Journal","page":"229-258","volume":"28","issue":"3","source":"ISI Web of Knowledge","abstract":"Information from the InsideWood database (5,663 descriptions) was used to determine the relative abundance of selected IAWA Hardwood List Features, for the whole world and for the broad geographic regions used in the IAWA List. Features that occur in more than 75 % of the records are: growth ring boundaries indistinct or absent, diffuse porosity, exclusively simple perforation plates, alternate intervessel pitting, and non-septate fibers. The geographic distribution of vessel element features found in this study is consistent with previous studies: ring porosity is a Northern Hemisphere adaptation; numerous, narrow, short vessel elements are more common in temperate regions than in tropical regions. Element size is related to habit, with few wide vessels being a syndrome that is virtually absent from shrubs and small trees. The co-occurrence of selected features, ones that earlier have been suggested to be correlated, was examined; e.g., tangential vessel arrangement and ring porosity, rare axial parenchyma and septate fibers, tracheids and exclusively solitary vessels that are of medium to wide diameter. Axial parenchyma features show geographic variation, with aliform to confluent parenchyma and bands more than 3 cells wide being primarily tropical in occurrence. Storied rays, crystals, and silica bodies are more common in the tropics than in the temperate Northern Hemisphere. For ray features, geographic patterns are less apparent. In Australia, incidences of some features (vestured pits, solitary vessels, radial/diagonal vessel arrangement) are influenced by the Myrtaceae being a major component of the flora. This paper is but a general overview. Information from the InsideWood database when combined with detailed information on ecological and geographical distributions of species, and subjected to more robust statistical analyses can be used to address a variety of questions on the evolution of wood structure and the ecological and phylogenetic significance of suites of features.","ISSN":"0928-1541","shortTitle":"Variations in dicot wood anatomy","journalAbbreviation":"IAWA J.","language":"English","author":[{"family":"Wheeler","given":"E. A."},{"family":"Baas","given":"P."},{"family":"Rodgers","given":"S."}],"issued":{"date-parts":[["2007"]]}}}],"schema":"https://github.com/citation-style-language/schema/raw/master/csl-citation.json"} </w:instrText>
      </w:r>
      <w:r w:rsidR="00255FB5" w:rsidRPr="006E3EB5">
        <w:fldChar w:fldCharType="separate"/>
      </w:r>
      <w:r w:rsidR="0096581A" w:rsidRPr="00905EB1">
        <w:rPr>
          <w:rFonts w:cs="Open Sans"/>
        </w:rPr>
        <w:t>[8]</w:t>
      </w:r>
      <w:r w:rsidR="00255FB5" w:rsidRPr="006E3EB5">
        <w:fldChar w:fldCharType="end"/>
      </w:r>
      <w:r w:rsidRPr="006E3EB5">
        <w:t xml:space="preserve">, it is rather the incidence of species with abundant axial parenchyma that increases towards the tropics, while species with little axial parenchyma continue to be present. An increased incidence of species with abundant parenchyma towards the tropics could possibly also be consistent with a positive relationship between axial </w:t>
      </w:r>
      <w:r w:rsidRPr="006E3EB5">
        <w:lastRenderedPageBreak/>
        <w:t>parenchyma and temperature observed across 61 woody shrubs of North and South Americas (</w:t>
      </w:r>
      <w:r w:rsidRPr="006E3EB5">
        <w:rPr>
          <w:i/>
        </w:rPr>
        <w:t>r</w:t>
      </w:r>
      <w:r w:rsidRPr="006E3EB5">
        <w:t xml:space="preserve"> = 0.33, </w:t>
      </w:r>
      <w:r w:rsidRPr="006E3EB5">
        <w:rPr>
          <w:i/>
        </w:rPr>
        <w:t>P</w:t>
      </w:r>
      <w:r w:rsidRPr="006E3EB5">
        <w:t xml:space="preserve"> &lt; 0.05, </w:t>
      </w:r>
      <w:r w:rsidR="00255FB5" w:rsidRPr="006E3EB5">
        <w:fldChar w:fldCharType="begin"/>
      </w:r>
      <w:r w:rsidR="00905EB1">
        <w:instrText xml:space="preserve"> ADDIN ZOTERO_ITEM CSL_CITATION {"citationID":"rdt9m5tnu","properties":{"formattedCitation":"[4]","plainCitation":"[4]"},"citationItems":[{"id":27,"uris":["http://zotero.org/users/953188/items/IVBME4HT"],"uri":["http://zotero.org/users/953188/items/IVBME4HT"],"itemData":{"id":27,"type":"article-journal","title":"Wood anatomy and wood density in shrubs: responses to varying aridity along transcontinental transects","container-title":"American Journal of Botany","page":"1388-1398","volume":"96","issue":"8","source":"www.amjbot.org","abstract":"Wood density plays a key role in ecological strategies and life history variation in woody plants, but little is known about its anatomical basis in shrubs. We quantified the relationships between wood density, anatomy, and climate in 61 shrub species from eight field sites along latitudinal belts between 31° and 35° in North and South America. Measurements included cell dimensions, transverse areas of each xylem cell type and percentage contact between different cell types and vessels. Wood density was more significantly correlated with precipitation and aridity than with temperature. High wood density was achieved through reductions in cell size and increases in the proportion of wall relative to lumen. Wood density was independent of vessel traits, suggesting that this trait does not impose conduction limitations in shrubs. The proportion of fibers in direct contact with vessels decreased with and was independent of wood density, indicating that the number of fiber-vessel contacts does not explain the previously observed correlation between wood density and implosion resistance. Axial and radial parenchyma each had a significant but opposite association with wood density. Fiber size and wall thickness link wood density, life history, and ecological strategies by controlling the proportion of carbon invested per unit stem volume.","DOI":"10.3732/ajb.0800237","ISSN":"0002-9122, 1537-2197","shortTitle":"Wood anatomy and wood density in shrubs","journalAbbreviation":"Am. J. Bot.","language":"en","author":[{"family":"Martínez-Cabrera","given":"Hugo I"},{"family":"Jones","given":"Cynthia S"},{"family":"Espino","given":"Susana"},{"family":"Schenk","given":"H. Jochen"}],"issued":{"date-parts":[["2009",8,1]]},"accessed":{"date-parts":[["2012",3,14]]}}}],"schema":"https://github.com/citation-style-language/schema/raw/master/csl-citation.json"} </w:instrText>
      </w:r>
      <w:r w:rsidR="00255FB5" w:rsidRPr="006E3EB5">
        <w:fldChar w:fldCharType="separate"/>
      </w:r>
      <w:r w:rsidR="00905EB1" w:rsidRPr="00905EB1">
        <w:rPr>
          <w:rFonts w:cs="Open Sans"/>
        </w:rPr>
        <w:t>[4]</w:t>
      </w:r>
      <w:r w:rsidR="00255FB5" w:rsidRPr="006E3EB5">
        <w:fldChar w:fldCharType="end"/>
      </w:r>
      <w:r w:rsidRPr="006E3EB5">
        <w:t xml:space="preserve">). </w:t>
      </w:r>
    </w:p>
    <w:p w:rsidR="00255FB5" w:rsidRDefault="006E3EB5">
      <w:pPr>
        <w:pStyle w:val="NormalIndent"/>
        <w:spacing w:line="480" w:lineRule="auto"/>
        <w:ind w:left="0" w:firstLine="720"/>
      </w:pPr>
      <w:r w:rsidRPr="006E3EB5">
        <w:t>Our second question was concerned with parenchyma trends across the precipitation gradient and we hypothesized higher parenchyma fractions at the drier, more seasonal site. In fact we did not find any difference in axial parenchyma fractions between the tropical rainforest and the tropical woodland but rays occupied la</w:t>
      </w:r>
      <w:r w:rsidR="000D1231">
        <w:t xml:space="preserve">rger fractions in </w:t>
      </w:r>
      <w:r w:rsidRPr="006E3EB5">
        <w:t>the tro</w:t>
      </w:r>
      <w:r w:rsidR="000D1231">
        <w:t>pical rainforest (the wet site) than in the tropical woodland (the dry site)</w:t>
      </w:r>
      <w:r w:rsidRPr="006E3EB5">
        <w:t>. In a dataset of 61 species spanning across South and North America, axial parenchyma tended to be more abundant in drier sites, while ray fraction was more abundant in wetter sites, but the correlations were weak (</w:t>
      </w:r>
      <w:r w:rsidRPr="006E3EB5">
        <w:rPr>
          <w:i/>
        </w:rPr>
        <w:t>r</w:t>
      </w:r>
      <w:r w:rsidRPr="006E3EB5">
        <w:t xml:space="preserve"> = -0.35, </w:t>
      </w:r>
      <w:r w:rsidRPr="006E3EB5">
        <w:rPr>
          <w:i/>
        </w:rPr>
        <w:t>r</w:t>
      </w:r>
      <w:r w:rsidRPr="006E3EB5">
        <w:t xml:space="preserve"> = 0.30, both </w:t>
      </w:r>
      <w:r w:rsidRPr="006E3EB5">
        <w:rPr>
          <w:i/>
        </w:rPr>
        <w:t>P</w:t>
      </w:r>
      <w:r w:rsidRPr="006E3EB5">
        <w:t xml:space="preserve"> &lt; 0.05; </w:t>
      </w:r>
      <w:r w:rsidR="00255FB5" w:rsidRPr="006E3EB5">
        <w:fldChar w:fldCharType="begin"/>
      </w:r>
      <w:r w:rsidR="00905EB1">
        <w:instrText xml:space="preserve"> ADDIN ZOTERO_ITEM CSL_CITATION {"citationID":"2fbhlfgb2i","properties":{"formattedCitation":"[4]","plainCitation":"[4]"},"citationItems":[{"id":27,"uris":["http://zotero.org/users/953188/items/IVBME4HT"],"uri":["http://zotero.org/users/953188/items/IVBME4HT"],"itemData":{"id":27,"type":"article-journal","title":"Wood anatomy and wood density in shrubs: responses to varying aridity along transcontinental transects","container-title":"American Journal of Botany","page":"1388-1398","volume":"96","issue":"8","source":"www.amjbot.org","abstract":"Wood density plays a key role in ecological strategies and life history variation in woody plants, but little is known about its anatomical basis in shrubs. We quantified the relationships between wood density, anatomy, and climate in 61 shrub species from eight field sites along latitudinal belts between 31° and 35° in North and South America. Measurements included cell dimensions, transverse areas of each xylem cell type and percentage contact between different cell types and vessels. Wood density was more significantly correlated with precipitation and aridity than with temperature. High wood density was achieved through reductions in cell size and increases in the proportion of wall relative to lumen. Wood density was independent of vessel traits, suggesting that this trait does not impose conduction limitations in shrubs. The proportion of fibers in direct contact with vessels decreased with and was independent of wood density, indicating that the number of fiber-vessel contacts does not explain the previously observed correlation between wood density and implosion resistance. Axial and radial parenchyma each had a significant but opposite association with wood density. Fiber size and wall thickness link wood density, life history, and ecological strategies by controlling the proportion of carbon invested per unit stem volume.","DOI":"10.3732/ajb.0800237","ISSN":"0002-9122, 1537-2197","shortTitle":"Wood anatomy and wood density in shrubs","journalAbbreviation":"Am. J. Bot.","language":"en","author":[{"family":"Martínez-Cabrera","given":"Hugo I"},{"family":"Jones","given":"Cynthia S"},{"family":"Espino","given":"Susana"},{"family":"Schenk","given":"H. Jochen"}],"issued":{"date-parts":[["2009",8,1]]},"accessed":{"date-parts":[["2012",3,14]]}}}],"schema":"https://github.com/citation-style-language/schema/raw/master/csl-citation.json"} </w:instrText>
      </w:r>
      <w:r w:rsidR="00255FB5" w:rsidRPr="006E3EB5">
        <w:fldChar w:fldCharType="separate"/>
      </w:r>
      <w:r w:rsidR="00905EB1" w:rsidRPr="00905EB1">
        <w:rPr>
          <w:rFonts w:cs="Open Sans"/>
        </w:rPr>
        <w:t>[4]</w:t>
      </w:r>
      <w:r w:rsidR="00255FB5" w:rsidRPr="006E3EB5">
        <w:fldChar w:fldCharType="end"/>
      </w:r>
      <w:r w:rsidRPr="006E3EB5">
        <w:t xml:space="preserve">). </w:t>
      </w:r>
      <w:proofErr w:type="gramStart"/>
      <w:r w:rsidRPr="006E3EB5">
        <w:t>Across 111 tree species from tropical climates in Africa and South America</w:t>
      </w:r>
      <w:r w:rsidR="000D1231">
        <w:t>,</w:t>
      </w:r>
      <w:r w:rsidRPr="006E3EB5">
        <w:t xml:space="preserve"> total parenchyma fraction tended weakly to decrease with precipitation (</w:t>
      </w:r>
      <w:r w:rsidRPr="006E3EB5">
        <w:rPr>
          <w:i/>
        </w:rPr>
        <w:t>r</w:t>
      </w:r>
      <w:r w:rsidRPr="006E3EB5">
        <w:t xml:space="preserve"> = - 0.35, </w:t>
      </w:r>
      <w:r w:rsidRPr="006E3EB5">
        <w:rPr>
          <w:i/>
        </w:rPr>
        <w:t>P</w:t>
      </w:r>
      <w:r w:rsidRPr="006E3EB5">
        <w:t xml:space="preserve"> &lt; 0.05, mean annual rainfall varied from </w:t>
      </w:r>
      <w:r w:rsidRPr="006E3EB5">
        <w:rPr>
          <w:i/>
        </w:rPr>
        <w:t>c</w:t>
      </w:r>
      <w:r w:rsidRPr="006E3EB5">
        <w:t>. 450 mm to 4200 mm), and weakly to increase with the length of stress period  (</w:t>
      </w:r>
      <w:r w:rsidRPr="006E3EB5">
        <w:rPr>
          <w:i/>
        </w:rPr>
        <w:t>r</w:t>
      </w:r>
      <w:r w:rsidRPr="006E3EB5">
        <w:t xml:space="preserve"> = 0.24, </w:t>
      </w:r>
      <w:r w:rsidRPr="006E3EB5">
        <w:rPr>
          <w:i/>
        </w:rPr>
        <w:t>P</w:t>
      </w:r>
      <w:r w:rsidRPr="006E3EB5">
        <w:t xml:space="preserve"> &lt; 0.01, </w:t>
      </w:r>
      <w:r w:rsidR="00255FB5" w:rsidRPr="006E3EB5">
        <w:fldChar w:fldCharType="begin"/>
      </w:r>
      <w:r w:rsidR="00905EB1">
        <w:instrText xml:space="preserve"> ADDIN ZOTERO_ITEM CSL_CITATION {"citationID":"d4lur66t1","properties":{"formattedCitation":"[9]","plainCitation":"[9]"},"citationItems":[{"id":736,"uris":["http://zotero.org/users/953188/items/P62HA35R"],"uri":["http://zotero.org/users/953188/items/P62HA35R"],"itemData":{"id":736,"type":"article-journal","title":"Wood anatomical variables in tropical trees and their relation to site conditions and individual tree morphology","container-title":"IAWA Journal","page":"119-140","volume":"33","issue":"2","abstract":"For a better understanding of the influence of external growth factors \non the wood structure, samples of 139 tropical trees were analysed \nacross plant families and a wide climatic gradient. For all samples a \nunique data set on climate, site and forest stand conditions is available. \nDifferent vessel variables as well as the relative cross-sectional area of \nvessel, parenchyma and fibre tissue were studied in individual tree rings \nof varying sizes. High within-species and within-site variation of wood \nanatomical variables was observed which was higher than inter-species \nand -site variation. In addition, between-ring variation within many in- \ndividuals was higher than variation between individuals. The differences \nwithin individuals show how trees can adapt or adjust to environmental \nvariability and can provide information about the plasticity of a species \nunder changing environmental conditions. The variable ‘vessel diameter’ \nshowed the strongest and most significant correlations to other wood \nanatomical variables, but also to climate parameters and tree morphol- \nogy. Thereby tree size (DBH &amp; height) and crown exposure to light had \nthe strongest impact on vessel size and consequently on hydraulic stem \narchitecture. General climate conditions only showed a weak influence \non vessel variables. The principal component analyses revealed a strong \ninfluence of tree morphology and a weaker influence of climate on the \nhydraulic stem architecture. In contrast the general climatic site condi- \ntions strongly influenced fibre and parenchyma tissue.","author":[{"family":"Fichtler","given":"Esther"},{"family":"Worbes","given":"Martin"}],"issued":{"date-parts":[["2012"]]}}}],"schema":"https://github.com/citation-style-language/schema/raw/master/csl-citation.json"} </w:instrText>
      </w:r>
      <w:r w:rsidR="00255FB5" w:rsidRPr="006E3EB5">
        <w:fldChar w:fldCharType="separate"/>
      </w:r>
      <w:r w:rsidR="00905EB1" w:rsidRPr="00905EB1">
        <w:rPr>
          <w:rFonts w:cs="Open Sans"/>
        </w:rPr>
        <w:t>[9]</w:t>
      </w:r>
      <w:r w:rsidR="00255FB5" w:rsidRPr="006E3EB5">
        <w:fldChar w:fldCharType="end"/>
      </w:r>
      <w:r w:rsidRPr="006E3EB5">
        <w:t xml:space="preserve">), while no correlation was found with precipitation in a transcontinental study across 61 species (precipitation range 100-1850mm; </w:t>
      </w:r>
      <w:r w:rsidR="00255FB5" w:rsidRPr="00255FB5">
        <w:rPr>
          <w:lang w:val="en-AU"/>
        </w:rPr>
        <w:fldChar w:fldCharType="begin"/>
      </w:r>
      <w:r w:rsidR="00905EB1">
        <w:rPr>
          <w:lang w:val="en-AU"/>
        </w:rPr>
        <w:instrText xml:space="preserve"> ADDIN ZOTERO_ITEM CSL_CITATION {"citationID":"12vghbrhin","properties":{"formattedCitation":"[4]","plainCitation":"[4]"},"citationItems":[{"id":27,"uris":["http://zotero.org/users/953188/items/IVBME4HT"],"uri":["http://zotero.org/users/953188/items/IVBME4HT"],"itemData":{"id":27,"type":"article-journal","title":"Wood anatomy and wood density in shrubs: responses to varying aridity along transcontinental transects","container-title":"American Journal of Botany","page":"1388-1398","volume":"96","issue":"8","source":"www.amjbot.org","abstract":"Wood density plays a key role in ecological strategies and life history variation in woody plants, but little is known about its anatomical basis in shrubs. We quantified the relationships between wood density, anatomy, and climate in 61 shrub species from eight field sites along latitudinal belts between 31° and 35° in North and South America. Measurements included cell dimensions, transverse areas of each xylem cell type and percentage contact between different cell types and vessels. Wood density was more significantly correlated with precipitation and aridity than with temperature. High wood density was achieved through reductions in cell size and increases in the proportion of wall relative to lumen. Wood density was independent of vessel traits, suggesting that this trait does not impose conduction limitations in shrubs. The proportion of fibers in direct contact with vessels decreased with and was independent of wood density, indicating that the number of fiber-vessel contacts does not explain the previously observed correlation between wood density and implosion resistance. Axial and radial parenchyma each had a significant but opposite association with wood density. Fiber size and wall thickness link wood density, life history, and ecological strategies by controlling the proportion of carbon invested per unit stem volume.","DOI":"10.3732/ajb.0800237","ISSN":"0002-9122, 1537-2197","shortTitle":"Wood anatomy and wood density in shrubs","journalAbbreviation":"Am. J. Bot.","language":"en","author":[{"family":"Martínez-Cabrera","given":"Hugo I"},{"family":"Jones","given":"Cynthia S"},{"family":"Espino","given":"Susana"},{"family":"Schenk","given":"H. Jochen"}],"issued":{"date-parts":[["2009",8,1]]},"accessed":{"date-parts":[["2012",3,14]]}}}],"schema":"https://github.com/citation-style-language/schema/raw/master/csl-citation.json"} </w:instrText>
      </w:r>
      <w:r w:rsidR="00255FB5" w:rsidRPr="00255FB5">
        <w:rPr>
          <w:lang w:val="en-AU"/>
        </w:rPr>
        <w:fldChar w:fldCharType="separate"/>
      </w:r>
      <w:r w:rsidR="00905EB1" w:rsidRPr="00905EB1">
        <w:rPr>
          <w:rFonts w:cs="Open Sans"/>
        </w:rPr>
        <w:t>[4]</w:t>
      </w:r>
      <w:r w:rsidR="00255FB5" w:rsidRPr="006E3EB5">
        <w:fldChar w:fldCharType="end"/>
      </w:r>
      <w:r w:rsidRPr="006E3EB5">
        <w:t>).</w:t>
      </w:r>
      <w:proofErr w:type="gramEnd"/>
    </w:p>
    <w:p w:rsidR="00255FB5" w:rsidRDefault="006E3EB5">
      <w:pPr>
        <w:pStyle w:val="NormalIndent"/>
        <w:spacing w:line="480" w:lineRule="auto"/>
        <w:ind w:left="0" w:firstLine="720"/>
      </w:pPr>
      <w:r w:rsidRPr="006E3EB5">
        <w:t xml:space="preserve">Within the tropics, we expected smaller vessels in the dry site (the tropical woodland) than in the wet site (the tropical rainforest). The dry site had </w:t>
      </w:r>
      <w:r w:rsidR="008D558E">
        <w:t>four times lower</w:t>
      </w:r>
      <w:r w:rsidRPr="006E3EB5">
        <w:t xml:space="preserve"> precipitation during the wettest month</w:t>
      </w:r>
      <w:r w:rsidR="008D558E">
        <w:t xml:space="preserve"> than the wet site</w:t>
      </w:r>
      <w:r w:rsidRPr="006E3EB5">
        <w:t xml:space="preserve">, </w:t>
      </w:r>
      <w:proofErr w:type="gramStart"/>
      <w:r w:rsidRPr="006E3EB5">
        <w:t>and also</w:t>
      </w:r>
      <w:proofErr w:type="gramEnd"/>
      <w:r w:rsidRPr="006E3EB5">
        <w:t xml:space="preserve"> a longer dry season (Table 1</w:t>
      </w:r>
      <w:r w:rsidR="000D1231">
        <w:t xml:space="preserve"> in the main article</w:t>
      </w:r>
      <w:r w:rsidRPr="006E3EB5">
        <w:t xml:space="preserve">). These conditions </w:t>
      </w:r>
      <w:proofErr w:type="gramStart"/>
      <w:r w:rsidRPr="006E3EB5">
        <w:t>would be expected</w:t>
      </w:r>
      <w:proofErr w:type="gramEnd"/>
      <w:r w:rsidRPr="006E3EB5">
        <w:t xml:space="preserve"> to lead to lower stem water potentials, carrying higher risk of drought-induced embolism. Small vessels are less prone to drought-induced embolism </w:t>
      </w:r>
      <w:r w:rsidR="00255FB5">
        <w:fldChar w:fldCharType="begin"/>
      </w:r>
      <w:r w:rsidR="00905EB1">
        <w:instrText xml:space="preserve"> ADDIN ZOTERO_ITEM CSL_CITATION {"citationID":"ZvhO0Dy6","properties":{"formattedCitation":"{\\rtf [10\\uc0\\u8211{}12]}","plainCitation":"[10–12]"},"citationItems":[{"id":904,"uris":["http://zotero.org/users/953188/items/3EPU7JZW"],"uri":["http://zotero.org/users/953188/items/3EPU7JZW"],"itemData":{"id":904,"type":"article-journal","title":"Different vulnerabilities of &lt;i&gt;Quercus ilex&lt;/i&gt; L. to freeze- and summer drought-induced xylem embolism: an ecological interpretation","container-title":"Plant, Cell &amp; Environment","page":"511–519","volume":"16","issue":"5","source":"Wiley Online Library","abstract":"Quercus ilex L. growing in the southern Mediterranean Basin region is exposed to xylem embolism induced by both winter freezing and summer drought. The distribution of the species in Sicily could be explained in terms of the different vulnerability to embolism of its xylem conduits. Naturally occurring climatic conditions were simulated by: (1) maintaining plants for 3h at ambient temperatures of 0, -1.5, -2.5, -5.0 and -11°C; and (2) allowing plants to dry out to ratios of their minimum diurnal leaf water potentials (Ψ1) to that at the turgor loss point (Ψtlp) of 0.6, 0.9, 1.05, 1.20 and 1.33. The loss of hydraulic conductivity of one-year-old twigs reached 40% at -1.5°C and at Ψ1/ΨtlP= 1.05. Recovery from these strains was almost complete 24 h after the release of thermal stress or after one irrigation, respectively. More severe stresses reduced recovery consistently. The percentages of xylem conduits embolized following application of the two stresses, were positively related to xylem conduit diameter. The capability of the xylem conduits to recover from stress was positively related to the conduit diameter in plants subjected to summer drought, but not in the plants subjected to winter freezing stress. The ecological significance of the different vulnerabilities to embolism of xylem conduits under naturally occurring climatic conditions is discussed.","DOI":"10.1111/j.1365-3040.1993.tb00898.x","ISSN":"1365-3040","shortTitle":"Different vulnerabilities of Quercus ilex L. to freeze- and summer drought-induced xylem embolism","language":"en","author":[{"family":"Lo Gullo","given":"M. A."},{"family":"Salleo","given":"S."}],"issued":{"date-parts":[["1993"]]},"accessed":{"date-parts":[["2013",4,16]]}}},{"id":895,"uris":["http://zotero.org/users/953188/items/Z73STHE8"],"uri":["http://zotero.org/users/953188/items/Z73STHE8"],"itemData":{"id":895,"type":"article-journal","title":"Conduit diameter and drought-induced embolism in &lt;i&gt;Salvia mellifera&lt;/i&gt; Greene (Labiatae)","container-title":"New Phytologist","page":"695–705","volume":"126","issue":"4","source":"Wiley Online Library","abstract":"The relationship between conduit (vessel and tracheid) diameter and water-stress-induced air embolism was examined using a double staining technique. Comparisons were made between irrigated control plants at water potentials of −13 MPa and water stressed plants at about −8 MPa. Water stress was induced either by natural drought conditions or by laboratory drying of shoots from previously irrigated shrubs. Stem segments were perfused with 0.1 % basic fuchsin to mark the initially conductive conduits, and, following high pressure perfusion of 10 DIM citric acid to remove embolisms, with 0.1% alcian blue to mark the initially embolized conduits. Hydraulic conductance per pressure gradient (kh) was measured before and after embolisms were removed. Diameters of non-embolized and embolized conduits were then measured microscopically in transverse stem sections. In irrigated controls there was little embolism and mean diameters were not significantly different for embolized SM. non-emboltzed conduits. For both artificially dehydrated and naturally droughted plants there was a 91% drop in kh due to embolism, and the mean diameter of embolized conduits was about 30 μm vs. 21 μm vs for non-embolized conduits. With increasing conduit diameter there was an increased probability of embolism. Wider conduits may have larger pores in their pit membranes, thus increasing their vulnerability to water-stress-induced embolism. Alternatively, wider conduits may merely have more pits, thus increasing their statistical chances of having a particularly large pore in an air-exposed pit membrane. Narrow vessels and tracheids provide an interwoven auxiliary transport system that appears to be of importance to transport when many of the wider, more efficient conduits become embolized.","DOI":"10.1111/j.1469-8137.1994.tb02964.x","ISSN":"1469-8137","language":"en","author":[{"family":"Hargrave","given":"K. R."},{"family":"Kolb","given":"K. J."},{"family":"Ewers","given":"F. W."},{"family":"Davis","given":"S.d."}],"issued":{"date-parts":[["1994"]]},"accessed":{"date-parts":[["2013",4,15]]}}},{"id":1267,"uris":["http://zotero.org/users/953188/items/38MRKMHM"],"uri":["http://zotero.org/users/953188/items/38MRKMHM"],"itemData":{"id":1267,"type":"article-journal","title":"Inter-vessel pitting and cavitation in woody Rosaceae and other vesselled plants: a basis for a safety versus efficiency trade-off in xylem transport","container-title":"Plant, Cell &amp; Environment","page":"800–812","volume":"28","issue":"6","source":"Wiley Online Library","abstract":"The hypothesis that greater safety from cavitation by air-seeding through inter-vessel pits comes at the cost of less porous pit membranes with greater flow resistance was tested . Sixteen vessel-bearing species were compared: 11 from the Rosaceae, four from other angiosperm families, and one fern. Unexpectedly, there was no relationship between pit resistance (and hence the prevailing membrane porosity) and cavitation pressure. There was, however, an inverse relationship between pit area per vessel and vulnerability to cavitation (r2 = 0.75). This suggests that cavitation is caused by the rare largest membrane pore per vessel, the average size of which increases with total pit area per vessel. If safety from cavitation constrains pit membrane surface area, it also limits vessel surface area and the minimum vessel resistivity. This trade-off was consistent with an approximately three-fold increase in vessel resistivity with cavitation pressure dropping from −0.8 to −6.6 MPa. The trade-off was compensated for by a reduction in the percentage of vessel wall pitted: from 10–16% in vulnerable species to 2–4% in resistant species. Across species, end-wall pitting accounted for 53 ± 3% of the total xylem resistivity. This corresponded to vessels achieving on average 94 ± 2% of their maximum possible conductivity if vessel surface area is constrained.","DOI":"10.1111/j.1365-3040.2005.01330.x","ISSN":"1365-3040","shortTitle":"Inter-vessel pitting and cavitation in woody Rosaceae and other vesselled plants","language":"en","author":[{"family":"Wheeler","given":"James K."},{"family":"Sperry","given":"John S."},{"family":"Hacke","given":"Uwe G."},{"family":"Hoang","given":"Nguyen"}],"issued":{"date-parts":[["2005"]]},"accessed":{"date-parts":[["2013",5,23]]}}}],"schema":"https://github.com/citation-style-language/schema/raw/master/csl-citation.json"} </w:instrText>
      </w:r>
      <w:r w:rsidR="00255FB5">
        <w:fldChar w:fldCharType="separate"/>
      </w:r>
      <w:r w:rsidR="00905EB1" w:rsidRPr="00905EB1">
        <w:rPr>
          <w:rFonts w:cs="Open Sans"/>
          <w:szCs w:val="24"/>
        </w:rPr>
        <w:t>[10–12]</w:t>
      </w:r>
      <w:r w:rsidR="00255FB5">
        <w:fldChar w:fldCharType="end"/>
      </w:r>
      <w:r w:rsidRPr="006E3EB5">
        <w:t xml:space="preserve">. Surprisingly though, there was no difference in vessel area medians in our study, although variation between species was </w:t>
      </w:r>
      <w:r w:rsidRPr="006E3EB5">
        <w:lastRenderedPageBreak/>
        <w:t>wider at the wet site, and included a few species with large vessel areas n</w:t>
      </w:r>
      <w:r w:rsidR="008D558E">
        <w:t xml:space="preserve">ot found in the dry site (Fig. </w:t>
      </w:r>
      <w:r w:rsidR="001B2383">
        <w:t>1</w:t>
      </w:r>
      <w:r w:rsidRPr="006E3EB5">
        <w:t xml:space="preserve">D). Possibly the vessel size traits at the dry site can be thought of as adapted to take advantage of the wet season, even though it is short. Strategies other than vessel size may play a protective role during the dry season </w:t>
      </w:r>
      <w:r w:rsidR="00255FB5" w:rsidRPr="006E3EB5">
        <w:fldChar w:fldCharType="begin"/>
      </w:r>
      <w:r w:rsidR="00905EB1">
        <w:instrText xml:space="preserve"> ADDIN ZOTERO_ITEM CSL_CITATION {"citationID":"9hiag818s","properties":{"formattedCitation":"[13,14]","plainCitation":"[13,14]"},"citationItems":[{"id":1487,"uris":["http://zotero.org/users/953188/items/FTC9PTPR"],"uri":["http://zotero.org/users/953188/items/FTC9PTPR"],"itemData":{"id":1487,"type":"article-journal","title":"Anatomy and mechanical and hydraulic needs of woody climbers contrasted with subshrubs on the island of Cyprus","container-title":"Iawa Journal","page":"355-373","volume":"33","issue":"4","source":"ISI Web of Knowledge","abstract":"Climbers and self-supporting woody plants have different constraints on their stems. Although plants of both growth forms need wood that functions mechanically and hydraulically, climbers have a lower need for mechanical self-support and an elevated need for hydraulic conductance to enable longer-distance water transport. We sampled all the woody climbers (10 species) and most of the woody subshrubs (25 species) of the island of Cyprus in the eastern part of the Mediterranean, to characterize their vessel and fiber anatomies relative to hydraulic and mechanical function. Consistent with their lower need for self-support, on average the climbers had lower wood density than did the subshrubs (0.44 g/cm(3) +/- 0.15 vs. 0.59 g/cm(3) +/- 0.20, means +/- s.d.) and had a lower proportion of their cross section devoted to fibers (29% +/- 11 vs. 49% +/- 15). Consistent with climbers' need for higher hydraulic conductance and total plant height, climbers had vessel sizes and frequencies closer to the theoretical packing limit than did subshrubs. Lastly, we grouped species within a growth form by site water availability (dry vs. wet site), site temperature (cold vs. hot site), site water equability (low vs. high), and xylem ring porosity (ring porous, semi-ring porous or diffuse porous). Climbers had different vessel lumen diameters or vessel frequencies for six of these eight groupings, whereas subshrubs showed no such differences, illustrating the wide variation in climber wood structure compared to the relatively conservative anatomy of the subshrubs.","ISSN":"0928-1541","note":"WOS:000313465500002","journalAbbreviation":"IAWA J.","language":"English","author":[{"family":"Crivellaro","given":"Alan"},{"family":"McCulloh","given":"Katherine"},{"family":"Jones","given":"F. Andrew"},{"family":"Lachenbruch","given":"Barbara"}],"issued":{"date-parts":[["2012"]]}}},{"id":1407,"uris":["http://zotero.org/users/953188/items/4VNTXTFU"],"uri":["http://zotero.org/users/953188/items/4VNTXTFU"],"itemData":{"id":1407,"type":"article-journal","title":"Shifts in leaf and stem hydraulic traits across aridity gradients in eastern Australia","container-title":"International Journal of Plant Sciences","page":"1292-1301","volume":"174","issue":"9","source":"JSTOR","abstract":"Premise of research. Plants are faced with a challenge across all climates they inhabit—they must transport water to their leaves so that photosynthesis can take place. Although this is simple in concept, it can be achieved by different arrangements of root, stem, and leaf traits. The hydraulic functioning of species across aridity gradients is determined by the coordination of these traits. Nevertheless, we have an imperfect understanding of which trait shifts are favored across aridity gradients as well as the alignment of trait shifts with climate. Methodology. We measured hydraulic traits relating to Darcy’s law for 120 angiosperm species across a broad range of climates in eastern Australia; nearly one-third of all biome space on Earth was represented. We then determined which hydraulic trait shifts have been favored across aridity gradients and which climate characteristics these trait shifts aligned with. Pivotal results. Increasing aridity, from climates with similar precipitation and evaporation to climates where precipitation was only a third of evaporation, was associated with a 4.8-fold decrease in plant height, a 3.0-fold decrease in leaf area–to–sapwood area ratio, and a 3.3-fold decrease in leaf water potential. However, sapwood-specific conductivity decreased by 5.9-fold, more than any other hydraulic trait. Greater sapwood-specific conductivity (decreasing resistance) at wet sites compensated for increasing resistance and hydraulic demand that was associated with taller plants and leafier shoots. All hydraulic traits were strongly correlated with growth season aridity ( ; ) but were not correlated with maximum aridity. This suggests that plant hydraulic traits are most responsive to water availability and evaporative demand present during the most suitable months for growth rather than the driest months. Conclusions. We suggest that evolution has equipped plants with various mechanisms to avoid desiccation during the dry season while optimizing hydraulic traits for carbon gain during the growth season.","DOI":"10.1086/673239","ISSN":"1058-5893","note":"ArticleType: research-article / Full publication date: November/December 2013 / Copyright © 2013 The University of Chicago Press","journalAbbreviation":"International Journal of Plant Sciences","author":[{"family":"Gleason","given":"Sean M."},{"family":"Butler","given":"Don W."},{"family":"Waryszak","given":"Paweł"}],"issued":{"date-parts":[["2013",11,1]]},"accessed":{"date-parts":[["2013",12,18]]}}}],"schema":"https://github.com/citation-style-language/schema/raw/master/csl-citation.json"} </w:instrText>
      </w:r>
      <w:r w:rsidR="00255FB5" w:rsidRPr="006E3EB5">
        <w:fldChar w:fldCharType="separate"/>
      </w:r>
      <w:r w:rsidR="00905EB1" w:rsidRPr="00905EB1">
        <w:rPr>
          <w:rFonts w:cs="Open Sans"/>
        </w:rPr>
        <w:t>[13,14]</w:t>
      </w:r>
      <w:r w:rsidR="00255FB5" w:rsidRPr="006E3EB5">
        <w:fldChar w:fldCharType="end"/>
      </w:r>
      <w:r w:rsidRPr="006E3EB5">
        <w:t xml:space="preserve">. These could include fine-scale modifications of intervessel pitting </w:t>
      </w:r>
      <w:r w:rsidR="00255FB5" w:rsidRPr="006E3EB5">
        <w:fldChar w:fldCharType="begin"/>
      </w:r>
      <w:r w:rsidR="00905EB1">
        <w:instrText xml:space="preserve"> ADDIN ZOTERO_ITEM CSL_CITATION {"citationID":"2lrcc6skrp","properties":{"formattedCitation":"[15,16]","plainCitation":"[15,16]"},"citationItems":[{"id":913,"uris":["http://zotero.org/users/953188/items/V3IVG7XQ"],"uri":["http://zotero.org/users/953188/items/V3IVG7XQ"],"itemData":{"id":913,"type":"article-journal","title":"Variation in xylem structure from tropics to tundra: Evidence from vestured pits","container-title":"Proceedings of the National Academy of Sciences of the United States of America","page":"8833-8837","volume":"101","issue":"23","source":"www.pnas.org","abstract":"Bordered pits play an important role in permitting water flow among adjacent tracheary elements in flowering plants. Variation in the bordered pit structure is suggested to be adaptive in optimally balancing the conflict between hydraulic efficiency (conductivity) and safety from air entry at the pit membrane (air seeding). The possible function of vestured pits, which are bordered pits with protuberances from the secondary cell wall of the pit chamber, could be increased hydraulic resistance or minimized vulnerability to air seeding. These functional hypotheses have to be harmonized with the notion that the vestured or nonvestured nature of pits contains strong phylogenetic signals (i.e., often characterize large species-rich clades with broad ecological ranges). A literature survey of 11,843 species covering 6,428 genera from diverse climates indicates that the incidence of vestured pits considerably decreases from tropics to tundra. The highest frequencies of vestured pits occur in deserts and tropical seasonal woodlands. Moreover, a distinctly developed network of branched vestures is mainly restricted to warm habitats in both mesic and dry (sub)tropical lowlands, whereas vestures in woody plants from cold and boreal arctic environments are usually minute and simple. A similar survey of the frequency of exclusively scalariform perforation plates illustrates that the major ecological trend of this feature is opposite that of vestured pits. These findings provide previously undescribed insights suggesting that vessels with vestured pits and simple perforation plates function as an efficient hydraulic system in plants growing in warm environments with periodical or continuous drought stress.","DOI":"10.1073/pnas.0402621101","ISSN":"0027-8424, 1091-6490","shortTitle":"Variation in xylem structure from tropics to tundra","journalAbbreviation":"PNAS","language":"en","author":[{"family":"Jansen","given":"Steven"},{"family":"Baas","given":"Pieter"},{"family":"Gasson","given":"Peter"},{"family":"Lens","given":"Frederic"},{"family":"Smets","given":"Erik"}],"issued":{"date-parts":[["2004",6,8]]},"accessed":{"date-parts":[["2013",4,16]]}}},{"id":907,"uris":["http://zotero.org/users/953188/items/5P7Q34VU"],"uri":["http://zotero.org/users/953188/items/5P7Q34VU"],"itemData":{"id":907,"type":"article-journal","title":"Structure and function of bordered pits: new discoveries and impacts on whole-plant hydraulic function","container-title":"New Phytologist","page":"608–626","volume":"177","issue":"3","source":"Wiley Online Library","abstract":"ContentsSummary1I.Introduction2II.The basic structures2III.Safety of transport - pits as safety valves5IV.Hydraulic resistance of pits and pit membranes - the cost of safety9V.Impacts of pit function on whole-plant hydraulics14VI.Future directions15Acknowledgements15References15SummaryBordered pits are cavities in the lignified cell walls of xylem conduits (vessels and tracheids) that are essential components in the water-transport system of higher plants. The pit membrane, which lies in the center of each pit, allows water to pass between xylem conduits but limits the spread of embolism and vascular pathogens in the xylem. Averaged across a wide range of species, pits account for &gt; 50% of total xylem hydraulic resistance, indicating that they are an important factor in the overall hydraulic efficiency of plants. The structure of pits varies dramatically across species, with large differences evident in the porosity and thickness of pit membranes. Because greater porosity reduces hydraulic resistance but increases vulnerability to embolism, differences in pit structure are expected to correlate with trade-offs between efficiency and safety of water transport. However, trade-offs in hydraulic function are influenced both by pit-level differences in structure (e.g. average porosity of pit membranes) and by tissue-level changes in conduit allometry (average length, diameter) and the total surface area of pit membranes that connects vessels. In this review we address the impact of variation in pit structure on water transport in plants from the level of individual pits to the whole plant.","DOI":"10.1111/j.1469-8137.2007.02317.x","ISSN":"1469-8137","shortTitle":"Structure and function of bordered pits","language":"en","author":[{"family":"Choat","given":"Brendan"},{"family":"Cobb","given":"Alexander R."},{"family":"Jansen","given":"Steven"}],"issued":{"date-parts":[["2008"]]},"accessed":{"date-parts":[["2013",4,16]]}}}],"schema":"https://github.com/citation-style-language/schema/raw/master/csl-citation.json"} </w:instrText>
      </w:r>
      <w:r w:rsidR="00255FB5" w:rsidRPr="006E3EB5">
        <w:fldChar w:fldCharType="separate"/>
      </w:r>
      <w:r w:rsidR="00905EB1" w:rsidRPr="00905EB1">
        <w:rPr>
          <w:rFonts w:cs="Open Sans"/>
        </w:rPr>
        <w:t>[15,16]</w:t>
      </w:r>
      <w:r w:rsidR="00255FB5" w:rsidRPr="006E3EB5">
        <w:fldChar w:fldCharType="end"/>
      </w:r>
      <w:r w:rsidRPr="006E3EB5">
        <w:t xml:space="preserve">. </w:t>
      </w:r>
      <w:r w:rsidR="00255FB5">
        <w:fldChar w:fldCharType="begin"/>
      </w:r>
      <w:r w:rsidR="00E47C5D">
        <w:instrText xml:space="preserve"> ADDIN ZOTERO_ITEM CSL_CITATION {"citationID":"eia3t884g","properties":{"formattedCitation":"[15]","plainCitation":"[15]"},"citationItems":[{"id":913,"uris":["http://zotero.org/users/953188/items/V3IVG7XQ"],"uri":["http://zotero.org/users/953188/items/V3IVG7XQ"],"itemData":{"id":913,"type":"article-journal","title":"Variation in xylem structure from tropics to tundra: Evidence from vestured pits","container-title":"Proceedings of the National Academy of Sciences of the United States of America","page":"8833-8837","volume":"101","issue":"23","source":"www.pnas.org","abstract":"Bordered pits play an important role in permitting water flow among adjacent tracheary elements in flowering plants. Variation in the bordered pit structure is suggested to be adaptive in optimally balancing the conflict between hydraulic efficiency (conductivity) and safety from air entry at the pit membrane (air seeding). The possible function of vestured pits, which are bordered pits with protuberances from the secondary cell wall of the pit chamber, could be increased hydraulic resistance or minimized vulnerability to air seeding. These functional hypotheses have to be harmonized with the notion that the vestured or nonvestured nature of pits contains strong phylogenetic signals (i.e., often characterize large species-rich clades with broad ecological ranges). A literature survey of 11,843 species covering 6,428 genera from diverse climates indicates that the incidence of vestured pits considerably decreases from tropics to tundra. The highest frequencies of vestured pits occur in deserts and tropical seasonal woodlands. Moreover, a distinctly developed network of branched vestures is mainly restricted to warm habitats in both mesic and dry (sub)tropical lowlands, whereas vestures in woody plants from cold and boreal arctic environments are usually minute and simple. A similar survey of the frequency of exclusively scalariform perforation plates illustrates that the major ecological trend of this feature is opposite that of vestured pits. These findings provide previously undescribed insights suggesting that vessels with vestured pits and simple perforation plates function as an efficient hydraulic system in plants growing in warm environments with periodical or continuous drought stress.","DOI":"10.1073/pnas.0402621101","ISSN":"0027-8424, 1091-6490","shortTitle":"Variation in xylem structure from tropics to tundra","journalAbbreviation":"PNAS","language":"en","author":[{"family":"Jansen","given":"Steven"},{"family":"Baas","given":"Pieter"},{"family":"Gasson","given":"Peter"},{"family":"Lens","given":"Frederic"},{"family":"Smets","given":"Erik"}],"issued":{"date-parts":[["2004",6,8]]},"accessed":{"date-parts":[["2013",4,16]]}}}],"schema":"https://github.com/citation-style-language/schema/raw/master/csl-citation.json"} </w:instrText>
      </w:r>
      <w:r w:rsidR="00255FB5">
        <w:fldChar w:fldCharType="separate"/>
      </w:r>
      <w:r w:rsidR="00E47C5D" w:rsidRPr="00E47C5D">
        <w:rPr>
          <w:rFonts w:cs="Open Sans"/>
        </w:rPr>
        <w:t>[15]</w:t>
      </w:r>
      <w:r w:rsidR="00255FB5">
        <w:fldChar w:fldCharType="end"/>
      </w:r>
      <w:r w:rsidRPr="006E3EB5">
        <w:t xml:space="preserve"> </w:t>
      </w:r>
      <w:proofErr w:type="gramStart"/>
      <w:r w:rsidRPr="006E3EB5">
        <w:t>found</w:t>
      </w:r>
      <w:proofErr w:type="gramEnd"/>
      <w:r w:rsidRPr="006E3EB5">
        <w:t xml:space="preserve"> the highest incidence of species with vestured pits in deserts and in tropical seasonal woodlands. Vestured pits have been suggested to participate in embolism resistance </w:t>
      </w:r>
      <w:r w:rsidR="00255FB5" w:rsidRPr="006E3EB5">
        <w:fldChar w:fldCharType="begin"/>
      </w:r>
      <w:r w:rsidR="00905EB1">
        <w:instrText xml:space="preserve"> ADDIN ZOTERO_ITEM CSL_CITATION {"citationID":"24flugp32m","properties":{"formattedCitation":"{\\rtf [17\\uc0\\u8211{}19]}","plainCitation":"[17–19]"},"citationItems":[{"id":978,"uris":["http://zotero.org/users/953188/items/AZQWGC6B"],"uri":["http://zotero.org/users/953188/items/AZQWGC6B"],"itemData":{"id":978,"type":"article-journal","title":"A hypothesis on the function of vestured pits","container-title":"IAWA Bulletin","page":"13-15","volume":"1","author":[{"family":"Zweypfenning","given":"R C V J"}],"issued":{"date-parts":[["1978"]]}}},{"id":1064,"uris":["http://zotero.org/users/953188/items/3IEPMIR5"],"uri":["http://zotero.org/users/953188/items/3IEPMIR5"],"itemData":{"id":1064,"type":"article-journal","title":"Vestured pits: do they promote safer water transport?","container-title":"International Journal of Plant Sciences","page":"405-413","volume":"164","issue":"3","source":"JSTOR","abstract":"The distribution of vestured pits in angiosperms is briefly reviewed. In some major clades, the character is of constant occurrence and thus very conservative; in others, it is more variable and apparently subject to both parallel origins and reversible losses. There is a striking correlation between the type of vessel perforation plate and vestured pits. Virtually all taxa with vestured pits have simple perforation plates. This correlation, together with contrasting ecological trends for scalariform perforation plates and vestured pits, has inspired functional hypotheses that vestured pits contribute to hydraulic safety. Whereas scalariform perforations may be instrumental in reducing the effects of freezing</w:instrText>
      </w:r>
      <w:r w:rsidR="00905EB1">
        <w:rPr>
          <w:rFonts w:ascii="Cambria Math" w:hAnsi="Cambria Math" w:cs="Cambria Math"/>
        </w:rPr>
        <w:instrText>‐</w:instrText>
      </w:r>
      <w:r w:rsidR="00905EB1">
        <w:rPr>
          <w:rFonts w:cs="Open Sans"/>
        </w:rPr>
        <w:instrText xml:space="preserve">induced embolisms in temperate to boreal and alpine regions, vestured pits seem to be a good candidate to facilitate embolism reversal in xeric and warmer regions with high transpiration rates. The presence of highly lignified structures within the </w:instrText>
      </w:r>
      <w:r w:rsidR="00905EB1">
        <w:instrText>pit chamber may influence hydraulic resistance, decrease vulnerability to cavitation, or help to repair embolism by compartmentalizing or affecting the contact angle of the convex air</w:instrText>
      </w:r>
      <w:r w:rsidR="00905EB1">
        <w:rPr>
          <w:rFonts w:ascii="Cambria Math" w:hAnsi="Cambria Math" w:cs="Cambria Math"/>
        </w:rPr>
        <w:instrText>‐</w:instrText>
      </w:r>
      <w:r w:rsidR="00905EB1">
        <w:rPr>
          <w:rFonts w:cs="Open Sans"/>
        </w:rPr>
        <w:instrText>water interface within intervessel pits.","DOI":"10.1086/374369","ISSN":</w:instrText>
      </w:r>
      <w:r w:rsidR="00905EB1">
        <w:instrText xml:space="preserve">"1058-5893","note":"ArticleType: research-article / Full publication date: May 2003 / Copyright © 2003 The University of Chicago Press","shortTitle":"Vestured Pits","journalAbbreviation":"International Journal of Plant Sciences","author":[{"family":"Jansen","given":"Steven"},{"family":"Baas","given":"Pieter"},{"family":"Gasson","given":"Peter"},{"family":"Smets","given":"Erik"}],"issued":{"date-parts":[["2003",5,1]]},"accessed":{"date-parts":[["2013",5,2]]}}},{"id":1039,"uris":["http://zotero.org/users/953188/items/E9K2J979"],"uri":["http://zotero.org/users/953188/items/E9K2J979"],"itemData":{"id":1039,"type":"article-journal","title":"Changes in pit membrane porosity due to deflection and stretching: the role of vestured pits","container-title":"Journal of Experimental Botany","page":"1569-1575","volume":"55","issue":"402","source":"jxb.oxfordjournals.org","abstract":"The effect of increasing pressure difference (ΔP) on intervessel pit membrane porosity was studied in two angiosperm tree species with differing pit architecture. Fraxinus americana L. possesses typical angiosperm bordered pit structure while Sophora japonica L. exhibits well-developed vestures in intervessel pit chambers. It was hypothesized (a) that large ΔP across intervessel pits would cause the deflection of pit membranes in the stems of F. americana resulting in significant increases in porosity and thus lower cavitation thresholds, and (b) that the presence of vestures would prevent the deflection of pit membranes in S. japonica. To determine if the porosity of pit membranes increased under mechanical stress, suspensions of colloidal gold, 5 nm and 20 nm in diameter, were perfused across intervessel pit membranes at ΔP ranging from 0.25 MPa to 6.0 MPa. The effect of increasing ΔP on membrane porosity was also tested by comparing air seeding thresholds (Pa) in stems perfused with water or a solution with lower surface tension. Air seeding and colloidal gold experiments indicated that pit membrane porosity increased significantly with ΔP in F. americana. In S. japonica, increases in permeability to colloidal gold with ΔP were small and maximum pore diameters predicted from Pa were independent of ΔP, suggesting that vestures limited the degree to which the membrane can be deflected from the centre of the pit cavity. This provides the first experimental evidence that vestures reduce the probability of air seeding through pit membranes.","DOI":"10.1093/jxb/erh173","ISSN":"0022-0957, 1460-2431","shortTitle":"Changes in pit membrane porosity due to deflection and stretching","journalAbbreviation":"J. Exp. Bot.","language":"en","author":[{"family":"Choat","given":"Brendan"},{"family":"Jansen","given":"Steven"},{"family":"Zwieniecki","given":"Maciej A."},{"family":"Smets","given":"Erik"},{"family":"Holbrook","given":"N. Michele"}],"issued":{"date-parts":[["2004",7,1]]},"accessed":{"date-parts":[["2013",4,26]]}}}],"schema":"https://github.com/citation-style-language/schema/raw/master/csl-citation.json"} </w:instrText>
      </w:r>
      <w:r w:rsidR="00255FB5" w:rsidRPr="006E3EB5">
        <w:fldChar w:fldCharType="separate"/>
      </w:r>
      <w:r w:rsidR="00905EB1" w:rsidRPr="00905EB1">
        <w:rPr>
          <w:rFonts w:cs="Open Sans"/>
          <w:szCs w:val="24"/>
        </w:rPr>
        <w:t>[17–19]</w:t>
      </w:r>
      <w:r w:rsidR="00255FB5" w:rsidRPr="006E3EB5">
        <w:fldChar w:fldCharType="end"/>
      </w:r>
      <w:r w:rsidRPr="006E3EB5">
        <w:t>. Another relevant strategy might be the fraction of very small conduits (conduits narrower than 15 μm here called ‘conduits</w:t>
      </w:r>
      <w:r w:rsidRPr="006E3EB5">
        <w:rPr>
          <w:vertAlign w:val="subscript"/>
        </w:rPr>
        <w:t>15μm</w:t>
      </w:r>
      <w:r w:rsidRPr="006E3EB5">
        <w:t xml:space="preserve">’, which could be small vessels or tracheids). These occurred in over 90% of species from the dry site and only in 5% of species from the wet. These conduits can potentially safely transport or store water </w:t>
      </w:r>
      <w:r w:rsidR="00255FB5" w:rsidRPr="006E3EB5">
        <w:fldChar w:fldCharType="begin"/>
      </w:r>
      <w:r w:rsidR="00905EB1">
        <w:instrText xml:space="preserve"> ADDIN ZOTERO_ITEM CSL_CITATION {"citationID":"nlsjblg8u","properties":{"formattedCitation":"[20]","plainCitation":"[20]"},"citationItems":[{"id":439,"uris":["http://zotero.org/users/953188/items/NE7A3JRT"],"uri":["http://zotero.org/users/953188/items/NE7A3JRT"],"itemData":{"id":439,"type":"article-journal","title":"Anatomical features associated with water transport in imperforate tracheary elements of vessel-bearing angiosperms","container-title":"Annals of Botany","page":"953-964","volume":"107","issue":"6","source":"aob.oxfordjournals.org","abstract":"Background and Aims Imperforate tracheary elements (ITEs) in wood of vessel-bearing angiosperms may or may not transport water. Despite the significance of hydraulic transport for defining ITE types, the combination of cell structure with water transport visualization in planta has received little attention. This study provides a quantitative analysis of structural features associated with the conductive vs. non-conductive nature of ITEs.\nMethods Visualization of water transport was studied in 15 angiosperm species by dye injection and cryo-scanning electron microscopy. Structural features of ITEs were examined using light and electron microscopy.\nKey Results ITEs connected to each other by pit pairs with complete pit membranes contributed to water transport, while cells showing pit membranes with perforations up to 2 µm were hydraulically not functional. A close relationship was found between pit diameter and pit density, with both characters significantly higher in conductive than in non-conductive cells. In species with both conductive and non-conductive ITEs, a larger diameter was characteristic of the conductive cells. Water transport showed no apparent relationship with the length of ITEs and vessel grouping.\nConclusions The structure and density of pits between ITEs represent the main anatomical characters determining water transport. The pit membrane structure of ITEs provides a reliable, but practically challenging, criterion to determine their conductive status. It is suggested that the term tracheids should strictly be used for conductive ITEs, while fibre-tracheids and libriform fibres are non-conductive.","DOI":"10.1093/aob/mcr042","ISSN":"0305-7364, 1095-8290","journalAbbreviation":"Ann Bot","language":"en","author":[{"family":"Sano","given":"Yuzou"},{"family":"Morris","given":"Hugh"},{"family":"Shimada","given":"Hiroshi"},{"family":"Craene","given":"Louis P. Ronse De"},{"family":"Jansen","given":"Steven"}],"issued":{"date-parts":[["2011",5,1]]},"accessed":{"date-parts":[["2013",1,4]],"season":"06:32:38"}}}],"schema":"https://github.com/citation-style-language/schema/raw/master/csl-citation.json"} </w:instrText>
      </w:r>
      <w:r w:rsidR="00255FB5" w:rsidRPr="006E3EB5">
        <w:fldChar w:fldCharType="separate"/>
      </w:r>
      <w:r w:rsidR="00905EB1" w:rsidRPr="00905EB1">
        <w:rPr>
          <w:rFonts w:cs="Open Sans"/>
        </w:rPr>
        <w:t>[20]</w:t>
      </w:r>
      <w:r w:rsidR="00255FB5" w:rsidRPr="006E3EB5">
        <w:fldChar w:fldCharType="end"/>
      </w:r>
      <w:r w:rsidRPr="006E3EB5">
        <w:t xml:space="preserve"> and have been suggested as playing a significant role in water stressed regions </w:t>
      </w:r>
      <w:r w:rsidR="00255FB5" w:rsidRPr="006E3EB5">
        <w:fldChar w:fldCharType="begin"/>
      </w:r>
      <w:r w:rsidR="00905EB1">
        <w:instrText xml:space="preserve"> ADDIN ZOTERO_ITEM CSL_CITATION {"citationID":"248l60rt35","properties":{"formattedCitation":"{\\rtf [21\\uc0\\u8211{}24]}","plainCitation":"[21–24]"},"citationItems":[{"id":1254,"uris":["http://zotero.org/users/953188/items/7GSXFH8P"],"uri":["http://zotero.org/users/953188/items/7GSXFH8P"],"itemData":{"id":1254,"type":"article-journal","title":"Vessel grouping in dicotyledon wood: significance and relationship to imperforate tracheary elements","container-title":"Aliso","page":"505-525","volume":"10","issue":"4","author":[{"family":"Carlquist","given":"Sherwin"}],"issued":{"date-parts":[["1984"]]}}},{"id":580,"uris":["http://zotero.org/users/953188/items/K3MEPURC"],"uri":["http://zotero.org/users/953188/items/K3MEPURC"],"itemData":{"id":580,"type":"article-journal","title":"Vasicentric tracheids as a drought survival mechanism in the woody flora","container-title":"Aliso","page":"37-68","volume":"11","issue":"1","source":"ISI Web of Knowledge","abstract":"Vasicentric tracheids are defined as tracheids present adjacent to   vessels in a wood which also possesses libriform fibers of   fiber-tracheids as imperforate tracheary elements. Vasicentric tracheids   offer a subsidiary conducting system which can supply stems and leaves   when the vessels to which vasicentric tracheids are adjacent fail   because of air embolisms. True tracheids have much the same   physiological effect, maximizing potential safety in conduction.   Vasicentric tracheids, vascular tracheids, and true tracheids are alike   in being imperforate tracheary elements bearing relatively large   bordered pits approximately like those on lateral walls of vessels in   density. Libriform fibers or fiber-tracheids also occur in woods in   which vasicentric tracheids or vascular tracheids are present. Vascular   tracheids maintain water columns in stems, which thereby persist through   dry seasons, but may not adequately supply leaves, which may wilt as   drought progresses. Vasicentric tracheids,  by safeguarding the   conduction of all parts of a growth ring, seem related to the evergreen   habit which many shrubs possessing vasicentric tracheids have. Phylads   with true tracheids are relatively few in dicotyledons, and only a small   part of these groups have evidently succeeded in adapting to dry   climates. The numerous phylads which instead have libriform fibers or   fiber-tracheids have developed comparable safety by evolving vasicentric   tracheids. Therefore, genera with vasicentric tracheids bulk large in   the floras of areas in which evergreen drought-tolerant shrubs are   adaptive, the Mediterranean-type areas of the world. In southern   California, 26 families (17 reported for the first time) have   vasicentric tracheids; notable genera include Arctostaphylos, Ceanothus,   Prunus, Quercus and Salvia. Desert shrubs have vasicentric tracheids to   a somewhat lesser degree. Other Mediterranean-type areas are surveyed   for both vasicentric tracheids and true tracheids. The regions so    analyzed are central Chile, southern Australia, the lands adjacent to   the Mediterranean Sea, and southern Africa. Genera in these areas with   vasicentric tracheids include Banksia, Carissa, Eucalyptus, Grevillea,   Hakea, Protea, Quercus, Rosmarinus, etc. New Zealand and Japan are   wetter and have fewer genera with vasicentric tracheids but more with   true tracheids. Many drought-tolerant evergreen shrubs have vasicentric   tracheids. A new listing of families and genera with vasicentric    tracheids is provided for the world flora, with new reports documented   and pertinent literature cited. The lack of reports on occurrence of   vasicentric tracheids may in part relate to difficulty in identifying   these cells; suggestions for analysis are given.","language":"English","author":[{"family":"Carlquist","given":"Sherwin"}],"issued":{"date-parts":[["1985"]]}}},{"id":589,"uris":["http://zotero.org/users/953188/items/RBKTUBCT"],"uri":["http://zotero.org/users/953188/items/RBKTUBCT"],"itemData":{"id":589,"type":"article-journal","title":"How wood evolves: a new synthesis","container-title":"Botany","page":"901-940","volume":"90","issue":"10","source":"CrossRef","DOI":"10.1139/b2012-048","ISSN":"1916-2790, 1916-2804","shortTitle":"How wood evolves","author":[{"family":"Carlquist","given":"Sherwin"}],"issued":{"date-parts":[["2012",10]]},"accessed":{"date-parts":[["2013",2,5]]}}},{"id":348,"uris":["http://zotero.org/users/953188/items/C44FWTK6"],"uri":["http://zotero.org/users/953188/items/C44FWTK6"],"itemData":{"id":348,"type":"article-journal","title":"Ecological wood anatomy of the woody Southern Californian flora","container-title":"IAWA Bulletin n.s.","page":"319-347","volume":"6","issue":"4","author":[{"family":"Carlquist","given":"Sherwin"},{"family":"Hoekman","given":"David A"}],"issued":{"date-parts":[["1985"]]}}}],"schema":"https://github.com/citation-style-language/schema/raw/master/csl-citation.json"} </w:instrText>
      </w:r>
      <w:r w:rsidR="00255FB5" w:rsidRPr="006E3EB5">
        <w:fldChar w:fldCharType="separate"/>
      </w:r>
      <w:r w:rsidR="00905EB1" w:rsidRPr="00905EB1">
        <w:rPr>
          <w:rFonts w:cs="Open Sans"/>
          <w:szCs w:val="24"/>
        </w:rPr>
        <w:t>[21–24]</w:t>
      </w:r>
      <w:r w:rsidR="00255FB5" w:rsidRPr="006E3EB5">
        <w:fldChar w:fldCharType="end"/>
      </w:r>
      <w:r w:rsidRPr="006E3EB5">
        <w:t>.</w:t>
      </w:r>
    </w:p>
    <w:p w:rsidR="00255FB5" w:rsidRDefault="006E3EB5">
      <w:pPr>
        <w:pStyle w:val="NormalIndent"/>
        <w:spacing w:line="480" w:lineRule="auto"/>
        <w:ind w:left="0" w:firstLine="720"/>
      </w:pPr>
      <w:r w:rsidRPr="006E3EB5">
        <w:t>The fraction of conduits</w:t>
      </w:r>
      <w:r w:rsidRPr="006E3EB5">
        <w:rPr>
          <w:vertAlign w:val="subscript"/>
        </w:rPr>
        <w:t>15μm</w:t>
      </w:r>
      <w:r w:rsidRPr="006E3EB5">
        <w:t xml:space="preserve"> was also relatively high in the temperate forest where temperatures below 0°C occur in winter. These climatic conditions are prone to freeze-thaw embolism. It has been shown that smaller vessels are more resistant to this type of embolism </w:t>
      </w:r>
      <w:r w:rsidR="00255FB5" w:rsidRPr="006E3EB5">
        <w:fldChar w:fldCharType="begin"/>
      </w:r>
      <w:r w:rsidR="00905EB1">
        <w:instrText xml:space="preserve"> ADDIN ZOTERO_ITEM CSL_CITATION {"citationID":"2gla6sicat","properties":{"formattedCitation":"[25,26]","plainCitation":"[25,26]"},"citationItems":[{"id":875,"uris":["http://zotero.org/users/953188/items/XUPAX26X"],"uri":["http://zotero.org/users/953188/items/XUPAX26X"],"itemData":{"id":875,"type":"article-journal","title":"The relationship between xylem conduit diameter and cavitation caused by freezing","container-title":"American Journal of Botany","page":"1367-1372","volume":"86","issue":"10","source":"www.amjbot.org","abstract":"The centrifuge method for measuring the resistance of xylem to cavitation by water stress was modified to also account for any additional cavitation that might occur from a freeze-thaw cycle. A strong correlation was found between cavitation by freezing and mean conduit diameter. On the one extreme, a tracheid-bearing conifer and diffuse-porous angiosperms with small-diameter vessels (mean diameter &lt;30 μm) showed no freezing-induced cavitation under modest water stress (xylem pressure = −0.5 MPa), whereas species with larger diameter vessels (mean &gt;40 μm) were nearly completely cavitated under the same conditions. Species with intermediate mean diameters (30–40 μm) showed partial cavitation by freezing. These results are consistent with a critical diameter of 44 μm at or above which cavitation would occur by a freeze–thaw cycle at −0.5 MPa. As expected, vulnerability to cavitation by freezing was correlated with the hydraulic conductivity per stem transverse area. The results confirm and extend previous reports that small-diameter conduits are relatively resistant to cavitation by freezing. It appears that the centrifuge method, modified to include freeze–thaw cycles, may be useful in separating the interactive effects of xylem pressure and freezing on cavitation.","ISSN":"0002-9122, 1537-2197","journalAbbreviation":"Am. J. Bot.","language":"en","author":[{"family":"Davis","given":"Stephen D."},{"family":"Sperry","given":"John S."},{"family":"Hacke","given":"Uwe G."}],"issued":{"date-parts":[["1999",10,1]]},"accessed":{"date-parts":[["2013",4,15]]}}},{"id":872,"uris":["http://zotero.org/users/953188/items/S9PQVGCP"],"uri":["http://zotero.org/users/953188/items/S9PQVGCP"],"itemData":{"id":872,"type":"article-journal","title":"Tracheid diameter is the key trait determining the extent of freezing-induced embolism in conifers","container-title":"Tree Physiology","page":"907-914","volume":"23","issue":"13","source":"treephys.oxfordjournals.org.simsrad.net.ocs.mq.edu.au","abstract":"We tested the hypotheses that freezing-induced embolism is related to conduit diameter, and that conifers and angiosperms with conduits of equivalent diameter will exhibit similar losses of hydraulic conductivity in response to freezing. We surveyed the freeze–thaw response of conifers with a broad range of tracheid diameters by subjecting wood segments (root, stem and trunk wood) to a freeze–thaw cycle at –0.5 MPa in a centrifuge. Embolism increased as mean tracheid diameter exceeded 30 μm. Tracheids with a critical diameter greater than 43 μm were calculated to embolize in response to freezing and thawing at a xylem pressure of –0.5 MPa. To confirm that freezing-induced embolism is a function of conduit air content, we air-saturated stems of Abies lasiocarpa (Hook.) Nutt. (mean conduit diameter 13.7 ± 0.7 μm) by pressurizing them 1 to 60 times above atmospheric pressure, prior to freezing and thawing. The air saturation method simulated the effect of increased tracheid size because the degree of super-saturation is proportional to a tracheid volume holding an equivalent amount of dissolved air at ambient pressure. Embolism increased when the dissolved air content was equivalent to a mean tracheid diameter of 30 μm at ambient air pressure. Our centrifuge and air-saturation data show that conifers are as vulnerable to freeze–thaw embolism as angiosperms with equal conduit diameter. We suggest that the hydraulic conductivity of conifer wood is maximized by increasing tracheid diameters in locations where freezing is rare. Conversely, the narrowing of tracheid diameters protects against freezing-induced embolism in cold climates.","DOI":"10.1093/treephys/23.13.907","ISSN":"0829-318X, 1758-4469","journalAbbreviation":"Tree Physiol","language":"en","author":[{"family":"Pittermann","given":"Jarmila"},{"family":"Sperry","given":"John"}],"issued":{"date-parts":[["2003",9,1]]},"accessed":{"date-parts":[["2013",4,15]]}}}],"schema":"https://github.com/citation-style-language/schema/raw/master/csl-citation.json"} </w:instrText>
      </w:r>
      <w:r w:rsidR="00255FB5" w:rsidRPr="006E3EB5">
        <w:fldChar w:fldCharType="separate"/>
      </w:r>
      <w:r w:rsidR="00905EB1" w:rsidRPr="00905EB1">
        <w:rPr>
          <w:rFonts w:cs="Open Sans"/>
        </w:rPr>
        <w:t>[25,26]</w:t>
      </w:r>
      <w:r w:rsidR="00255FB5" w:rsidRPr="006E3EB5">
        <w:fldChar w:fldCharType="end"/>
      </w:r>
      <w:r w:rsidRPr="006E3EB5">
        <w:t>. Indeed</w:t>
      </w:r>
      <w:r w:rsidR="008D558E">
        <w:t>, in our study</w:t>
      </w:r>
      <w:r w:rsidRPr="006E3EB5">
        <w:t xml:space="preserve"> species from the temperate forest had significantly smaller vessels than in the tropical sites, as well as a larger fraction of conduits</w:t>
      </w:r>
      <w:r w:rsidRPr="006E3EB5">
        <w:rPr>
          <w:vertAlign w:val="subscript"/>
        </w:rPr>
        <w:t>15μm</w:t>
      </w:r>
      <w:r w:rsidRPr="006E3EB5">
        <w:t xml:space="preserve">. These both </w:t>
      </w:r>
      <w:proofErr w:type="gramStart"/>
      <w:r w:rsidRPr="006E3EB5">
        <w:t>would be expected</w:t>
      </w:r>
      <w:proofErr w:type="gramEnd"/>
      <w:r w:rsidRPr="006E3EB5">
        <w:t xml:space="preserve"> to reduce the risk of freeze-thaw embolism. </w:t>
      </w:r>
    </w:p>
    <w:p w:rsidR="00255FB5" w:rsidRPr="00E47C5D" w:rsidRDefault="001A181A" w:rsidP="00E47C5D">
      <w:pPr>
        <w:pStyle w:val="Bibliography"/>
      </w:pPr>
      <w:r w:rsidRPr="00E47C5D">
        <w:t>References</w:t>
      </w:r>
    </w:p>
    <w:p w:rsidR="00E47C5D" w:rsidRPr="00E47C5D" w:rsidRDefault="00255FB5" w:rsidP="00E47C5D">
      <w:pPr>
        <w:pStyle w:val="Bibliography"/>
        <w:rPr>
          <w:szCs w:val="24"/>
        </w:rPr>
      </w:pPr>
      <w:r w:rsidRPr="00E47C5D">
        <w:fldChar w:fldCharType="begin"/>
      </w:r>
      <w:r w:rsidR="00905EB1" w:rsidRPr="00E47C5D">
        <w:instrText xml:space="preserve"> ADDIN ZOTERO_BIBL {"custom":[]} CSL_BIBLIOGRAPHY </w:instrText>
      </w:r>
      <w:r w:rsidRPr="00E47C5D">
        <w:fldChar w:fldCharType="separate"/>
      </w:r>
      <w:r w:rsidR="00E47C5D" w:rsidRPr="00E47C5D">
        <w:rPr>
          <w:szCs w:val="24"/>
        </w:rPr>
        <w:t xml:space="preserve">1. </w:t>
      </w:r>
      <w:r w:rsidR="00E47C5D" w:rsidRPr="00E47C5D">
        <w:rPr>
          <w:szCs w:val="24"/>
        </w:rPr>
        <w:tab/>
        <w:t>Fujiwara S, Sameshima K, Kuroda K, Takamura N (1991) Anatomy and properties of Japanese hardwoods. I. Variation of fibre dimensions and tissue proportions and their relation to basic density. IAWA Bull Ns 12: 419–424.</w:t>
      </w:r>
    </w:p>
    <w:p w:rsidR="00E47C5D" w:rsidRPr="00E47C5D" w:rsidRDefault="00E47C5D" w:rsidP="00E47C5D">
      <w:pPr>
        <w:pStyle w:val="Bibliography"/>
        <w:rPr>
          <w:szCs w:val="24"/>
        </w:rPr>
      </w:pPr>
      <w:r w:rsidRPr="00E47C5D">
        <w:rPr>
          <w:szCs w:val="24"/>
        </w:rPr>
        <w:lastRenderedPageBreak/>
        <w:t xml:space="preserve">2. </w:t>
      </w:r>
      <w:r w:rsidRPr="00E47C5D">
        <w:rPr>
          <w:szCs w:val="24"/>
        </w:rPr>
        <w:tab/>
        <w:t>Jacobsen AL, Agenbag L, Esler KJ, Pratt RB, Ewers FW, et al. (2007) Xylem density, biomechanics and anatomical traits correlate with water stress in 17 evergreen shrub species of the Mediterranean</w:t>
      </w:r>
      <w:r w:rsidRPr="00E47C5D">
        <w:rPr>
          <w:rFonts w:ascii="Cambria Math" w:hAnsi="Cambria Math" w:cs="Cambria Math"/>
          <w:szCs w:val="24"/>
        </w:rPr>
        <w:t>‐</w:t>
      </w:r>
      <w:r w:rsidRPr="00E47C5D">
        <w:rPr>
          <w:rFonts w:cs="Open Sans"/>
          <w:szCs w:val="24"/>
        </w:rPr>
        <w:t>type climate region of South Africa. J Ecol 95: 171–183. do</w:t>
      </w:r>
      <w:r w:rsidRPr="00E47C5D">
        <w:rPr>
          <w:szCs w:val="24"/>
        </w:rPr>
        <w:t>i:10.1111/j.1365-2745.2006.01186.x.</w:t>
      </w:r>
    </w:p>
    <w:p w:rsidR="00E47C5D" w:rsidRPr="00E47C5D" w:rsidRDefault="00E47C5D" w:rsidP="00E47C5D">
      <w:pPr>
        <w:pStyle w:val="Bibliography"/>
        <w:rPr>
          <w:szCs w:val="24"/>
        </w:rPr>
      </w:pPr>
      <w:r w:rsidRPr="00E47C5D">
        <w:rPr>
          <w:szCs w:val="24"/>
        </w:rPr>
        <w:t xml:space="preserve">3. </w:t>
      </w:r>
      <w:r w:rsidRPr="00E47C5D">
        <w:rPr>
          <w:szCs w:val="24"/>
        </w:rPr>
        <w:tab/>
        <w:t>Rana R, Langenfeld-Heyser R, Finkeldey R, Polle A (2009) Functional anatomy of five endangered tropical timber wood species of the family Dipterocarpaceae. Trees - Struct Funct 23: 521–529. doi:10.1007/s00468-008-0298-4.</w:t>
      </w:r>
    </w:p>
    <w:p w:rsidR="00E47C5D" w:rsidRPr="00E47C5D" w:rsidRDefault="00E47C5D" w:rsidP="00E47C5D">
      <w:pPr>
        <w:pStyle w:val="Bibliography"/>
        <w:rPr>
          <w:szCs w:val="24"/>
        </w:rPr>
      </w:pPr>
      <w:r w:rsidRPr="00E47C5D">
        <w:rPr>
          <w:szCs w:val="24"/>
        </w:rPr>
        <w:t xml:space="preserve">4. </w:t>
      </w:r>
      <w:r w:rsidRPr="00E47C5D">
        <w:rPr>
          <w:szCs w:val="24"/>
        </w:rPr>
        <w:tab/>
        <w:t>Martínez-Cabrera HI, Jones CS, Espino S, Schenk HJ (2009) Wood anatomy and wood density in shrubs: responses to varying aridity along transcontinental transects. Am J Bot 96: 1388–1398. doi:10.3732/ajb.0800237.</w:t>
      </w:r>
    </w:p>
    <w:p w:rsidR="00E47C5D" w:rsidRPr="00E47C5D" w:rsidRDefault="00E47C5D" w:rsidP="00E47C5D">
      <w:pPr>
        <w:pStyle w:val="Bibliography"/>
        <w:rPr>
          <w:szCs w:val="24"/>
        </w:rPr>
      </w:pPr>
      <w:r w:rsidRPr="00E47C5D">
        <w:rPr>
          <w:szCs w:val="24"/>
        </w:rPr>
        <w:t xml:space="preserve">5. </w:t>
      </w:r>
      <w:r w:rsidRPr="00E47C5D">
        <w:rPr>
          <w:szCs w:val="24"/>
        </w:rPr>
        <w:tab/>
        <w:t>Ziemińska K, Butler DW, Gleason SM, Wright IJ, Westoby M (2013) Fibre wall and lumen fractions drive wood density variation across 24 Australian angiosperms. AoB PLANTS 5. Available: http://aobpla.oxfordjournals.org/content/5/plt046.full. Accessed 3 January 2014.</w:t>
      </w:r>
    </w:p>
    <w:p w:rsidR="00E47C5D" w:rsidRPr="00E47C5D" w:rsidRDefault="00E47C5D" w:rsidP="00E47C5D">
      <w:pPr>
        <w:pStyle w:val="Bibliography"/>
        <w:rPr>
          <w:szCs w:val="24"/>
        </w:rPr>
      </w:pPr>
      <w:r w:rsidRPr="00E47C5D">
        <w:rPr>
          <w:szCs w:val="24"/>
        </w:rPr>
        <w:t xml:space="preserve">6. </w:t>
      </w:r>
      <w:r w:rsidRPr="00E47C5D">
        <w:rPr>
          <w:szCs w:val="24"/>
        </w:rPr>
        <w:tab/>
        <w:t>Fortunel C, Ruelle J, Beauchêne J, Fine PVA, Baraloto C (2014) Wood specific gravity and anatomy of branches and roots in 113 Amazonian rainforest tree species across environmental gradients. New Phytol 202: 79–94. doi:10.1111/nph.12632.</w:t>
      </w:r>
    </w:p>
    <w:p w:rsidR="00E47C5D" w:rsidRPr="00E47C5D" w:rsidRDefault="00E47C5D" w:rsidP="00E47C5D">
      <w:pPr>
        <w:pStyle w:val="Bibliography"/>
        <w:rPr>
          <w:szCs w:val="24"/>
        </w:rPr>
      </w:pPr>
      <w:r w:rsidRPr="00E47C5D">
        <w:rPr>
          <w:szCs w:val="24"/>
        </w:rPr>
        <w:t xml:space="preserve">7. </w:t>
      </w:r>
      <w:r w:rsidRPr="00E47C5D">
        <w:rPr>
          <w:szCs w:val="24"/>
        </w:rPr>
        <w:tab/>
        <w:t>Baas P (1973) The wood anatomical range in Ilex (Aquifoliaceae) and its ecological and phylogenetic significance. Blumea 21: 193–258.</w:t>
      </w:r>
    </w:p>
    <w:p w:rsidR="00E47C5D" w:rsidRPr="00E47C5D" w:rsidRDefault="00E47C5D" w:rsidP="00E47C5D">
      <w:pPr>
        <w:pStyle w:val="Bibliography"/>
        <w:rPr>
          <w:szCs w:val="24"/>
        </w:rPr>
      </w:pPr>
      <w:r w:rsidRPr="00E47C5D">
        <w:rPr>
          <w:szCs w:val="24"/>
        </w:rPr>
        <w:t xml:space="preserve">8. </w:t>
      </w:r>
      <w:r w:rsidRPr="00E47C5D">
        <w:rPr>
          <w:szCs w:val="24"/>
        </w:rPr>
        <w:tab/>
        <w:t>Wheeler EA, Baas P, Rodgers S (2007) Variations in dicot wood anatomy: a global analysis based on the InsideWood database. IAWA J 28: 229–258.</w:t>
      </w:r>
    </w:p>
    <w:p w:rsidR="00E47C5D" w:rsidRPr="00E47C5D" w:rsidRDefault="00E47C5D" w:rsidP="00E47C5D">
      <w:pPr>
        <w:pStyle w:val="Bibliography"/>
        <w:rPr>
          <w:szCs w:val="24"/>
        </w:rPr>
      </w:pPr>
      <w:r w:rsidRPr="00E47C5D">
        <w:rPr>
          <w:szCs w:val="24"/>
        </w:rPr>
        <w:t xml:space="preserve">9. </w:t>
      </w:r>
      <w:r w:rsidRPr="00E47C5D">
        <w:rPr>
          <w:szCs w:val="24"/>
        </w:rPr>
        <w:tab/>
        <w:t>Fichtler E, Worbes M (2012) Wood anatomical variables in tropical trees and their relation to site conditions and individual tree morphology. IAWA J 33: 119–140.</w:t>
      </w:r>
    </w:p>
    <w:p w:rsidR="00E47C5D" w:rsidRPr="00E47C5D" w:rsidRDefault="00E47C5D" w:rsidP="00E47C5D">
      <w:pPr>
        <w:pStyle w:val="Bibliography"/>
        <w:rPr>
          <w:szCs w:val="24"/>
        </w:rPr>
      </w:pPr>
      <w:r w:rsidRPr="00E47C5D">
        <w:rPr>
          <w:szCs w:val="24"/>
        </w:rPr>
        <w:lastRenderedPageBreak/>
        <w:t xml:space="preserve">10. </w:t>
      </w:r>
      <w:r w:rsidRPr="00E47C5D">
        <w:rPr>
          <w:szCs w:val="24"/>
        </w:rPr>
        <w:tab/>
        <w:t>Lo Gullo MA, Salleo S (1993) Different vulnerabilities of Quercus ilex L. to freeze- and summer drought-induced xylem embolism: an ecological interpretation. Plant Cell Environ 16: 511–519. doi:10.1111/j.1365-3040.1993.tb00898.x.</w:t>
      </w:r>
    </w:p>
    <w:p w:rsidR="00E47C5D" w:rsidRPr="00E47C5D" w:rsidRDefault="00E47C5D" w:rsidP="00E47C5D">
      <w:pPr>
        <w:pStyle w:val="Bibliography"/>
        <w:rPr>
          <w:szCs w:val="24"/>
        </w:rPr>
      </w:pPr>
      <w:r w:rsidRPr="00E47C5D">
        <w:rPr>
          <w:szCs w:val="24"/>
        </w:rPr>
        <w:t xml:space="preserve">11. </w:t>
      </w:r>
      <w:r w:rsidRPr="00E47C5D">
        <w:rPr>
          <w:szCs w:val="24"/>
        </w:rPr>
        <w:tab/>
        <w:t>Hargrave KR, Kolb KJ, Ewers FW, Davis S d. (1994) Conduit diameter and drought-induced embolism in Salvia mellifera Greene (Labiatae). New Phytol 126: 695–705. doi:10.1111/j.1469-8137.1994.tb02964.x.</w:t>
      </w:r>
    </w:p>
    <w:p w:rsidR="00E47C5D" w:rsidRPr="00E47C5D" w:rsidRDefault="00E47C5D" w:rsidP="00E47C5D">
      <w:pPr>
        <w:pStyle w:val="Bibliography"/>
        <w:rPr>
          <w:szCs w:val="24"/>
        </w:rPr>
      </w:pPr>
      <w:r w:rsidRPr="00E47C5D">
        <w:rPr>
          <w:szCs w:val="24"/>
        </w:rPr>
        <w:t xml:space="preserve">12. </w:t>
      </w:r>
      <w:r w:rsidRPr="00E47C5D">
        <w:rPr>
          <w:szCs w:val="24"/>
        </w:rPr>
        <w:tab/>
        <w:t>Wheeler JK, Sperry JS, Hacke UG, Hoang N (2005) Inter-vessel pitting and cavitation in woody Rosaceae and other vesselled plants: a basis for a safety versus efficiency trade-off in xylem transport. Plant Cell Environ 28: 800–812. doi:10.1111/j.1365-3040.2005.01330.x.</w:t>
      </w:r>
    </w:p>
    <w:p w:rsidR="00E47C5D" w:rsidRPr="00E47C5D" w:rsidRDefault="00E47C5D" w:rsidP="00E47C5D">
      <w:pPr>
        <w:pStyle w:val="Bibliography"/>
        <w:rPr>
          <w:szCs w:val="24"/>
        </w:rPr>
      </w:pPr>
      <w:r w:rsidRPr="00E47C5D">
        <w:rPr>
          <w:szCs w:val="24"/>
        </w:rPr>
        <w:t xml:space="preserve">13. </w:t>
      </w:r>
      <w:r w:rsidRPr="00E47C5D">
        <w:rPr>
          <w:szCs w:val="24"/>
        </w:rPr>
        <w:tab/>
        <w:t>Crivellaro A, McCulloh K, Jones FA, Lachenbruch B (2012) Anatomy and mechanical and hydraulic needs of woody climbers contrasted with subshrubs on the island of Cyprus. Iawa J 33: 355–373.</w:t>
      </w:r>
    </w:p>
    <w:p w:rsidR="00E47C5D" w:rsidRPr="00E47C5D" w:rsidRDefault="00E47C5D" w:rsidP="00E47C5D">
      <w:pPr>
        <w:pStyle w:val="Bibliography"/>
        <w:rPr>
          <w:szCs w:val="24"/>
        </w:rPr>
      </w:pPr>
      <w:r w:rsidRPr="00E47C5D">
        <w:rPr>
          <w:szCs w:val="24"/>
        </w:rPr>
        <w:t xml:space="preserve">14. </w:t>
      </w:r>
      <w:r w:rsidRPr="00E47C5D">
        <w:rPr>
          <w:szCs w:val="24"/>
        </w:rPr>
        <w:tab/>
        <w:t>Gleason SM, Butler DW, Waryszak P (2013) Shifts in leaf and stem hydraulic traits across aridity gradients in eastern Australia. Int J Plant Sci 174: 1292–1301. doi:10.1086/673239.</w:t>
      </w:r>
    </w:p>
    <w:p w:rsidR="00E47C5D" w:rsidRPr="00E47C5D" w:rsidRDefault="00E47C5D" w:rsidP="00E47C5D">
      <w:pPr>
        <w:pStyle w:val="Bibliography"/>
        <w:rPr>
          <w:szCs w:val="24"/>
        </w:rPr>
      </w:pPr>
      <w:r w:rsidRPr="00E47C5D">
        <w:rPr>
          <w:szCs w:val="24"/>
        </w:rPr>
        <w:t xml:space="preserve">15. </w:t>
      </w:r>
      <w:r w:rsidRPr="00E47C5D">
        <w:rPr>
          <w:szCs w:val="24"/>
        </w:rPr>
        <w:tab/>
        <w:t>Jansen S, Baas P, Gasson P, Lens F, Smets E (2004) Variation in xylem structure from tropics to tundra: Evidence from vestured pits. Proc Natl Acad Sci U S A 101: 8833–8837. doi:10.1073/pnas.0402621101.</w:t>
      </w:r>
    </w:p>
    <w:p w:rsidR="00E47C5D" w:rsidRPr="00E47C5D" w:rsidRDefault="00E47C5D" w:rsidP="00E47C5D">
      <w:pPr>
        <w:pStyle w:val="Bibliography"/>
        <w:rPr>
          <w:szCs w:val="24"/>
        </w:rPr>
      </w:pPr>
      <w:r w:rsidRPr="00E47C5D">
        <w:rPr>
          <w:szCs w:val="24"/>
        </w:rPr>
        <w:t xml:space="preserve">16. </w:t>
      </w:r>
      <w:r w:rsidRPr="00E47C5D">
        <w:rPr>
          <w:szCs w:val="24"/>
        </w:rPr>
        <w:tab/>
        <w:t>Choat B, Cobb AR, Jansen S (2008) Structure and function of bordered pits: new discoveries and impacts on whole-plant hydraulic function. New Phytol 177: 608–626. doi:10.1111/j.1469-8137.2007.02317.x.</w:t>
      </w:r>
    </w:p>
    <w:p w:rsidR="00E47C5D" w:rsidRPr="00E47C5D" w:rsidRDefault="00E47C5D" w:rsidP="00E47C5D">
      <w:pPr>
        <w:pStyle w:val="Bibliography"/>
        <w:rPr>
          <w:szCs w:val="24"/>
        </w:rPr>
      </w:pPr>
      <w:r w:rsidRPr="00E47C5D">
        <w:rPr>
          <w:szCs w:val="24"/>
        </w:rPr>
        <w:lastRenderedPageBreak/>
        <w:t xml:space="preserve">17. </w:t>
      </w:r>
      <w:r w:rsidRPr="00E47C5D">
        <w:rPr>
          <w:szCs w:val="24"/>
        </w:rPr>
        <w:tab/>
        <w:t>Zweypfenning RCVJ (1978) A hypothesis on the function of vestured pits. IAWA Bull 1: 13–15.</w:t>
      </w:r>
    </w:p>
    <w:p w:rsidR="00E47C5D" w:rsidRPr="00E47C5D" w:rsidRDefault="00E47C5D" w:rsidP="00E47C5D">
      <w:pPr>
        <w:pStyle w:val="Bibliography"/>
        <w:rPr>
          <w:szCs w:val="24"/>
        </w:rPr>
      </w:pPr>
      <w:r w:rsidRPr="00E47C5D">
        <w:rPr>
          <w:szCs w:val="24"/>
        </w:rPr>
        <w:t xml:space="preserve">18. </w:t>
      </w:r>
      <w:r w:rsidRPr="00E47C5D">
        <w:rPr>
          <w:szCs w:val="24"/>
        </w:rPr>
        <w:tab/>
        <w:t>Jansen S, Baas P, Gasson P, Smets E (2003) Vestured pits: do they promote safer water transport? Int J Plant Sci 164: 405–413. doi:10.1086/374369.</w:t>
      </w:r>
    </w:p>
    <w:p w:rsidR="00E47C5D" w:rsidRPr="00E47C5D" w:rsidRDefault="00E47C5D" w:rsidP="00E47C5D">
      <w:pPr>
        <w:pStyle w:val="Bibliography"/>
        <w:rPr>
          <w:szCs w:val="24"/>
        </w:rPr>
      </w:pPr>
      <w:r w:rsidRPr="00E47C5D">
        <w:rPr>
          <w:szCs w:val="24"/>
        </w:rPr>
        <w:t xml:space="preserve">19. </w:t>
      </w:r>
      <w:r w:rsidRPr="00E47C5D">
        <w:rPr>
          <w:szCs w:val="24"/>
        </w:rPr>
        <w:tab/>
        <w:t>Choat B, Jansen S, Zwieniecki MA, Smets E, Holbrook NM (2004) Changes in pit membrane porosity due to deflection and stretching: the role of vestured pits. J Exp Bot 55: 1569–1575. doi:10.1093/jxb/erh173.</w:t>
      </w:r>
    </w:p>
    <w:p w:rsidR="00E47C5D" w:rsidRPr="00E47C5D" w:rsidRDefault="00E47C5D" w:rsidP="00E47C5D">
      <w:pPr>
        <w:pStyle w:val="Bibliography"/>
        <w:rPr>
          <w:szCs w:val="24"/>
        </w:rPr>
      </w:pPr>
      <w:r w:rsidRPr="00E47C5D">
        <w:rPr>
          <w:szCs w:val="24"/>
        </w:rPr>
        <w:t xml:space="preserve">20. </w:t>
      </w:r>
      <w:r w:rsidRPr="00E47C5D">
        <w:rPr>
          <w:szCs w:val="24"/>
        </w:rPr>
        <w:tab/>
        <w:t>Sano Y, Morris H, Shimada H, Craene LPRD, Jansen S (2011) Anatomical features associated with water transport in imperforate tracheary elements of vessel-bearing angiosperms. Ann Bot 107: 953–964. doi:10.1093/aob/mcr042.</w:t>
      </w:r>
    </w:p>
    <w:p w:rsidR="00E47C5D" w:rsidRPr="00E47C5D" w:rsidRDefault="00E47C5D" w:rsidP="00E47C5D">
      <w:pPr>
        <w:pStyle w:val="Bibliography"/>
        <w:rPr>
          <w:szCs w:val="24"/>
        </w:rPr>
      </w:pPr>
      <w:r w:rsidRPr="00E47C5D">
        <w:rPr>
          <w:szCs w:val="24"/>
        </w:rPr>
        <w:t xml:space="preserve">21. </w:t>
      </w:r>
      <w:r w:rsidRPr="00E47C5D">
        <w:rPr>
          <w:szCs w:val="24"/>
        </w:rPr>
        <w:tab/>
        <w:t>Carlquist S (1984) Vessel grouping in dicotyledon wood: significance and relationship to imperforate tracheary elements. Aliso 10: 505–525.</w:t>
      </w:r>
    </w:p>
    <w:p w:rsidR="00E47C5D" w:rsidRPr="00E47C5D" w:rsidRDefault="00E47C5D" w:rsidP="00E47C5D">
      <w:pPr>
        <w:pStyle w:val="Bibliography"/>
        <w:rPr>
          <w:szCs w:val="24"/>
        </w:rPr>
      </w:pPr>
      <w:r w:rsidRPr="00E47C5D">
        <w:rPr>
          <w:szCs w:val="24"/>
        </w:rPr>
        <w:t xml:space="preserve">22. </w:t>
      </w:r>
      <w:r w:rsidRPr="00E47C5D">
        <w:rPr>
          <w:szCs w:val="24"/>
        </w:rPr>
        <w:tab/>
        <w:t>Carlquist S (1985) Vasicentric tracheids as a drought survival mechanism in the woody flora. Aliso 11: 37–68.</w:t>
      </w:r>
    </w:p>
    <w:p w:rsidR="00E47C5D" w:rsidRPr="00E47C5D" w:rsidRDefault="00E47C5D" w:rsidP="00E47C5D">
      <w:pPr>
        <w:pStyle w:val="Bibliography"/>
        <w:rPr>
          <w:szCs w:val="24"/>
        </w:rPr>
      </w:pPr>
      <w:r w:rsidRPr="00E47C5D">
        <w:rPr>
          <w:szCs w:val="24"/>
        </w:rPr>
        <w:t xml:space="preserve">23. </w:t>
      </w:r>
      <w:r w:rsidRPr="00E47C5D">
        <w:rPr>
          <w:szCs w:val="24"/>
        </w:rPr>
        <w:tab/>
        <w:t>Carlquist S (2012) How wood evolves: a new synthesis. Botany 90: 901–940. doi:10.1139/b2012-048.</w:t>
      </w:r>
    </w:p>
    <w:p w:rsidR="00E47C5D" w:rsidRPr="00E47C5D" w:rsidRDefault="00E47C5D" w:rsidP="00E47C5D">
      <w:pPr>
        <w:pStyle w:val="Bibliography"/>
        <w:rPr>
          <w:szCs w:val="24"/>
        </w:rPr>
      </w:pPr>
      <w:r w:rsidRPr="00E47C5D">
        <w:rPr>
          <w:szCs w:val="24"/>
        </w:rPr>
        <w:t xml:space="preserve">24. </w:t>
      </w:r>
      <w:r w:rsidRPr="00E47C5D">
        <w:rPr>
          <w:szCs w:val="24"/>
        </w:rPr>
        <w:tab/>
        <w:t>Carlquist S, Hoekman DA (1985) Ecological wood anatomy of the woody Southern Californian flora. IAWA Bull Ns 6: 319–347.</w:t>
      </w:r>
    </w:p>
    <w:p w:rsidR="00E47C5D" w:rsidRPr="00E47C5D" w:rsidRDefault="00E47C5D" w:rsidP="00E47C5D">
      <w:pPr>
        <w:pStyle w:val="Bibliography"/>
        <w:rPr>
          <w:szCs w:val="24"/>
        </w:rPr>
      </w:pPr>
      <w:r w:rsidRPr="00E47C5D">
        <w:rPr>
          <w:szCs w:val="24"/>
        </w:rPr>
        <w:t xml:space="preserve">25. </w:t>
      </w:r>
      <w:r w:rsidRPr="00E47C5D">
        <w:rPr>
          <w:szCs w:val="24"/>
        </w:rPr>
        <w:tab/>
        <w:t>Davis SD, Sperry JS, Hacke UG (1999) The relationship between xylem conduit diameter and cavitation caused by freezing. Am J Bot 86: 1367–1372.</w:t>
      </w:r>
    </w:p>
    <w:p w:rsidR="00E47C5D" w:rsidRPr="00E47C5D" w:rsidRDefault="00E47C5D" w:rsidP="00E47C5D">
      <w:pPr>
        <w:pStyle w:val="Bibliography"/>
        <w:rPr>
          <w:szCs w:val="24"/>
        </w:rPr>
      </w:pPr>
      <w:r w:rsidRPr="00E47C5D">
        <w:rPr>
          <w:szCs w:val="24"/>
        </w:rPr>
        <w:t xml:space="preserve">26. </w:t>
      </w:r>
      <w:r w:rsidRPr="00E47C5D">
        <w:rPr>
          <w:szCs w:val="24"/>
        </w:rPr>
        <w:tab/>
        <w:t>Pittermann J, Sperry J (2003) Tracheid diameter is the key trait determining the extent of freezing-induced embolism in conifers. Tree Physiol 23: 907–914. doi:10.1093/treephys/23.13.907.</w:t>
      </w:r>
    </w:p>
    <w:p w:rsidR="00C302A1" w:rsidRPr="0003725E" w:rsidRDefault="00255FB5" w:rsidP="00E47C5D">
      <w:pPr>
        <w:pStyle w:val="Bibliography"/>
        <w:ind w:left="0" w:firstLine="0"/>
        <w:rPr>
          <w:b/>
        </w:rPr>
      </w:pPr>
      <w:r w:rsidRPr="00E47C5D">
        <w:lastRenderedPageBreak/>
        <w:fldChar w:fldCharType="end"/>
      </w:r>
      <w:proofErr w:type="gramStart"/>
      <w:r w:rsidR="00C302A1" w:rsidRPr="0003725E">
        <w:rPr>
          <w:b/>
        </w:rPr>
        <w:t xml:space="preserve">Table </w:t>
      </w:r>
      <w:r w:rsidR="0003725E">
        <w:rPr>
          <w:b/>
        </w:rPr>
        <w:t>1</w:t>
      </w:r>
      <w:r w:rsidR="00C21E1A" w:rsidRPr="0003725E">
        <w:rPr>
          <w:b/>
        </w:rPr>
        <w:t>.</w:t>
      </w:r>
      <w:proofErr w:type="gramEnd"/>
      <w:r w:rsidR="00C302A1" w:rsidRPr="0003725E">
        <w:rPr>
          <w:b/>
        </w:rPr>
        <w:t xml:space="preserve"> </w:t>
      </w:r>
      <w:proofErr w:type="gramStart"/>
      <w:r w:rsidR="00C302A1" w:rsidRPr="0003725E">
        <w:rPr>
          <w:b/>
        </w:rPr>
        <w:t>Site comparisons.</w:t>
      </w:r>
      <w:proofErr w:type="gramEnd"/>
    </w:p>
    <w:tbl>
      <w:tblPr>
        <w:tblW w:w="9015" w:type="dxa"/>
        <w:tblInd w:w="57" w:type="dxa"/>
        <w:tblLayout w:type="fixed"/>
        <w:tblLook w:val="04A0"/>
      </w:tblPr>
      <w:tblGrid>
        <w:gridCol w:w="2268"/>
        <w:gridCol w:w="850"/>
        <w:gridCol w:w="907"/>
        <w:gridCol w:w="907"/>
        <w:gridCol w:w="907"/>
        <w:gridCol w:w="794"/>
        <w:gridCol w:w="794"/>
        <w:gridCol w:w="794"/>
        <w:gridCol w:w="794"/>
      </w:tblGrid>
      <w:tr w:rsidR="00C302A1" w:rsidRPr="00C302A1" w:rsidTr="000564CF">
        <w:trPr>
          <w:cantSplit/>
          <w:trHeight w:val="325"/>
        </w:trPr>
        <w:tc>
          <w:tcPr>
            <w:tcW w:w="2268" w:type="dxa"/>
            <w:vMerge w:val="restart"/>
            <w:shd w:val="clear" w:color="auto" w:fill="auto"/>
            <w:hideMark/>
          </w:tcPr>
          <w:p w:rsidR="00C302A1" w:rsidRPr="00C302A1" w:rsidRDefault="00C302A1" w:rsidP="00C302A1">
            <w:pPr>
              <w:rPr>
                <w:bCs/>
                <w:sz w:val="16"/>
                <w:szCs w:val="16"/>
              </w:rPr>
            </w:pPr>
            <w:r w:rsidRPr="00C302A1">
              <w:rPr>
                <w:bCs/>
                <w:sz w:val="16"/>
                <w:szCs w:val="16"/>
              </w:rPr>
              <w:t>Trait</w:t>
            </w:r>
          </w:p>
        </w:tc>
        <w:tc>
          <w:tcPr>
            <w:tcW w:w="850" w:type="dxa"/>
            <w:vMerge w:val="restart"/>
          </w:tcPr>
          <w:p w:rsidR="00C302A1" w:rsidRPr="00C302A1" w:rsidRDefault="00C302A1" w:rsidP="00C302A1">
            <w:pPr>
              <w:ind w:left="-57" w:hanging="5"/>
              <w:rPr>
                <w:bCs/>
                <w:sz w:val="16"/>
                <w:szCs w:val="16"/>
              </w:rPr>
            </w:pPr>
            <w:r w:rsidRPr="00C302A1">
              <w:rPr>
                <w:bCs/>
                <w:sz w:val="16"/>
                <w:szCs w:val="16"/>
              </w:rPr>
              <w:t>Units</w:t>
            </w:r>
          </w:p>
        </w:tc>
        <w:tc>
          <w:tcPr>
            <w:tcW w:w="907" w:type="dxa"/>
            <w:vMerge w:val="restart"/>
            <w:shd w:val="clear" w:color="auto" w:fill="auto"/>
            <w:tcMar>
              <w:left w:w="28" w:type="dxa"/>
              <w:right w:w="28" w:type="dxa"/>
            </w:tcMar>
            <w:hideMark/>
          </w:tcPr>
          <w:p w:rsidR="00C302A1" w:rsidRPr="00C302A1" w:rsidRDefault="00C302A1" w:rsidP="00C302A1">
            <w:pPr>
              <w:jc w:val="center"/>
              <w:rPr>
                <w:bCs/>
                <w:sz w:val="16"/>
                <w:szCs w:val="16"/>
              </w:rPr>
            </w:pPr>
            <w:r w:rsidRPr="00C302A1">
              <w:rPr>
                <w:bCs/>
                <w:sz w:val="16"/>
                <w:szCs w:val="16"/>
              </w:rPr>
              <w:t>Tropical rainforest (R)</w:t>
            </w:r>
          </w:p>
        </w:tc>
        <w:tc>
          <w:tcPr>
            <w:tcW w:w="907" w:type="dxa"/>
            <w:vMerge w:val="restart"/>
            <w:shd w:val="clear" w:color="auto" w:fill="auto"/>
            <w:tcMar>
              <w:left w:w="28" w:type="dxa"/>
              <w:right w:w="28" w:type="dxa"/>
            </w:tcMar>
            <w:hideMark/>
          </w:tcPr>
          <w:p w:rsidR="00C302A1" w:rsidRPr="00C302A1" w:rsidRDefault="00C302A1" w:rsidP="00C302A1">
            <w:pPr>
              <w:jc w:val="center"/>
              <w:rPr>
                <w:bCs/>
                <w:sz w:val="16"/>
                <w:szCs w:val="16"/>
              </w:rPr>
            </w:pPr>
            <w:r w:rsidRPr="00C302A1">
              <w:rPr>
                <w:bCs/>
                <w:sz w:val="16"/>
                <w:szCs w:val="16"/>
              </w:rPr>
              <w:t>Tropical woodland (W)</w:t>
            </w:r>
          </w:p>
        </w:tc>
        <w:tc>
          <w:tcPr>
            <w:tcW w:w="907" w:type="dxa"/>
            <w:vMerge w:val="restart"/>
            <w:shd w:val="clear" w:color="auto" w:fill="auto"/>
            <w:tcMar>
              <w:left w:w="28" w:type="dxa"/>
              <w:right w:w="28" w:type="dxa"/>
            </w:tcMar>
          </w:tcPr>
          <w:p w:rsidR="00C302A1" w:rsidRPr="00C302A1" w:rsidRDefault="00C302A1" w:rsidP="00C302A1">
            <w:pPr>
              <w:jc w:val="center"/>
              <w:rPr>
                <w:bCs/>
                <w:sz w:val="16"/>
                <w:szCs w:val="16"/>
              </w:rPr>
            </w:pPr>
            <w:r w:rsidRPr="00C302A1">
              <w:rPr>
                <w:bCs/>
                <w:sz w:val="16"/>
                <w:szCs w:val="16"/>
              </w:rPr>
              <w:t>Temperate forest (TF)</w:t>
            </w:r>
          </w:p>
        </w:tc>
        <w:tc>
          <w:tcPr>
            <w:tcW w:w="794" w:type="dxa"/>
            <w:vMerge w:val="restart"/>
            <w:tcMar>
              <w:left w:w="28" w:type="dxa"/>
              <w:right w:w="28" w:type="dxa"/>
            </w:tcMar>
          </w:tcPr>
          <w:p w:rsidR="00C302A1" w:rsidRPr="00C302A1" w:rsidRDefault="00C302A1" w:rsidP="00C302A1">
            <w:pPr>
              <w:jc w:val="center"/>
              <w:rPr>
                <w:bCs/>
                <w:sz w:val="16"/>
                <w:szCs w:val="16"/>
              </w:rPr>
            </w:pPr>
            <w:r w:rsidRPr="00C302A1">
              <w:rPr>
                <w:bCs/>
                <w:sz w:val="16"/>
                <w:szCs w:val="16"/>
              </w:rPr>
              <w:t>ANOVA</w:t>
            </w:r>
          </w:p>
        </w:tc>
        <w:tc>
          <w:tcPr>
            <w:tcW w:w="2382" w:type="dxa"/>
            <w:gridSpan w:val="3"/>
          </w:tcPr>
          <w:p w:rsidR="00C302A1" w:rsidRPr="00C302A1" w:rsidRDefault="00C302A1" w:rsidP="00C302A1">
            <w:pPr>
              <w:jc w:val="center"/>
              <w:rPr>
                <w:bCs/>
                <w:sz w:val="16"/>
                <w:szCs w:val="16"/>
              </w:rPr>
            </w:pPr>
            <w:r w:rsidRPr="00C302A1">
              <w:rPr>
                <w:bCs/>
                <w:sz w:val="16"/>
                <w:szCs w:val="16"/>
              </w:rPr>
              <w:t>Post-hoc test</w:t>
            </w:r>
          </w:p>
        </w:tc>
      </w:tr>
      <w:tr w:rsidR="00C302A1" w:rsidRPr="00C302A1" w:rsidTr="000564CF">
        <w:trPr>
          <w:cantSplit/>
          <w:trHeight w:val="324"/>
        </w:trPr>
        <w:tc>
          <w:tcPr>
            <w:tcW w:w="2268" w:type="dxa"/>
            <w:vMerge/>
            <w:shd w:val="clear" w:color="auto" w:fill="auto"/>
            <w:hideMark/>
          </w:tcPr>
          <w:p w:rsidR="00C302A1" w:rsidRPr="00C302A1" w:rsidRDefault="00C302A1" w:rsidP="00C302A1">
            <w:pPr>
              <w:rPr>
                <w:bCs/>
                <w:sz w:val="16"/>
                <w:szCs w:val="16"/>
              </w:rPr>
            </w:pPr>
          </w:p>
        </w:tc>
        <w:tc>
          <w:tcPr>
            <w:tcW w:w="850" w:type="dxa"/>
            <w:vMerge/>
          </w:tcPr>
          <w:p w:rsidR="00C302A1" w:rsidRPr="00C302A1" w:rsidRDefault="00C302A1" w:rsidP="00C302A1">
            <w:pPr>
              <w:ind w:hanging="5"/>
              <w:rPr>
                <w:bCs/>
                <w:sz w:val="16"/>
                <w:szCs w:val="16"/>
              </w:rPr>
            </w:pPr>
          </w:p>
        </w:tc>
        <w:tc>
          <w:tcPr>
            <w:tcW w:w="907" w:type="dxa"/>
            <w:vMerge/>
            <w:shd w:val="clear" w:color="auto" w:fill="auto"/>
            <w:hideMark/>
          </w:tcPr>
          <w:p w:rsidR="00C302A1" w:rsidRPr="00C302A1" w:rsidRDefault="00C302A1" w:rsidP="00C302A1">
            <w:pPr>
              <w:jc w:val="center"/>
              <w:rPr>
                <w:bCs/>
                <w:sz w:val="16"/>
                <w:szCs w:val="16"/>
              </w:rPr>
            </w:pPr>
          </w:p>
        </w:tc>
        <w:tc>
          <w:tcPr>
            <w:tcW w:w="907" w:type="dxa"/>
            <w:vMerge/>
            <w:shd w:val="clear" w:color="auto" w:fill="auto"/>
            <w:hideMark/>
          </w:tcPr>
          <w:p w:rsidR="00C302A1" w:rsidRPr="00C302A1" w:rsidRDefault="00C302A1" w:rsidP="00C302A1">
            <w:pPr>
              <w:jc w:val="center"/>
              <w:rPr>
                <w:bCs/>
                <w:sz w:val="16"/>
                <w:szCs w:val="16"/>
              </w:rPr>
            </w:pPr>
          </w:p>
        </w:tc>
        <w:tc>
          <w:tcPr>
            <w:tcW w:w="907" w:type="dxa"/>
            <w:vMerge/>
            <w:shd w:val="clear" w:color="auto" w:fill="auto"/>
          </w:tcPr>
          <w:p w:rsidR="00C302A1" w:rsidRPr="00C302A1" w:rsidRDefault="00C302A1" w:rsidP="00C302A1">
            <w:pPr>
              <w:jc w:val="center"/>
              <w:rPr>
                <w:bCs/>
                <w:sz w:val="16"/>
                <w:szCs w:val="16"/>
              </w:rPr>
            </w:pPr>
          </w:p>
        </w:tc>
        <w:tc>
          <w:tcPr>
            <w:tcW w:w="794" w:type="dxa"/>
            <w:vMerge/>
          </w:tcPr>
          <w:p w:rsidR="00C302A1" w:rsidRPr="00C302A1" w:rsidRDefault="00C302A1" w:rsidP="00C302A1">
            <w:pPr>
              <w:jc w:val="center"/>
              <w:rPr>
                <w:bCs/>
                <w:sz w:val="16"/>
                <w:szCs w:val="16"/>
              </w:rPr>
            </w:pPr>
          </w:p>
        </w:tc>
        <w:tc>
          <w:tcPr>
            <w:tcW w:w="794" w:type="dxa"/>
          </w:tcPr>
          <w:p w:rsidR="00C302A1" w:rsidRPr="00C302A1" w:rsidRDefault="00C302A1" w:rsidP="00C302A1">
            <w:pPr>
              <w:jc w:val="center"/>
              <w:rPr>
                <w:bCs/>
                <w:sz w:val="16"/>
                <w:szCs w:val="16"/>
              </w:rPr>
            </w:pPr>
            <w:r w:rsidRPr="00C302A1">
              <w:rPr>
                <w:bCs/>
                <w:sz w:val="16"/>
                <w:szCs w:val="16"/>
              </w:rPr>
              <w:t>R vs. W</w:t>
            </w:r>
          </w:p>
        </w:tc>
        <w:tc>
          <w:tcPr>
            <w:tcW w:w="794" w:type="dxa"/>
          </w:tcPr>
          <w:p w:rsidR="00C302A1" w:rsidRPr="00C302A1" w:rsidRDefault="00C302A1" w:rsidP="00C302A1">
            <w:pPr>
              <w:jc w:val="center"/>
              <w:rPr>
                <w:bCs/>
                <w:sz w:val="16"/>
                <w:szCs w:val="16"/>
              </w:rPr>
            </w:pPr>
            <w:r w:rsidRPr="00C302A1">
              <w:rPr>
                <w:bCs/>
                <w:sz w:val="16"/>
                <w:szCs w:val="16"/>
              </w:rPr>
              <w:t>R vs. TF</w:t>
            </w:r>
          </w:p>
        </w:tc>
        <w:tc>
          <w:tcPr>
            <w:tcW w:w="794" w:type="dxa"/>
          </w:tcPr>
          <w:p w:rsidR="00C302A1" w:rsidRPr="00C302A1" w:rsidRDefault="00C302A1" w:rsidP="00C302A1">
            <w:pPr>
              <w:jc w:val="center"/>
              <w:rPr>
                <w:bCs/>
                <w:sz w:val="16"/>
                <w:szCs w:val="16"/>
              </w:rPr>
            </w:pPr>
            <w:r w:rsidRPr="00C302A1">
              <w:rPr>
                <w:bCs/>
                <w:sz w:val="16"/>
                <w:szCs w:val="16"/>
              </w:rPr>
              <w:t>W vs. TF</w:t>
            </w:r>
          </w:p>
        </w:tc>
      </w:tr>
      <w:tr w:rsidR="00C302A1" w:rsidRPr="00C302A1" w:rsidTr="000564CF">
        <w:trPr>
          <w:cantSplit/>
          <w:trHeight w:val="283"/>
        </w:trPr>
        <w:tc>
          <w:tcPr>
            <w:tcW w:w="2268" w:type="dxa"/>
            <w:shd w:val="clear" w:color="auto" w:fill="auto"/>
            <w:hideMark/>
          </w:tcPr>
          <w:p w:rsidR="00C302A1" w:rsidRPr="00C302A1" w:rsidRDefault="00C302A1" w:rsidP="00C302A1">
            <w:pPr>
              <w:rPr>
                <w:bCs/>
                <w:sz w:val="16"/>
                <w:szCs w:val="16"/>
              </w:rPr>
            </w:pPr>
          </w:p>
        </w:tc>
        <w:tc>
          <w:tcPr>
            <w:tcW w:w="850" w:type="dxa"/>
          </w:tcPr>
          <w:p w:rsidR="00C302A1" w:rsidRPr="00C302A1" w:rsidRDefault="00C302A1" w:rsidP="00C302A1">
            <w:pPr>
              <w:ind w:hanging="5"/>
              <w:rPr>
                <w:bCs/>
                <w:sz w:val="16"/>
                <w:szCs w:val="16"/>
              </w:rPr>
            </w:pPr>
          </w:p>
        </w:tc>
        <w:tc>
          <w:tcPr>
            <w:tcW w:w="907" w:type="dxa"/>
            <w:shd w:val="clear" w:color="auto" w:fill="auto"/>
            <w:hideMark/>
          </w:tcPr>
          <w:p w:rsidR="00C302A1" w:rsidRPr="00C302A1" w:rsidRDefault="00C302A1" w:rsidP="00C302A1">
            <w:pPr>
              <w:jc w:val="center"/>
              <w:rPr>
                <w:bCs/>
                <w:sz w:val="16"/>
                <w:szCs w:val="16"/>
              </w:rPr>
            </w:pPr>
            <w:r w:rsidRPr="00C302A1">
              <w:rPr>
                <w:bCs/>
                <w:sz w:val="16"/>
                <w:szCs w:val="16"/>
              </w:rPr>
              <w:t xml:space="preserve">AV or </w:t>
            </w:r>
            <w:r w:rsidRPr="00C302A1">
              <w:rPr>
                <w:bCs/>
                <w:i/>
                <w:sz w:val="16"/>
                <w:szCs w:val="16"/>
              </w:rPr>
              <w:t>M</w:t>
            </w:r>
          </w:p>
        </w:tc>
        <w:tc>
          <w:tcPr>
            <w:tcW w:w="907" w:type="dxa"/>
            <w:shd w:val="clear" w:color="auto" w:fill="auto"/>
            <w:hideMark/>
          </w:tcPr>
          <w:p w:rsidR="00C302A1" w:rsidRPr="00C302A1" w:rsidRDefault="00C302A1" w:rsidP="00C302A1">
            <w:pPr>
              <w:jc w:val="center"/>
              <w:rPr>
                <w:bCs/>
                <w:sz w:val="16"/>
                <w:szCs w:val="16"/>
              </w:rPr>
            </w:pPr>
            <w:r w:rsidRPr="00C302A1">
              <w:rPr>
                <w:bCs/>
                <w:sz w:val="16"/>
                <w:szCs w:val="16"/>
              </w:rPr>
              <w:t xml:space="preserve">AV or </w:t>
            </w:r>
            <w:r w:rsidRPr="00C302A1">
              <w:rPr>
                <w:bCs/>
                <w:i/>
                <w:sz w:val="16"/>
                <w:szCs w:val="16"/>
              </w:rPr>
              <w:t>M</w:t>
            </w:r>
          </w:p>
        </w:tc>
        <w:tc>
          <w:tcPr>
            <w:tcW w:w="907" w:type="dxa"/>
            <w:shd w:val="clear" w:color="auto" w:fill="auto"/>
            <w:hideMark/>
          </w:tcPr>
          <w:p w:rsidR="00C302A1" w:rsidRPr="00C302A1" w:rsidRDefault="00C302A1" w:rsidP="00C302A1">
            <w:pPr>
              <w:jc w:val="center"/>
              <w:rPr>
                <w:bCs/>
                <w:sz w:val="16"/>
                <w:szCs w:val="16"/>
              </w:rPr>
            </w:pPr>
            <w:r w:rsidRPr="00C302A1">
              <w:rPr>
                <w:bCs/>
                <w:sz w:val="16"/>
                <w:szCs w:val="16"/>
              </w:rPr>
              <w:t xml:space="preserve">AV or </w:t>
            </w:r>
            <w:r w:rsidRPr="00C302A1">
              <w:rPr>
                <w:bCs/>
                <w:i/>
                <w:sz w:val="16"/>
                <w:szCs w:val="16"/>
              </w:rPr>
              <w:t>M</w:t>
            </w:r>
          </w:p>
        </w:tc>
        <w:tc>
          <w:tcPr>
            <w:tcW w:w="794" w:type="dxa"/>
          </w:tcPr>
          <w:p w:rsidR="00C302A1" w:rsidRPr="00C302A1" w:rsidRDefault="00C302A1" w:rsidP="00C302A1">
            <w:pPr>
              <w:jc w:val="center"/>
              <w:rPr>
                <w:bCs/>
                <w:sz w:val="16"/>
                <w:szCs w:val="16"/>
              </w:rPr>
            </w:pPr>
            <w:r w:rsidRPr="00C302A1">
              <w:rPr>
                <w:bCs/>
                <w:sz w:val="16"/>
                <w:szCs w:val="16"/>
              </w:rPr>
              <w:t xml:space="preserve">F or </w:t>
            </w:r>
            <w:r w:rsidRPr="00C302A1">
              <w:rPr>
                <w:bCs/>
                <w:i/>
                <w:sz w:val="16"/>
                <w:szCs w:val="16"/>
              </w:rPr>
              <w:t>H</w:t>
            </w:r>
          </w:p>
        </w:tc>
        <w:tc>
          <w:tcPr>
            <w:tcW w:w="794" w:type="dxa"/>
          </w:tcPr>
          <w:p w:rsidR="00C302A1" w:rsidRPr="00C302A1" w:rsidRDefault="00C302A1" w:rsidP="00C302A1">
            <w:pPr>
              <w:jc w:val="center"/>
              <w:rPr>
                <w:bCs/>
                <w:sz w:val="16"/>
                <w:szCs w:val="16"/>
              </w:rPr>
            </w:pPr>
            <w:r w:rsidRPr="00C302A1">
              <w:rPr>
                <w:bCs/>
                <w:sz w:val="16"/>
                <w:szCs w:val="16"/>
              </w:rPr>
              <w:t xml:space="preserve">t or </w:t>
            </w:r>
            <w:r w:rsidRPr="00C302A1">
              <w:rPr>
                <w:bCs/>
                <w:i/>
                <w:sz w:val="16"/>
                <w:szCs w:val="16"/>
              </w:rPr>
              <w:t>Q</w:t>
            </w:r>
          </w:p>
        </w:tc>
        <w:tc>
          <w:tcPr>
            <w:tcW w:w="794" w:type="dxa"/>
          </w:tcPr>
          <w:p w:rsidR="00C302A1" w:rsidRPr="00C302A1" w:rsidRDefault="00C302A1" w:rsidP="00C302A1">
            <w:pPr>
              <w:jc w:val="center"/>
              <w:rPr>
                <w:bCs/>
                <w:sz w:val="16"/>
                <w:szCs w:val="16"/>
              </w:rPr>
            </w:pPr>
            <w:r w:rsidRPr="00C302A1">
              <w:rPr>
                <w:bCs/>
                <w:sz w:val="16"/>
                <w:szCs w:val="16"/>
              </w:rPr>
              <w:t xml:space="preserve">t or </w:t>
            </w:r>
            <w:r w:rsidRPr="00C302A1">
              <w:rPr>
                <w:bCs/>
                <w:i/>
                <w:sz w:val="16"/>
                <w:szCs w:val="16"/>
              </w:rPr>
              <w:t>Q</w:t>
            </w:r>
          </w:p>
        </w:tc>
        <w:tc>
          <w:tcPr>
            <w:tcW w:w="794" w:type="dxa"/>
          </w:tcPr>
          <w:p w:rsidR="00C302A1" w:rsidRPr="00C302A1" w:rsidRDefault="00C302A1" w:rsidP="00C302A1">
            <w:pPr>
              <w:jc w:val="center"/>
              <w:rPr>
                <w:bCs/>
                <w:sz w:val="16"/>
                <w:szCs w:val="16"/>
              </w:rPr>
            </w:pPr>
            <w:r w:rsidRPr="00C302A1">
              <w:rPr>
                <w:bCs/>
                <w:sz w:val="16"/>
                <w:szCs w:val="16"/>
              </w:rPr>
              <w:t xml:space="preserve">t or </w:t>
            </w:r>
            <w:r w:rsidRPr="00C302A1">
              <w:rPr>
                <w:bCs/>
                <w:i/>
                <w:sz w:val="16"/>
                <w:szCs w:val="16"/>
              </w:rPr>
              <w:t>Q</w:t>
            </w:r>
          </w:p>
        </w:tc>
      </w:tr>
      <w:tr w:rsidR="00C302A1" w:rsidRPr="00C302A1" w:rsidTr="000564CF">
        <w:trPr>
          <w:cantSplit/>
          <w:trHeight w:val="283"/>
        </w:trPr>
        <w:tc>
          <w:tcPr>
            <w:tcW w:w="2268" w:type="dxa"/>
            <w:shd w:val="clear" w:color="auto" w:fill="auto"/>
            <w:hideMark/>
          </w:tcPr>
          <w:p w:rsidR="00C302A1" w:rsidRPr="00C302A1" w:rsidRDefault="00C302A1" w:rsidP="00C302A1">
            <w:pPr>
              <w:rPr>
                <w:bCs/>
                <w:sz w:val="16"/>
                <w:szCs w:val="16"/>
              </w:rPr>
            </w:pPr>
            <w:r w:rsidRPr="00C302A1">
              <w:rPr>
                <w:bCs/>
                <w:sz w:val="16"/>
                <w:szCs w:val="16"/>
              </w:rPr>
              <w:t>Axial parenchyma fraction</w:t>
            </w:r>
          </w:p>
        </w:tc>
        <w:tc>
          <w:tcPr>
            <w:tcW w:w="850" w:type="dxa"/>
          </w:tcPr>
          <w:p w:rsidR="00C302A1" w:rsidRPr="00C302A1" w:rsidRDefault="00C302A1" w:rsidP="00C302A1">
            <w:pPr>
              <w:ind w:hanging="5"/>
              <w:rPr>
                <w:bCs/>
                <w:sz w:val="16"/>
                <w:szCs w:val="16"/>
              </w:rPr>
            </w:pPr>
            <w:r w:rsidRPr="00C302A1">
              <w:rPr>
                <w:bCs/>
                <w:sz w:val="16"/>
                <w:szCs w:val="16"/>
              </w:rPr>
              <w:t>unitless</w:t>
            </w:r>
          </w:p>
        </w:tc>
        <w:tc>
          <w:tcPr>
            <w:tcW w:w="907" w:type="dxa"/>
            <w:shd w:val="clear" w:color="auto" w:fill="auto"/>
            <w:hideMark/>
          </w:tcPr>
          <w:p w:rsidR="00C302A1" w:rsidRPr="00C302A1" w:rsidRDefault="00C302A1" w:rsidP="00C302A1">
            <w:pPr>
              <w:jc w:val="center"/>
              <w:rPr>
                <w:bCs/>
                <w:sz w:val="16"/>
                <w:szCs w:val="16"/>
              </w:rPr>
            </w:pPr>
            <w:r w:rsidRPr="00C302A1">
              <w:rPr>
                <w:bCs/>
                <w:sz w:val="16"/>
                <w:szCs w:val="16"/>
              </w:rPr>
              <w:t>0.15</w:t>
            </w:r>
          </w:p>
        </w:tc>
        <w:tc>
          <w:tcPr>
            <w:tcW w:w="907" w:type="dxa"/>
            <w:shd w:val="clear" w:color="auto" w:fill="auto"/>
            <w:hideMark/>
          </w:tcPr>
          <w:p w:rsidR="00C302A1" w:rsidRPr="00C302A1" w:rsidRDefault="00C302A1" w:rsidP="00C302A1">
            <w:pPr>
              <w:jc w:val="center"/>
              <w:rPr>
                <w:bCs/>
                <w:sz w:val="16"/>
                <w:szCs w:val="16"/>
              </w:rPr>
            </w:pPr>
            <w:r w:rsidRPr="00C302A1">
              <w:rPr>
                <w:bCs/>
                <w:sz w:val="16"/>
                <w:szCs w:val="16"/>
              </w:rPr>
              <w:t>0.14</w:t>
            </w:r>
          </w:p>
        </w:tc>
        <w:tc>
          <w:tcPr>
            <w:tcW w:w="907" w:type="dxa"/>
            <w:shd w:val="clear" w:color="auto" w:fill="auto"/>
            <w:hideMark/>
          </w:tcPr>
          <w:p w:rsidR="00C302A1" w:rsidRPr="00C302A1" w:rsidRDefault="00C302A1" w:rsidP="00C302A1">
            <w:pPr>
              <w:jc w:val="center"/>
              <w:rPr>
                <w:bCs/>
                <w:sz w:val="16"/>
                <w:szCs w:val="16"/>
              </w:rPr>
            </w:pPr>
            <w:r w:rsidRPr="00C302A1">
              <w:rPr>
                <w:bCs/>
                <w:sz w:val="16"/>
                <w:szCs w:val="16"/>
              </w:rPr>
              <w:t>0.10</w:t>
            </w:r>
          </w:p>
        </w:tc>
        <w:tc>
          <w:tcPr>
            <w:tcW w:w="794" w:type="dxa"/>
          </w:tcPr>
          <w:p w:rsidR="00C302A1" w:rsidRPr="00C302A1" w:rsidRDefault="00C302A1" w:rsidP="00C302A1">
            <w:pPr>
              <w:ind w:left="-84" w:right="-189"/>
              <w:jc w:val="center"/>
              <w:rPr>
                <w:bCs/>
                <w:sz w:val="16"/>
                <w:szCs w:val="16"/>
              </w:rPr>
            </w:pPr>
            <w:r w:rsidRPr="00C302A1">
              <w:rPr>
                <w:bCs/>
                <w:sz w:val="16"/>
                <w:szCs w:val="16"/>
              </w:rPr>
              <w:t>3.33*</w:t>
            </w:r>
          </w:p>
        </w:tc>
        <w:tc>
          <w:tcPr>
            <w:tcW w:w="794" w:type="dxa"/>
          </w:tcPr>
          <w:p w:rsidR="00C302A1" w:rsidRPr="00C302A1" w:rsidRDefault="00C302A1" w:rsidP="00C302A1">
            <w:pPr>
              <w:jc w:val="center"/>
              <w:rPr>
                <w:bCs/>
                <w:sz w:val="16"/>
                <w:szCs w:val="16"/>
              </w:rPr>
            </w:pPr>
            <w:r w:rsidRPr="00C302A1">
              <w:rPr>
                <w:bCs/>
                <w:sz w:val="16"/>
                <w:szCs w:val="16"/>
              </w:rPr>
              <w:t>0.64</w:t>
            </w:r>
            <w:r w:rsidRPr="00C302A1">
              <w:rPr>
                <w:bCs/>
                <w:sz w:val="16"/>
                <w:szCs w:val="16"/>
                <w:vertAlign w:val="superscript"/>
              </w:rPr>
              <w:t>ns</w:t>
            </w:r>
          </w:p>
        </w:tc>
        <w:tc>
          <w:tcPr>
            <w:tcW w:w="794" w:type="dxa"/>
          </w:tcPr>
          <w:p w:rsidR="00C302A1" w:rsidRPr="00C302A1" w:rsidRDefault="00C302A1" w:rsidP="00C302A1">
            <w:pPr>
              <w:jc w:val="center"/>
              <w:rPr>
                <w:bCs/>
                <w:sz w:val="16"/>
                <w:szCs w:val="16"/>
              </w:rPr>
            </w:pPr>
            <w:r w:rsidRPr="00C302A1">
              <w:rPr>
                <w:bCs/>
                <w:sz w:val="16"/>
                <w:szCs w:val="16"/>
              </w:rPr>
              <w:t>2.58*</w:t>
            </w:r>
          </w:p>
        </w:tc>
        <w:tc>
          <w:tcPr>
            <w:tcW w:w="794" w:type="dxa"/>
          </w:tcPr>
          <w:p w:rsidR="00C302A1" w:rsidRPr="00C302A1" w:rsidRDefault="00C302A1" w:rsidP="00C302A1">
            <w:pPr>
              <w:jc w:val="center"/>
              <w:rPr>
                <w:bCs/>
                <w:sz w:val="16"/>
                <w:szCs w:val="16"/>
              </w:rPr>
            </w:pPr>
            <w:r w:rsidRPr="00C302A1">
              <w:rPr>
                <w:bCs/>
                <w:sz w:val="16"/>
                <w:szCs w:val="16"/>
              </w:rPr>
              <w:t>1.36</w:t>
            </w:r>
            <w:r w:rsidRPr="00C302A1">
              <w:rPr>
                <w:bCs/>
                <w:sz w:val="16"/>
                <w:szCs w:val="16"/>
                <w:vertAlign w:val="superscript"/>
              </w:rPr>
              <w:t>ns</w:t>
            </w:r>
          </w:p>
        </w:tc>
      </w:tr>
      <w:tr w:rsidR="00C302A1" w:rsidRPr="00C302A1" w:rsidTr="000564CF">
        <w:trPr>
          <w:cantSplit/>
          <w:trHeight w:val="283"/>
        </w:trPr>
        <w:tc>
          <w:tcPr>
            <w:tcW w:w="2268" w:type="dxa"/>
            <w:shd w:val="clear" w:color="auto" w:fill="auto"/>
            <w:hideMark/>
          </w:tcPr>
          <w:p w:rsidR="00C302A1" w:rsidRPr="00C302A1" w:rsidRDefault="00C302A1" w:rsidP="00C302A1">
            <w:pPr>
              <w:rPr>
                <w:bCs/>
                <w:sz w:val="16"/>
                <w:szCs w:val="16"/>
              </w:rPr>
            </w:pPr>
            <w:r w:rsidRPr="00C302A1">
              <w:rPr>
                <w:bCs/>
                <w:sz w:val="16"/>
                <w:szCs w:val="16"/>
              </w:rPr>
              <w:t>Ray parenchyma fraction</w:t>
            </w:r>
          </w:p>
        </w:tc>
        <w:tc>
          <w:tcPr>
            <w:tcW w:w="850" w:type="dxa"/>
          </w:tcPr>
          <w:p w:rsidR="00C302A1" w:rsidRPr="00C302A1" w:rsidRDefault="00C302A1" w:rsidP="00C302A1">
            <w:pPr>
              <w:ind w:hanging="5"/>
              <w:rPr>
                <w:bCs/>
                <w:sz w:val="16"/>
                <w:szCs w:val="16"/>
              </w:rPr>
            </w:pPr>
            <w:r w:rsidRPr="00C302A1">
              <w:rPr>
                <w:bCs/>
                <w:sz w:val="16"/>
                <w:szCs w:val="16"/>
              </w:rPr>
              <w:t>"</w:t>
            </w:r>
          </w:p>
        </w:tc>
        <w:tc>
          <w:tcPr>
            <w:tcW w:w="907" w:type="dxa"/>
            <w:shd w:val="clear" w:color="auto" w:fill="auto"/>
            <w:hideMark/>
          </w:tcPr>
          <w:p w:rsidR="00C302A1" w:rsidRPr="00C302A1" w:rsidRDefault="00C302A1" w:rsidP="00C302A1">
            <w:pPr>
              <w:jc w:val="center"/>
              <w:rPr>
                <w:bCs/>
                <w:i/>
                <w:sz w:val="16"/>
                <w:szCs w:val="16"/>
              </w:rPr>
            </w:pPr>
            <w:r w:rsidRPr="00C302A1">
              <w:rPr>
                <w:bCs/>
                <w:i/>
                <w:sz w:val="16"/>
                <w:szCs w:val="16"/>
              </w:rPr>
              <w:t>0.23</w:t>
            </w:r>
          </w:p>
        </w:tc>
        <w:tc>
          <w:tcPr>
            <w:tcW w:w="907" w:type="dxa"/>
            <w:shd w:val="clear" w:color="auto" w:fill="auto"/>
            <w:hideMark/>
          </w:tcPr>
          <w:p w:rsidR="00C302A1" w:rsidRPr="00C302A1" w:rsidRDefault="00C302A1" w:rsidP="00C302A1">
            <w:pPr>
              <w:jc w:val="center"/>
              <w:rPr>
                <w:bCs/>
                <w:i/>
                <w:sz w:val="16"/>
                <w:szCs w:val="16"/>
              </w:rPr>
            </w:pPr>
            <w:r w:rsidRPr="00C302A1">
              <w:rPr>
                <w:bCs/>
                <w:i/>
                <w:sz w:val="16"/>
                <w:szCs w:val="16"/>
              </w:rPr>
              <w:t>0.16</w:t>
            </w:r>
          </w:p>
        </w:tc>
        <w:tc>
          <w:tcPr>
            <w:tcW w:w="907" w:type="dxa"/>
            <w:shd w:val="clear" w:color="auto" w:fill="auto"/>
            <w:hideMark/>
          </w:tcPr>
          <w:p w:rsidR="00C302A1" w:rsidRPr="00C302A1" w:rsidRDefault="00C302A1" w:rsidP="00C302A1">
            <w:pPr>
              <w:jc w:val="center"/>
              <w:rPr>
                <w:bCs/>
                <w:i/>
                <w:sz w:val="16"/>
                <w:szCs w:val="16"/>
              </w:rPr>
            </w:pPr>
            <w:r w:rsidRPr="00C302A1">
              <w:rPr>
                <w:bCs/>
                <w:i/>
                <w:sz w:val="16"/>
                <w:szCs w:val="16"/>
              </w:rPr>
              <w:t>0.15</w:t>
            </w:r>
          </w:p>
        </w:tc>
        <w:tc>
          <w:tcPr>
            <w:tcW w:w="794" w:type="dxa"/>
          </w:tcPr>
          <w:p w:rsidR="00C302A1" w:rsidRPr="00C302A1" w:rsidRDefault="00C302A1" w:rsidP="00C302A1">
            <w:pPr>
              <w:ind w:left="-84" w:right="-189"/>
              <w:jc w:val="center"/>
              <w:rPr>
                <w:bCs/>
                <w:i/>
                <w:sz w:val="16"/>
                <w:szCs w:val="16"/>
              </w:rPr>
            </w:pPr>
            <w:r w:rsidRPr="00C302A1">
              <w:rPr>
                <w:bCs/>
                <w:i/>
                <w:sz w:val="16"/>
                <w:szCs w:val="16"/>
              </w:rPr>
              <w:t>17.22***</w:t>
            </w:r>
          </w:p>
        </w:tc>
        <w:tc>
          <w:tcPr>
            <w:tcW w:w="794" w:type="dxa"/>
          </w:tcPr>
          <w:p w:rsidR="00C302A1" w:rsidRPr="00C302A1" w:rsidRDefault="00C302A1" w:rsidP="00C302A1">
            <w:pPr>
              <w:jc w:val="center"/>
              <w:rPr>
                <w:bCs/>
                <w:i/>
                <w:sz w:val="16"/>
                <w:szCs w:val="16"/>
              </w:rPr>
            </w:pPr>
            <w:r w:rsidRPr="00C302A1">
              <w:rPr>
                <w:bCs/>
                <w:i/>
                <w:sz w:val="16"/>
                <w:szCs w:val="16"/>
              </w:rPr>
              <w:t>2.70*</w:t>
            </w:r>
          </w:p>
        </w:tc>
        <w:tc>
          <w:tcPr>
            <w:tcW w:w="794" w:type="dxa"/>
          </w:tcPr>
          <w:p w:rsidR="00C302A1" w:rsidRPr="00C302A1" w:rsidRDefault="00C302A1" w:rsidP="00C302A1">
            <w:pPr>
              <w:jc w:val="center"/>
              <w:rPr>
                <w:bCs/>
                <w:i/>
                <w:sz w:val="16"/>
                <w:szCs w:val="16"/>
              </w:rPr>
            </w:pPr>
            <w:r w:rsidRPr="00C302A1">
              <w:rPr>
                <w:bCs/>
                <w:i/>
                <w:sz w:val="16"/>
                <w:szCs w:val="16"/>
              </w:rPr>
              <w:t>3.72*</w:t>
            </w:r>
          </w:p>
        </w:tc>
        <w:tc>
          <w:tcPr>
            <w:tcW w:w="794" w:type="dxa"/>
          </w:tcPr>
          <w:p w:rsidR="00C302A1" w:rsidRPr="00C302A1" w:rsidRDefault="00C302A1" w:rsidP="00C302A1">
            <w:pPr>
              <w:jc w:val="center"/>
              <w:rPr>
                <w:bCs/>
                <w:i/>
                <w:sz w:val="16"/>
                <w:szCs w:val="16"/>
              </w:rPr>
            </w:pPr>
            <w:r w:rsidRPr="00C302A1">
              <w:rPr>
                <w:bCs/>
                <w:i/>
                <w:sz w:val="16"/>
                <w:szCs w:val="16"/>
              </w:rPr>
              <w:t>0.40</w:t>
            </w:r>
            <w:r w:rsidRPr="00C302A1">
              <w:rPr>
                <w:bCs/>
                <w:sz w:val="16"/>
                <w:szCs w:val="16"/>
                <w:vertAlign w:val="superscript"/>
              </w:rPr>
              <w:t xml:space="preserve"> ns</w:t>
            </w:r>
          </w:p>
        </w:tc>
      </w:tr>
      <w:tr w:rsidR="00C302A1" w:rsidRPr="00C302A1" w:rsidTr="000564CF">
        <w:trPr>
          <w:cantSplit/>
          <w:trHeight w:val="283"/>
        </w:trPr>
        <w:tc>
          <w:tcPr>
            <w:tcW w:w="2268" w:type="dxa"/>
            <w:shd w:val="clear" w:color="auto" w:fill="auto"/>
            <w:hideMark/>
          </w:tcPr>
          <w:p w:rsidR="00C302A1" w:rsidRPr="00C302A1" w:rsidRDefault="00C302A1" w:rsidP="00C302A1">
            <w:pPr>
              <w:rPr>
                <w:bCs/>
                <w:sz w:val="16"/>
                <w:szCs w:val="16"/>
              </w:rPr>
            </w:pPr>
            <w:r w:rsidRPr="00C302A1">
              <w:rPr>
                <w:bCs/>
                <w:sz w:val="16"/>
                <w:szCs w:val="16"/>
              </w:rPr>
              <w:t xml:space="preserve">Total parenchyma fraction (axial  + ray) </w:t>
            </w:r>
          </w:p>
        </w:tc>
        <w:tc>
          <w:tcPr>
            <w:tcW w:w="850" w:type="dxa"/>
          </w:tcPr>
          <w:p w:rsidR="00C302A1" w:rsidRPr="00C302A1" w:rsidRDefault="00C302A1" w:rsidP="00C302A1">
            <w:pPr>
              <w:ind w:hanging="5"/>
              <w:rPr>
                <w:bCs/>
                <w:sz w:val="16"/>
                <w:szCs w:val="16"/>
              </w:rPr>
            </w:pPr>
            <w:r w:rsidRPr="00C302A1">
              <w:rPr>
                <w:bCs/>
                <w:sz w:val="16"/>
                <w:szCs w:val="16"/>
              </w:rPr>
              <w:t>"</w:t>
            </w:r>
          </w:p>
        </w:tc>
        <w:tc>
          <w:tcPr>
            <w:tcW w:w="907" w:type="dxa"/>
            <w:shd w:val="clear" w:color="auto" w:fill="auto"/>
            <w:hideMark/>
          </w:tcPr>
          <w:p w:rsidR="00C302A1" w:rsidRPr="00C302A1" w:rsidRDefault="00C302A1" w:rsidP="00C302A1">
            <w:pPr>
              <w:jc w:val="center"/>
              <w:rPr>
                <w:bCs/>
                <w:i/>
                <w:sz w:val="16"/>
                <w:szCs w:val="16"/>
              </w:rPr>
            </w:pPr>
            <w:r w:rsidRPr="00C302A1">
              <w:rPr>
                <w:bCs/>
                <w:i/>
                <w:sz w:val="16"/>
                <w:szCs w:val="16"/>
              </w:rPr>
              <w:t>0.39</w:t>
            </w:r>
          </w:p>
        </w:tc>
        <w:tc>
          <w:tcPr>
            <w:tcW w:w="907" w:type="dxa"/>
            <w:shd w:val="clear" w:color="auto" w:fill="auto"/>
            <w:hideMark/>
          </w:tcPr>
          <w:p w:rsidR="00C302A1" w:rsidRPr="00C302A1" w:rsidRDefault="00C302A1" w:rsidP="00C302A1">
            <w:pPr>
              <w:jc w:val="center"/>
              <w:rPr>
                <w:bCs/>
                <w:i/>
                <w:sz w:val="16"/>
                <w:szCs w:val="16"/>
              </w:rPr>
            </w:pPr>
            <w:r w:rsidRPr="00C302A1">
              <w:rPr>
                <w:bCs/>
                <w:i/>
                <w:sz w:val="16"/>
                <w:szCs w:val="16"/>
              </w:rPr>
              <w:t>0.25</w:t>
            </w:r>
          </w:p>
        </w:tc>
        <w:tc>
          <w:tcPr>
            <w:tcW w:w="907" w:type="dxa"/>
            <w:shd w:val="clear" w:color="auto" w:fill="auto"/>
            <w:hideMark/>
          </w:tcPr>
          <w:p w:rsidR="00C302A1" w:rsidRPr="00C302A1" w:rsidRDefault="00C302A1" w:rsidP="00C302A1">
            <w:pPr>
              <w:jc w:val="center"/>
              <w:rPr>
                <w:bCs/>
                <w:i/>
                <w:sz w:val="16"/>
                <w:szCs w:val="16"/>
              </w:rPr>
            </w:pPr>
            <w:r w:rsidRPr="00C302A1">
              <w:rPr>
                <w:bCs/>
                <w:i/>
                <w:sz w:val="16"/>
                <w:szCs w:val="16"/>
              </w:rPr>
              <w:t>0.24</w:t>
            </w:r>
          </w:p>
        </w:tc>
        <w:tc>
          <w:tcPr>
            <w:tcW w:w="794" w:type="dxa"/>
          </w:tcPr>
          <w:p w:rsidR="00C302A1" w:rsidRPr="00C302A1" w:rsidRDefault="00C302A1" w:rsidP="00C302A1">
            <w:pPr>
              <w:ind w:left="-84" w:right="-189"/>
              <w:jc w:val="center"/>
              <w:rPr>
                <w:bCs/>
                <w:i/>
                <w:sz w:val="16"/>
                <w:szCs w:val="16"/>
              </w:rPr>
            </w:pPr>
            <w:r w:rsidRPr="00C302A1">
              <w:rPr>
                <w:bCs/>
                <w:i/>
                <w:sz w:val="16"/>
                <w:szCs w:val="16"/>
              </w:rPr>
              <w:t>20.50***</w:t>
            </w:r>
          </w:p>
        </w:tc>
        <w:tc>
          <w:tcPr>
            <w:tcW w:w="794" w:type="dxa"/>
          </w:tcPr>
          <w:p w:rsidR="00C302A1" w:rsidRPr="00C302A1" w:rsidRDefault="00C302A1" w:rsidP="00C302A1">
            <w:pPr>
              <w:jc w:val="center"/>
              <w:rPr>
                <w:bCs/>
                <w:i/>
                <w:sz w:val="16"/>
                <w:szCs w:val="16"/>
              </w:rPr>
            </w:pPr>
            <w:r w:rsidRPr="00C302A1">
              <w:rPr>
                <w:bCs/>
                <w:i/>
                <w:sz w:val="16"/>
                <w:szCs w:val="16"/>
              </w:rPr>
              <w:t>2.44*</w:t>
            </w:r>
          </w:p>
        </w:tc>
        <w:tc>
          <w:tcPr>
            <w:tcW w:w="794" w:type="dxa"/>
          </w:tcPr>
          <w:p w:rsidR="00C302A1" w:rsidRPr="00C302A1" w:rsidRDefault="00C302A1" w:rsidP="00C302A1">
            <w:pPr>
              <w:jc w:val="center"/>
              <w:rPr>
                <w:bCs/>
                <w:i/>
                <w:sz w:val="16"/>
                <w:szCs w:val="16"/>
              </w:rPr>
            </w:pPr>
            <w:r w:rsidRPr="00C302A1">
              <w:rPr>
                <w:bCs/>
                <w:i/>
                <w:sz w:val="16"/>
                <w:szCs w:val="16"/>
              </w:rPr>
              <w:t>4.30*</w:t>
            </w:r>
          </w:p>
        </w:tc>
        <w:tc>
          <w:tcPr>
            <w:tcW w:w="794" w:type="dxa"/>
          </w:tcPr>
          <w:p w:rsidR="00C302A1" w:rsidRPr="00C302A1" w:rsidRDefault="00C302A1" w:rsidP="00C302A1">
            <w:pPr>
              <w:jc w:val="center"/>
              <w:rPr>
                <w:bCs/>
                <w:i/>
                <w:sz w:val="16"/>
                <w:szCs w:val="16"/>
              </w:rPr>
            </w:pPr>
            <w:r w:rsidRPr="00C302A1">
              <w:rPr>
                <w:bCs/>
                <w:i/>
                <w:sz w:val="16"/>
                <w:szCs w:val="16"/>
              </w:rPr>
              <w:t>1.07</w:t>
            </w:r>
            <w:r w:rsidRPr="00C302A1">
              <w:rPr>
                <w:bCs/>
                <w:sz w:val="16"/>
                <w:szCs w:val="16"/>
                <w:vertAlign w:val="superscript"/>
              </w:rPr>
              <w:t xml:space="preserve"> ns</w:t>
            </w:r>
          </w:p>
        </w:tc>
      </w:tr>
      <w:tr w:rsidR="00C302A1" w:rsidRPr="00C302A1" w:rsidTr="000564CF">
        <w:trPr>
          <w:cantSplit/>
          <w:trHeight w:val="283"/>
        </w:trPr>
        <w:tc>
          <w:tcPr>
            <w:tcW w:w="2268" w:type="dxa"/>
            <w:shd w:val="clear" w:color="auto" w:fill="auto"/>
            <w:hideMark/>
          </w:tcPr>
          <w:p w:rsidR="00C302A1" w:rsidRPr="00C302A1" w:rsidRDefault="00C302A1" w:rsidP="00C302A1">
            <w:pPr>
              <w:rPr>
                <w:bCs/>
                <w:sz w:val="16"/>
                <w:szCs w:val="16"/>
              </w:rPr>
            </w:pPr>
            <w:r w:rsidRPr="00C302A1">
              <w:rPr>
                <w:bCs/>
                <w:sz w:val="16"/>
                <w:szCs w:val="16"/>
              </w:rPr>
              <w:t>Fibre lumen fraction</w:t>
            </w:r>
          </w:p>
        </w:tc>
        <w:tc>
          <w:tcPr>
            <w:tcW w:w="850" w:type="dxa"/>
          </w:tcPr>
          <w:p w:rsidR="00C302A1" w:rsidRPr="00C302A1" w:rsidRDefault="00C302A1" w:rsidP="00C302A1">
            <w:pPr>
              <w:ind w:hanging="5"/>
              <w:rPr>
                <w:bCs/>
                <w:sz w:val="16"/>
                <w:szCs w:val="16"/>
              </w:rPr>
            </w:pPr>
            <w:r w:rsidRPr="00C302A1">
              <w:rPr>
                <w:bCs/>
                <w:sz w:val="16"/>
                <w:szCs w:val="16"/>
              </w:rPr>
              <w:t>"</w:t>
            </w:r>
          </w:p>
        </w:tc>
        <w:tc>
          <w:tcPr>
            <w:tcW w:w="907" w:type="dxa"/>
            <w:shd w:val="clear" w:color="auto" w:fill="auto"/>
            <w:hideMark/>
          </w:tcPr>
          <w:p w:rsidR="00C302A1" w:rsidRPr="00C302A1" w:rsidRDefault="00C302A1" w:rsidP="00C302A1">
            <w:pPr>
              <w:jc w:val="center"/>
              <w:rPr>
                <w:bCs/>
                <w:sz w:val="16"/>
                <w:szCs w:val="16"/>
              </w:rPr>
            </w:pPr>
            <w:r w:rsidRPr="00C302A1">
              <w:rPr>
                <w:bCs/>
                <w:sz w:val="16"/>
                <w:szCs w:val="16"/>
              </w:rPr>
              <w:t>0.14</w:t>
            </w:r>
          </w:p>
        </w:tc>
        <w:tc>
          <w:tcPr>
            <w:tcW w:w="907" w:type="dxa"/>
            <w:shd w:val="clear" w:color="auto" w:fill="auto"/>
            <w:hideMark/>
          </w:tcPr>
          <w:p w:rsidR="00C302A1" w:rsidRPr="00C302A1" w:rsidRDefault="00C302A1" w:rsidP="00C302A1">
            <w:pPr>
              <w:jc w:val="center"/>
              <w:rPr>
                <w:bCs/>
                <w:sz w:val="16"/>
                <w:szCs w:val="16"/>
              </w:rPr>
            </w:pPr>
            <w:r w:rsidRPr="00C302A1">
              <w:rPr>
                <w:bCs/>
                <w:sz w:val="16"/>
                <w:szCs w:val="16"/>
              </w:rPr>
              <w:t>0.11</w:t>
            </w:r>
          </w:p>
        </w:tc>
        <w:tc>
          <w:tcPr>
            <w:tcW w:w="907" w:type="dxa"/>
            <w:shd w:val="clear" w:color="auto" w:fill="auto"/>
            <w:hideMark/>
          </w:tcPr>
          <w:p w:rsidR="00C302A1" w:rsidRPr="00C302A1" w:rsidRDefault="00C302A1" w:rsidP="00C302A1">
            <w:pPr>
              <w:jc w:val="center"/>
              <w:rPr>
                <w:bCs/>
                <w:sz w:val="16"/>
                <w:szCs w:val="16"/>
              </w:rPr>
            </w:pPr>
            <w:r w:rsidRPr="00C302A1">
              <w:rPr>
                <w:bCs/>
                <w:sz w:val="16"/>
                <w:szCs w:val="16"/>
              </w:rPr>
              <w:t>0.14</w:t>
            </w:r>
          </w:p>
        </w:tc>
        <w:tc>
          <w:tcPr>
            <w:tcW w:w="794" w:type="dxa"/>
          </w:tcPr>
          <w:p w:rsidR="00C302A1" w:rsidRPr="00C302A1" w:rsidRDefault="00C302A1" w:rsidP="00C302A1">
            <w:pPr>
              <w:ind w:left="-84" w:right="-189"/>
              <w:jc w:val="center"/>
              <w:rPr>
                <w:bCs/>
                <w:sz w:val="16"/>
                <w:szCs w:val="16"/>
              </w:rPr>
            </w:pPr>
            <w:r w:rsidRPr="00C302A1">
              <w:rPr>
                <w:bCs/>
                <w:sz w:val="16"/>
                <w:szCs w:val="16"/>
              </w:rPr>
              <w:t>0.73</w:t>
            </w:r>
            <w:r w:rsidRPr="00C302A1">
              <w:rPr>
                <w:bCs/>
                <w:sz w:val="16"/>
                <w:szCs w:val="16"/>
                <w:vertAlign w:val="superscript"/>
              </w:rPr>
              <w:t xml:space="preserve"> ns</w:t>
            </w:r>
          </w:p>
        </w:tc>
        <w:tc>
          <w:tcPr>
            <w:tcW w:w="794" w:type="dxa"/>
          </w:tcPr>
          <w:p w:rsidR="00C302A1" w:rsidRPr="00C302A1" w:rsidRDefault="00C302A1" w:rsidP="00C302A1">
            <w:pPr>
              <w:jc w:val="center"/>
              <w:rPr>
                <w:bCs/>
                <w:sz w:val="16"/>
                <w:szCs w:val="16"/>
              </w:rPr>
            </w:pPr>
            <w:r w:rsidRPr="00C302A1">
              <w:rPr>
                <w:bCs/>
                <w:sz w:val="16"/>
                <w:szCs w:val="16"/>
              </w:rPr>
              <w:t>na</w:t>
            </w:r>
          </w:p>
        </w:tc>
        <w:tc>
          <w:tcPr>
            <w:tcW w:w="794" w:type="dxa"/>
          </w:tcPr>
          <w:p w:rsidR="00C302A1" w:rsidRPr="00C302A1" w:rsidRDefault="00C302A1" w:rsidP="00C302A1">
            <w:pPr>
              <w:jc w:val="center"/>
              <w:rPr>
                <w:bCs/>
                <w:sz w:val="16"/>
                <w:szCs w:val="16"/>
              </w:rPr>
            </w:pPr>
            <w:r w:rsidRPr="00C302A1">
              <w:rPr>
                <w:bCs/>
                <w:sz w:val="16"/>
                <w:szCs w:val="16"/>
              </w:rPr>
              <w:t>na</w:t>
            </w:r>
          </w:p>
        </w:tc>
        <w:tc>
          <w:tcPr>
            <w:tcW w:w="794" w:type="dxa"/>
          </w:tcPr>
          <w:p w:rsidR="00C302A1" w:rsidRPr="00C302A1" w:rsidRDefault="00C302A1" w:rsidP="00C302A1">
            <w:pPr>
              <w:jc w:val="center"/>
              <w:rPr>
                <w:bCs/>
                <w:sz w:val="16"/>
                <w:szCs w:val="16"/>
              </w:rPr>
            </w:pPr>
            <w:r w:rsidRPr="00C302A1">
              <w:rPr>
                <w:bCs/>
                <w:sz w:val="16"/>
                <w:szCs w:val="16"/>
              </w:rPr>
              <w:t>na</w:t>
            </w:r>
          </w:p>
        </w:tc>
      </w:tr>
      <w:tr w:rsidR="00C302A1" w:rsidRPr="00C302A1" w:rsidTr="000564CF">
        <w:trPr>
          <w:cantSplit/>
          <w:trHeight w:val="283"/>
        </w:trPr>
        <w:tc>
          <w:tcPr>
            <w:tcW w:w="2268" w:type="dxa"/>
            <w:shd w:val="clear" w:color="auto" w:fill="auto"/>
            <w:hideMark/>
          </w:tcPr>
          <w:p w:rsidR="00C302A1" w:rsidRPr="00C302A1" w:rsidRDefault="00C302A1" w:rsidP="00C302A1">
            <w:pPr>
              <w:rPr>
                <w:bCs/>
                <w:sz w:val="16"/>
                <w:szCs w:val="16"/>
              </w:rPr>
            </w:pPr>
            <w:r w:rsidRPr="00C302A1">
              <w:rPr>
                <w:bCs/>
                <w:sz w:val="16"/>
                <w:szCs w:val="16"/>
              </w:rPr>
              <w:t>Fibre wall fraction</w:t>
            </w:r>
          </w:p>
        </w:tc>
        <w:tc>
          <w:tcPr>
            <w:tcW w:w="850" w:type="dxa"/>
          </w:tcPr>
          <w:p w:rsidR="00C302A1" w:rsidRPr="00C302A1" w:rsidRDefault="00C302A1" w:rsidP="00C302A1">
            <w:pPr>
              <w:ind w:hanging="5"/>
              <w:rPr>
                <w:bCs/>
                <w:sz w:val="16"/>
                <w:szCs w:val="16"/>
              </w:rPr>
            </w:pPr>
            <w:r w:rsidRPr="00C302A1">
              <w:rPr>
                <w:bCs/>
                <w:sz w:val="16"/>
                <w:szCs w:val="16"/>
              </w:rPr>
              <w:t>"</w:t>
            </w:r>
          </w:p>
        </w:tc>
        <w:tc>
          <w:tcPr>
            <w:tcW w:w="907" w:type="dxa"/>
            <w:shd w:val="clear" w:color="auto" w:fill="auto"/>
            <w:hideMark/>
          </w:tcPr>
          <w:p w:rsidR="00C302A1" w:rsidRPr="00C302A1" w:rsidRDefault="00C302A1" w:rsidP="00C302A1">
            <w:pPr>
              <w:jc w:val="center"/>
              <w:rPr>
                <w:bCs/>
                <w:sz w:val="16"/>
                <w:szCs w:val="16"/>
              </w:rPr>
            </w:pPr>
            <w:r w:rsidRPr="00C302A1">
              <w:rPr>
                <w:bCs/>
                <w:sz w:val="16"/>
                <w:szCs w:val="16"/>
              </w:rPr>
              <w:t>0.28</w:t>
            </w:r>
          </w:p>
        </w:tc>
        <w:tc>
          <w:tcPr>
            <w:tcW w:w="907" w:type="dxa"/>
            <w:shd w:val="clear" w:color="auto" w:fill="auto"/>
            <w:hideMark/>
          </w:tcPr>
          <w:p w:rsidR="00C302A1" w:rsidRPr="00C302A1" w:rsidRDefault="00C302A1" w:rsidP="00C302A1">
            <w:pPr>
              <w:jc w:val="center"/>
              <w:rPr>
                <w:bCs/>
                <w:sz w:val="16"/>
                <w:szCs w:val="16"/>
              </w:rPr>
            </w:pPr>
            <w:r w:rsidRPr="00C302A1">
              <w:rPr>
                <w:bCs/>
                <w:sz w:val="16"/>
                <w:szCs w:val="16"/>
              </w:rPr>
              <w:t>0.35</w:t>
            </w:r>
          </w:p>
        </w:tc>
        <w:tc>
          <w:tcPr>
            <w:tcW w:w="907" w:type="dxa"/>
            <w:shd w:val="clear" w:color="auto" w:fill="auto"/>
            <w:hideMark/>
          </w:tcPr>
          <w:p w:rsidR="00C302A1" w:rsidRPr="00C302A1" w:rsidRDefault="00C302A1" w:rsidP="00C302A1">
            <w:pPr>
              <w:jc w:val="center"/>
              <w:rPr>
                <w:bCs/>
                <w:sz w:val="16"/>
                <w:szCs w:val="16"/>
              </w:rPr>
            </w:pPr>
            <w:r w:rsidRPr="00C302A1">
              <w:rPr>
                <w:bCs/>
                <w:sz w:val="16"/>
                <w:szCs w:val="16"/>
              </w:rPr>
              <w:t>0.38</w:t>
            </w:r>
          </w:p>
        </w:tc>
        <w:tc>
          <w:tcPr>
            <w:tcW w:w="794" w:type="dxa"/>
          </w:tcPr>
          <w:p w:rsidR="00C302A1" w:rsidRPr="00C302A1" w:rsidRDefault="00C302A1" w:rsidP="00C302A1">
            <w:pPr>
              <w:ind w:left="-84" w:right="-189"/>
              <w:jc w:val="center"/>
              <w:rPr>
                <w:bCs/>
                <w:sz w:val="16"/>
                <w:szCs w:val="16"/>
              </w:rPr>
            </w:pPr>
            <w:r w:rsidRPr="00C302A1">
              <w:rPr>
                <w:bCs/>
                <w:sz w:val="16"/>
                <w:szCs w:val="16"/>
              </w:rPr>
              <w:t>18.19***</w:t>
            </w:r>
          </w:p>
        </w:tc>
        <w:tc>
          <w:tcPr>
            <w:tcW w:w="794" w:type="dxa"/>
          </w:tcPr>
          <w:p w:rsidR="00C302A1" w:rsidRPr="00C302A1" w:rsidRDefault="00C302A1" w:rsidP="00C302A1">
            <w:pPr>
              <w:jc w:val="center"/>
              <w:rPr>
                <w:bCs/>
                <w:sz w:val="16"/>
                <w:szCs w:val="16"/>
              </w:rPr>
            </w:pPr>
            <w:r w:rsidRPr="00C302A1">
              <w:rPr>
                <w:bCs/>
                <w:sz w:val="16"/>
                <w:szCs w:val="16"/>
              </w:rPr>
              <w:t>3.38**</w:t>
            </w:r>
          </w:p>
        </w:tc>
        <w:tc>
          <w:tcPr>
            <w:tcW w:w="794" w:type="dxa"/>
          </w:tcPr>
          <w:p w:rsidR="00C302A1" w:rsidRPr="00C302A1" w:rsidRDefault="00C302A1" w:rsidP="00C302A1">
            <w:pPr>
              <w:jc w:val="center"/>
              <w:rPr>
                <w:bCs/>
                <w:sz w:val="16"/>
                <w:szCs w:val="16"/>
              </w:rPr>
            </w:pPr>
            <w:r w:rsidRPr="00C302A1">
              <w:rPr>
                <w:bCs/>
                <w:sz w:val="16"/>
                <w:szCs w:val="16"/>
              </w:rPr>
              <w:t>5.68***</w:t>
            </w:r>
          </w:p>
        </w:tc>
        <w:tc>
          <w:tcPr>
            <w:tcW w:w="794" w:type="dxa"/>
          </w:tcPr>
          <w:p w:rsidR="00C302A1" w:rsidRPr="00C302A1" w:rsidRDefault="00C302A1" w:rsidP="00C302A1">
            <w:pPr>
              <w:jc w:val="center"/>
              <w:rPr>
                <w:bCs/>
                <w:sz w:val="16"/>
                <w:szCs w:val="16"/>
              </w:rPr>
            </w:pPr>
            <w:r w:rsidRPr="00C302A1">
              <w:rPr>
                <w:bCs/>
                <w:sz w:val="16"/>
                <w:szCs w:val="16"/>
              </w:rPr>
              <w:t>1.26</w:t>
            </w:r>
            <w:r w:rsidRPr="00C302A1">
              <w:rPr>
                <w:bCs/>
                <w:sz w:val="16"/>
                <w:szCs w:val="16"/>
                <w:vertAlign w:val="superscript"/>
              </w:rPr>
              <w:t xml:space="preserve"> ns</w:t>
            </w:r>
          </w:p>
        </w:tc>
      </w:tr>
      <w:tr w:rsidR="00C302A1" w:rsidRPr="00C302A1" w:rsidTr="000564CF">
        <w:trPr>
          <w:cantSplit/>
          <w:trHeight w:val="283"/>
        </w:trPr>
        <w:tc>
          <w:tcPr>
            <w:tcW w:w="2268" w:type="dxa"/>
            <w:shd w:val="clear" w:color="auto" w:fill="auto"/>
            <w:hideMark/>
          </w:tcPr>
          <w:p w:rsidR="00C302A1" w:rsidRPr="00C302A1" w:rsidRDefault="00C302A1" w:rsidP="00C302A1">
            <w:pPr>
              <w:rPr>
                <w:bCs/>
                <w:sz w:val="16"/>
                <w:szCs w:val="16"/>
              </w:rPr>
            </w:pPr>
            <w:r w:rsidRPr="00C302A1">
              <w:rPr>
                <w:bCs/>
                <w:sz w:val="16"/>
                <w:szCs w:val="16"/>
              </w:rPr>
              <w:t>Total fibre fraction (lumen + wall)</w:t>
            </w:r>
          </w:p>
        </w:tc>
        <w:tc>
          <w:tcPr>
            <w:tcW w:w="850" w:type="dxa"/>
          </w:tcPr>
          <w:p w:rsidR="00C302A1" w:rsidRPr="00C302A1" w:rsidRDefault="00C302A1" w:rsidP="00C302A1">
            <w:pPr>
              <w:ind w:hanging="5"/>
              <w:rPr>
                <w:bCs/>
                <w:sz w:val="16"/>
                <w:szCs w:val="16"/>
              </w:rPr>
            </w:pPr>
            <w:r w:rsidRPr="00C302A1">
              <w:rPr>
                <w:bCs/>
                <w:sz w:val="16"/>
                <w:szCs w:val="16"/>
              </w:rPr>
              <w:t>"</w:t>
            </w:r>
          </w:p>
        </w:tc>
        <w:tc>
          <w:tcPr>
            <w:tcW w:w="907" w:type="dxa"/>
            <w:shd w:val="clear" w:color="auto" w:fill="auto"/>
            <w:hideMark/>
          </w:tcPr>
          <w:p w:rsidR="00C302A1" w:rsidRPr="00C302A1" w:rsidRDefault="00C302A1" w:rsidP="00C302A1">
            <w:pPr>
              <w:jc w:val="center"/>
              <w:rPr>
                <w:bCs/>
                <w:sz w:val="16"/>
                <w:szCs w:val="16"/>
              </w:rPr>
            </w:pPr>
            <w:r w:rsidRPr="00C302A1">
              <w:rPr>
                <w:bCs/>
                <w:sz w:val="16"/>
                <w:szCs w:val="16"/>
              </w:rPr>
              <w:t>0.41</w:t>
            </w:r>
          </w:p>
        </w:tc>
        <w:tc>
          <w:tcPr>
            <w:tcW w:w="907" w:type="dxa"/>
            <w:shd w:val="clear" w:color="auto" w:fill="auto"/>
            <w:hideMark/>
          </w:tcPr>
          <w:p w:rsidR="00C302A1" w:rsidRPr="00C302A1" w:rsidRDefault="00C302A1" w:rsidP="00C302A1">
            <w:pPr>
              <w:jc w:val="center"/>
              <w:rPr>
                <w:bCs/>
                <w:sz w:val="16"/>
                <w:szCs w:val="16"/>
              </w:rPr>
            </w:pPr>
            <w:r w:rsidRPr="00C302A1">
              <w:rPr>
                <w:bCs/>
                <w:sz w:val="16"/>
                <w:szCs w:val="16"/>
              </w:rPr>
              <w:t>0.46</w:t>
            </w:r>
          </w:p>
        </w:tc>
        <w:tc>
          <w:tcPr>
            <w:tcW w:w="907" w:type="dxa"/>
            <w:shd w:val="clear" w:color="auto" w:fill="auto"/>
            <w:hideMark/>
          </w:tcPr>
          <w:p w:rsidR="00C302A1" w:rsidRPr="00C302A1" w:rsidRDefault="00C302A1" w:rsidP="00C302A1">
            <w:pPr>
              <w:jc w:val="center"/>
              <w:rPr>
                <w:bCs/>
                <w:sz w:val="16"/>
                <w:szCs w:val="16"/>
              </w:rPr>
            </w:pPr>
            <w:r w:rsidRPr="00C302A1">
              <w:rPr>
                <w:bCs/>
                <w:sz w:val="16"/>
                <w:szCs w:val="16"/>
              </w:rPr>
              <w:t>0.52</w:t>
            </w:r>
          </w:p>
        </w:tc>
        <w:tc>
          <w:tcPr>
            <w:tcW w:w="794" w:type="dxa"/>
          </w:tcPr>
          <w:p w:rsidR="00C302A1" w:rsidRPr="00C302A1" w:rsidRDefault="00C302A1" w:rsidP="00C302A1">
            <w:pPr>
              <w:ind w:left="-84" w:right="-189"/>
              <w:jc w:val="center"/>
              <w:rPr>
                <w:bCs/>
                <w:sz w:val="16"/>
                <w:szCs w:val="16"/>
              </w:rPr>
            </w:pPr>
            <w:r w:rsidRPr="00C302A1">
              <w:rPr>
                <w:bCs/>
                <w:sz w:val="16"/>
                <w:szCs w:val="16"/>
              </w:rPr>
              <w:t>7.10**</w:t>
            </w:r>
          </w:p>
        </w:tc>
        <w:tc>
          <w:tcPr>
            <w:tcW w:w="794" w:type="dxa"/>
          </w:tcPr>
          <w:p w:rsidR="00C302A1" w:rsidRPr="00C302A1" w:rsidRDefault="00C302A1" w:rsidP="00C302A1">
            <w:pPr>
              <w:jc w:val="center"/>
              <w:rPr>
                <w:bCs/>
                <w:sz w:val="16"/>
                <w:szCs w:val="16"/>
              </w:rPr>
            </w:pPr>
            <w:r w:rsidRPr="00C302A1">
              <w:rPr>
                <w:bCs/>
                <w:sz w:val="16"/>
                <w:szCs w:val="16"/>
              </w:rPr>
              <w:t>1.42</w:t>
            </w:r>
            <w:r w:rsidRPr="00C302A1">
              <w:rPr>
                <w:bCs/>
                <w:sz w:val="16"/>
                <w:szCs w:val="16"/>
                <w:vertAlign w:val="superscript"/>
              </w:rPr>
              <w:t>ns</w:t>
            </w:r>
          </w:p>
        </w:tc>
        <w:tc>
          <w:tcPr>
            <w:tcW w:w="794" w:type="dxa"/>
          </w:tcPr>
          <w:p w:rsidR="00C302A1" w:rsidRPr="00C302A1" w:rsidRDefault="00C302A1" w:rsidP="00C302A1">
            <w:pPr>
              <w:jc w:val="center"/>
              <w:rPr>
                <w:bCs/>
                <w:sz w:val="16"/>
                <w:szCs w:val="16"/>
              </w:rPr>
            </w:pPr>
            <w:r w:rsidRPr="00C302A1">
              <w:rPr>
                <w:bCs/>
                <w:sz w:val="16"/>
                <w:szCs w:val="16"/>
              </w:rPr>
              <w:t>3.73***</w:t>
            </w:r>
          </w:p>
        </w:tc>
        <w:tc>
          <w:tcPr>
            <w:tcW w:w="794" w:type="dxa"/>
          </w:tcPr>
          <w:p w:rsidR="00C302A1" w:rsidRPr="00C302A1" w:rsidRDefault="00C302A1" w:rsidP="00C302A1">
            <w:pPr>
              <w:jc w:val="center"/>
              <w:rPr>
                <w:bCs/>
                <w:sz w:val="16"/>
                <w:szCs w:val="16"/>
              </w:rPr>
            </w:pPr>
            <w:r w:rsidRPr="00C302A1">
              <w:rPr>
                <w:bCs/>
                <w:sz w:val="16"/>
                <w:szCs w:val="16"/>
              </w:rPr>
              <w:t>1.54</w:t>
            </w:r>
            <w:r w:rsidRPr="00C302A1">
              <w:rPr>
                <w:bCs/>
                <w:sz w:val="16"/>
                <w:szCs w:val="16"/>
                <w:vertAlign w:val="superscript"/>
              </w:rPr>
              <w:t xml:space="preserve"> ns</w:t>
            </w:r>
          </w:p>
        </w:tc>
      </w:tr>
      <w:tr w:rsidR="00C302A1" w:rsidRPr="00C302A1" w:rsidTr="000564CF">
        <w:trPr>
          <w:cantSplit/>
          <w:trHeight w:val="283"/>
        </w:trPr>
        <w:tc>
          <w:tcPr>
            <w:tcW w:w="2268" w:type="dxa"/>
            <w:shd w:val="clear" w:color="auto" w:fill="auto"/>
            <w:hideMark/>
          </w:tcPr>
          <w:p w:rsidR="00C302A1" w:rsidRPr="00C302A1" w:rsidRDefault="00C302A1" w:rsidP="00C302A1">
            <w:pPr>
              <w:rPr>
                <w:bCs/>
                <w:sz w:val="16"/>
                <w:szCs w:val="16"/>
              </w:rPr>
            </w:pPr>
            <w:r w:rsidRPr="00C302A1">
              <w:rPr>
                <w:bCs/>
                <w:sz w:val="16"/>
                <w:szCs w:val="16"/>
              </w:rPr>
              <w:t>Vessel lumen fraction</w:t>
            </w:r>
          </w:p>
        </w:tc>
        <w:tc>
          <w:tcPr>
            <w:tcW w:w="850" w:type="dxa"/>
          </w:tcPr>
          <w:p w:rsidR="00C302A1" w:rsidRPr="00C302A1" w:rsidRDefault="00C302A1" w:rsidP="00C302A1">
            <w:pPr>
              <w:ind w:hanging="5"/>
              <w:rPr>
                <w:bCs/>
                <w:sz w:val="16"/>
                <w:szCs w:val="16"/>
              </w:rPr>
            </w:pPr>
            <w:r w:rsidRPr="00C302A1">
              <w:rPr>
                <w:bCs/>
                <w:sz w:val="16"/>
                <w:szCs w:val="16"/>
              </w:rPr>
              <w:t>"</w:t>
            </w:r>
          </w:p>
        </w:tc>
        <w:tc>
          <w:tcPr>
            <w:tcW w:w="907" w:type="dxa"/>
            <w:shd w:val="clear" w:color="auto" w:fill="auto"/>
            <w:hideMark/>
          </w:tcPr>
          <w:p w:rsidR="00C302A1" w:rsidRPr="00C302A1" w:rsidRDefault="00C302A1" w:rsidP="00C302A1">
            <w:pPr>
              <w:jc w:val="center"/>
              <w:rPr>
                <w:bCs/>
                <w:sz w:val="16"/>
                <w:szCs w:val="16"/>
              </w:rPr>
            </w:pPr>
            <w:r w:rsidRPr="00C302A1">
              <w:rPr>
                <w:bCs/>
                <w:sz w:val="16"/>
                <w:szCs w:val="16"/>
              </w:rPr>
              <w:t>0.14</w:t>
            </w:r>
          </w:p>
        </w:tc>
        <w:tc>
          <w:tcPr>
            <w:tcW w:w="907" w:type="dxa"/>
            <w:shd w:val="clear" w:color="auto" w:fill="auto"/>
            <w:hideMark/>
          </w:tcPr>
          <w:p w:rsidR="00C302A1" w:rsidRPr="00C302A1" w:rsidRDefault="00C302A1" w:rsidP="00C302A1">
            <w:pPr>
              <w:jc w:val="center"/>
              <w:rPr>
                <w:bCs/>
                <w:sz w:val="16"/>
                <w:szCs w:val="16"/>
              </w:rPr>
            </w:pPr>
            <w:r w:rsidRPr="00C302A1">
              <w:rPr>
                <w:bCs/>
                <w:sz w:val="16"/>
                <w:szCs w:val="16"/>
              </w:rPr>
              <w:t>0.15</w:t>
            </w:r>
          </w:p>
        </w:tc>
        <w:tc>
          <w:tcPr>
            <w:tcW w:w="907" w:type="dxa"/>
            <w:shd w:val="clear" w:color="auto" w:fill="auto"/>
            <w:hideMark/>
          </w:tcPr>
          <w:p w:rsidR="00C302A1" w:rsidRPr="00C302A1" w:rsidRDefault="00C302A1" w:rsidP="00C302A1">
            <w:pPr>
              <w:jc w:val="center"/>
              <w:rPr>
                <w:bCs/>
                <w:sz w:val="16"/>
                <w:szCs w:val="16"/>
              </w:rPr>
            </w:pPr>
            <w:r w:rsidRPr="00C302A1">
              <w:rPr>
                <w:bCs/>
                <w:sz w:val="16"/>
                <w:szCs w:val="16"/>
              </w:rPr>
              <w:t>0.11</w:t>
            </w:r>
          </w:p>
        </w:tc>
        <w:tc>
          <w:tcPr>
            <w:tcW w:w="794" w:type="dxa"/>
          </w:tcPr>
          <w:p w:rsidR="00C302A1" w:rsidRPr="00C302A1" w:rsidRDefault="00C302A1" w:rsidP="00C302A1">
            <w:pPr>
              <w:ind w:left="-84" w:right="-189"/>
              <w:jc w:val="center"/>
              <w:rPr>
                <w:bCs/>
                <w:sz w:val="16"/>
                <w:szCs w:val="16"/>
              </w:rPr>
            </w:pPr>
            <w:r w:rsidRPr="00C302A1">
              <w:rPr>
                <w:bCs/>
                <w:sz w:val="16"/>
                <w:szCs w:val="16"/>
              </w:rPr>
              <w:t>5.17**</w:t>
            </w:r>
          </w:p>
        </w:tc>
        <w:tc>
          <w:tcPr>
            <w:tcW w:w="794" w:type="dxa"/>
          </w:tcPr>
          <w:p w:rsidR="00C302A1" w:rsidRPr="00C302A1" w:rsidRDefault="00C302A1" w:rsidP="00C302A1">
            <w:pPr>
              <w:jc w:val="center"/>
              <w:rPr>
                <w:bCs/>
                <w:sz w:val="16"/>
                <w:szCs w:val="16"/>
              </w:rPr>
            </w:pPr>
            <w:r w:rsidRPr="00C302A1">
              <w:rPr>
                <w:bCs/>
                <w:sz w:val="16"/>
                <w:szCs w:val="16"/>
              </w:rPr>
              <w:t>1.13</w:t>
            </w:r>
            <w:r w:rsidRPr="00C302A1">
              <w:rPr>
                <w:bCs/>
                <w:sz w:val="16"/>
                <w:szCs w:val="16"/>
                <w:vertAlign w:val="superscript"/>
              </w:rPr>
              <w:t>ns</w:t>
            </w:r>
          </w:p>
        </w:tc>
        <w:tc>
          <w:tcPr>
            <w:tcW w:w="794" w:type="dxa"/>
          </w:tcPr>
          <w:p w:rsidR="00C302A1" w:rsidRPr="00C302A1" w:rsidRDefault="00C302A1" w:rsidP="00C302A1">
            <w:pPr>
              <w:jc w:val="center"/>
              <w:rPr>
                <w:bCs/>
                <w:sz w:val="16"/>
                <w:szCs w:val="16"/>
              </w:rPr>
            </w:pPr>
            <w:r w:rsidRPr="00C302A1">
              <w:rPr>
                <w:bCs/>
                <w:sz w:val="16"/>
                <w:szCs w:val="16"/>
              </w:rPr>
              <w:t>2.63*</w:t>
            </w:r>
          </w:p>
        </w:tc>
        <w:tc>
          <w:tcPr>
            <w:tcW w:w="794" w:type="dxa"/>
          </w:tcPr>
          <w:p w:rsidR="00C302A1" w:rsidRPr="00C302A1" w:rsidRDefault="00C302A1" w:rsidP="00C302A1">
            <w:pPr>
              <w:jc w:val="center"/>
              <w:rPr>
                <w:bCs/>
                <w:sz w:val="16"/>
                <w:szCs w:val="16"/>
              </w:rPr>
            </w:pPr>
            <w:r w:rsidRPr="00C302A1">
              <w:rPr>
                <w:bCs/>
                <w:sz w:val="16"/>
                <w:szCs w:val="16"/>
              </w:rPr>
              <w:t>2.96*</w:t>
            </w:r>
          </w:p>
        </w:tc>
      </w:tr>
      <w:tr w:rsidR="00C302A1" w:rsidRPr="00C302A1" w:rsidTr="000564CF">
        <w:trPr>
          <w:cantSplit/>
          <w:trHeight w:val="283"/>
        </w:trPr>
        <w:tc>
          <w:tcPr>
            <w:tcW w:w="2268" w:type="dxa"/>
            <w:shd w:val="clear" w:color="auto" w:fill="auto"/>
            <w:hideMark/>
          </w:tcPr>
          <w:p w:rsidR="00C302A1" w:rsidRPr="00C302A1" w:rsidRDefault="00C302A1" w:rsidP="00C302A1">
            <w:pPr>
              <w:rPr>
                <w:bCs/>
                <w:sz w:val="16"/>
                <w:szCs w:val="16"/>
              </w:rPr>
            </w:pPr>
            <w:r w:rsidRPr="00C302A1">
              <w:rPr>
                <w:bCs/>
                <w:sz w:val="16"/>
                <w:szCs w:val="16"/>
              </w:rPr>
              <w:t>Vessel wall fraction</w:t>
            </w:r>
          </w:p>
        </w:tc>
        <w:tc>
          <w:tcPr>
            <w:tcW w:w="850" w:type="dxa"/>
          </w:tcPr>
          <w:p w:rsidR="00C302A1" w:rsidRPr="00C302A1" w:rsidRDefault="00C302A1" w:rsidP="00C302A1">
            <w:pPr>
              <w:ind w:hanging="5"/>
              <w:rPr>
                <w:bCs/>
                <w:sz w:val="16"/>
                <w:szCs w:val="16"/>
              </w:rPr>
            </w:pPr>
            <w:r w:rsidRPr="00C302A1">
              <w:rPr>
                <w:bCs/>
                <w:sz w:val="16"/>
                <w:szCs w:val="16"/>
              </w:rPr>
              <w:t>"</w:t>
            </w:r>
          </w:p>
        </w:tc>
        <w:tc>
          <w:tcPr>
            <w:tcW w:w="907" w:type="dxa"/>
            <w:shd w:val="clear" w:color="auto" w:fill="auto"/>
            <w:hideMark/>
          </w:tcPr>
          <w:p w:rsidR="00C302A1" w:rsidRPr="00C302A1" w:rsidRDefault="00C302A1" w:rsidP="00C302A1">
            <w:pPr>
              <w:jc w:val="center"/>
              <w:rPr>
                <w:bCs/>
                <w:i/>
                <w:sz w:val="16"/>
                <w:szCs w:val="16"/>
              </w:rPr>
            </w:pPr>
            <w:r w:rsidRPr="00C302A1">
              <w:rPr>
                <w:bCs/>
                <w:i/>
                <w:sz w:val="16"/>
                <w:szCs w:val="16"/>
              </w:rPr>
              <w:t>0.04</w:t>
            </w:r>
          </w:p>
        </w:tc>
        <w:tc>
          <w:tcPr>
            <w:tcW w:w="907" w:type="dxa"/>
            <w:shd w:val="clear" w:color="auto" w:fill="auto"/>
            <w:hideMark/>
          </w:tcPr>
          <w:p w:rsidR="00C302A1" w:rsidRPr="00C302A1" w:rsidRDefault="00C302A1" w:rsidP="00C302A1">
            <w:pPr>
              <w:jc w:val="center"/>
              <w:rPr>
                <w:bCs/>
                <w:i/>
                <w:sz w:val="16"/>
                <w:szCs w:val="16"/>
              </w:rPr>
            </w:pPr>
            <w:r w:rsidRPr="00C302A1">
              <w:rPr>
                <w:bCs/>
                <w:i/>
                <w:sz w:val="16"/>
                <w:szCs w:val="16"/>
              </w:rPr>
              <w:t>0.04</w:t>
            </w:r>
          </w:p>
        </w:tc>
        <w:tc>
          <w:tcPr>
            <w:tcW w:w="907" w:type="dxa"/>
            <w:shd w:val="clear" w:color="auto" w:fill="auto"/>
            <w:hideMark/>
          </w:tcPr>
          <w:p w:rsidR="00C302A1" w:rsidRPr="00C302A1" w:rsidRDefault="00C302A1" w:rsidP="00C302A1">
            <w:pPr>
              <w:jc w:val="center"/>
              <w:rPr>
                <w:bCs/>
                <w:i/>
                <w:sz w:val="16"/>
                <w:szCs w:val="16"/>
              </w:rPr>
            </w:pPr>
            <w:r w:rsidRPr="00C302A1">
              <w:rPr>
                <w:bCs/>
                <w:i/>
                <w:sz w:val="16"/>
                <w:szCs w:val="16"/>
              </w:rPr>
              <w:t>0.04</w:t>
            </w:r>
          </w:p>
        </w:tc>
        <w:tc>
          <w:tcPr>
            <w:tcW w:w="794" w:type="dxa"/>
          </w:tcPr>
          <w:p w:rsidR="00C302A1" w:rsidRPr="00C302A1" w:rsidRDefault="00C302A1" w:rsidP="00C302A1">
            <w:pPr>
              <w:ind w:left="-84" w:right="-189"/>
              <w:jc w:val="center"/>
              <w:rPr>
                <w:bCs/>
                <w:i/>
                <w:sz w:val="16"/>
                <w:szCs w:val="16"/>
              </w:rPr>
            </w:pPr>
            <w:r w:rsidRPr="00C302A1">
              <w:rPr>
                <w:bCs/>
                <w:i/>
                <w:sz w:val="16"/>
                <w:szCs w:val="16"/>
              </w:rPr>
              <w:t>0.051</w:t>
            </w:r>
            <w:r w:rsidRPr="00C302A1">
              <w:rPr>
                <w:bCs/>
                <w:sz w:val="16"/>
                <w:szCs w:val="16"/>
                <w:vertAlign w:val="superscript"/>
              </w:rPr>
              <w:t xml:space="preserve"> ns</w:t>
            </w:r>
          </w:p>
        </w:tc>
        <w:tc>
          <w:tcPr>
            <w:tcW w:w="794" w:type="dxa"/>
          </w:tcPr>
          <w:p w:rsidR="00C302A1" w:rsidRPr="00C302A1" w:rsidRDefault="00C302A1" w:rsidP="00C302A1">
            <w:pPr>
              <w:jc w:val="center"/>
              <w:rPr>
                <w:bCs/>
                <w:i/>
                <w:sz w:val="16"/>
                <w:szCs w:val="16"/>
              </w:rPr>
            </w:pPr>
            <w:r w:rsidRPr="00C302A1">
              <w:rPr>
                <w:bCs/>
                <w:i/>
                <w:sz w:val="16"/>
                <w:szCs w:val="16"/>
              </w:rPr>
              <w:t>na</w:t>
            </w:r>
          </w:p>
        </w:tc>
        <w:tc>
          <w:tcPr>
            <w:tcW w:w="794" w:type="dxa"/>
          </w:tcPr>
          <w:p w:rsidR="00C302A1" w:rsidRPr="00C302A1" w:rsidRDefault="00C302A1" w:rsidP="00C302A1">
            <w:pPr>
              <w:jc w:val="center"/>
              <w:rPr>
                <w:bCs/>
                <w:i/>
                <w:sz w:val="16"/>
                <w:szCs w:val="16"/>
              </w:rPr>
            </w:pPr>
            <w:r w:rsidRPr="00C302A1">
              <w:rPr>
                <w:bCs/>
                <w:i/>
                <w:sz w:val="16"/>
                <w:szCs w:val="16"/>
              </w:rPr>
              <w:t>na</w:t>
            </w:r>
          </w:p>
        </w:tc>
        <w:tc>
          <w:tcPr>
            <w:tcW w:w="794" w:type="dxa"/>
          </w:tcPr>
          <w:p w:rsidR="00C302A1" w:rsidRPr="00C302A1" w:rsidRDefault="00C302A1" w:rsidP="00C302A1">
            <w:pPr>
              <w:jc w:val="center"/>
              <w:rPr>
                <w:bCs/>
                <w:i/>
                <w:sz w:val="16"/>
                <w:szCs w:val="16"/>
              </w:rPr>
            </w:pPr>
            <w:r w:rsidRPr="00C302A1">
              <w:rPr>
                <w:bCs/>
                <w:i/>
                <w:sz w:val="16"/>
                <w:szCs w:val="16"/>
              </w:rPr>
              <w:t>na</w:t>
            </w:r>
          </w:p>
        </w:tc>
      </w:tr>
      <w:tr w:rsidR="00C302A1" w:rsidRPr="00C302A1" w:rsidTr="000564CF">
        <w:trPr>
          <w:cantSplit/>
          <w:trHeight w:val="283"/>
        </w:trPr>
        <w:tc>
          <w:tcPr>
            <w:tcW w:w="2268" w:type="dxa"/>
            <w:shd w:val="clear" w:color="auto" w:fill="auto"/>
            <w:hideMark/>
          </w:tcPr>
          <w:p w:rsidR="00C302A1" w:rsidRPr="00C302A1" w:rsidRDefault="00C302A1" w:rsidP="00C302A1">
            <w:pPr>
              <w:rPr>
                <w:bCs/>
                <w:sz w:val="16"/>
                <w:szCs w:val="16"/>
              </w:rPr>
            </w:pPr>
            <w:r w:rsidRPr="00C302A1">
              <w:rPr>
                <w:bCs/>
                <w:sz w:val="16"/>
                <w:szCs w:val="16"/>
              </w:rPr>
              <w:t>Total vessel fraction (lumen + wall)</w:t>
            </w:r>
          </w:p>
        </w:tc>
        <w:tc>
          <w:tcPr>
            <w:tcW w:w="850" w:type="dxa"/>
          </w:tcPr>
          <w:p w:rsidR="00C302A1" w:rsidRPr="00C302A1" w:rsidRDefault="00C302A1" w:rsidP="00C302A1">
            <w:pPr>
              <w:ind w:hanging="5"/>
              <w:rPr>
                <w:bCs/>
                <w:sz w:val="16"/>
                <w:szCs w:val="16"/>
              </w:rPr>
            </w:pPr>
            <w:r w:rsidRPr="00C302A1">
              <w:rPr>
                <w:bCs/>
                <w:sz w:val="16"/>
                <w:szCs w:val="16"/>
              </w:rPr>
              <w:t>"</w:t>
            </w:r>
          </w:p>
        </w:tc>
        <w:tc>
          <w:tcPr>
            <w:tcW w:w="907" w:type="dxa"/>
            <w:shd w:val="clear" w:color="auto" w:fill="auto"/>
            <w:hideMark/>
          </w:tcPr>
          <w:p w:rsidR="00C302A1" w:rsidRPr="00C302A1" w:rsidRDefault="00C302A1" w:rsidP="00C302A1">
            <w:pPr>
              <w:jc w:val="center"/>
              <w:rPr>
                <w:bCs/>
                <w:sz w:val="16"/>
                <w:szCs w:val="16"/>
              </w:rPr>
            </w:pPr>
            <w:r w:rsidRPr="00C302A1">
              <w:rPr>
                <w:bCs/>
                <w:sz w:val="16"/>
                <w:szCs w:val="16"/>
              </w:rPr>
              <w:t>0.18</w:t>
            </w:r>
          </w:p>
        </w:tc>
        <w:tc>
          <w:tcPr>
            <w:tcW w:w="907" w:type="dxa"/>
            <w:shd w:val="clear" w:color="auto" w:fill="auto"/>
            <w:hideMark/>
          </w:tcPr>
          <w:p w:rsidR="00C302A1" w:rsidRPr="00C302A1" w:rsidRDefault="00C302A1" w:rsidP="00C302A1">
            <w:pPr>
              <w:jc w:val="center"/>
              <w:rPr>
                <w:bCs/>
                <w:sz w:val="16"/>
                <w:szCs w:val="16"/>
              </w:rPr>
            </w:pPr>
            <w:r w:rsidRPr="00C302A1">
              <w:rPr>
                <w:bCs/>
                <w:sz w:val="16"/>
                <w:szCs w:val="16"/>
              </w:rPr>
              <w:t>0.20</w:t>
            </w:r>
          </w:p>
        </w:tc>
        <w:tc>
          <w:tcPr>
            <w:tcW w:w="907" w:type="dxa"/>
            <w:shd w:val="clear" w:color="auto" w:fill="auto"/>
            <w:hideMark/>
          </w:tcPr>
          <w:p w:rsidR="00C302A1" w:rsidRPr="00C302A1" w:rsidRDefault="00C302A1" w:rsidP="00C302A1">
            <w:pPr>
              <w:jc w:val="center"/>
              <w:rPr>
                <w:bCs/>
                <w:sz w:val="16"/>
                <w:szCs w:val="16"/>
              </w:rPr>
            </w:pPr>
            <w:r w:rsidRPr="00C302A1">
              <w:rPr>
                <w:bCs/>
                <w:sz w:val="16"/>
                <w:szCs w:val="16"/>
              </w:rPr>
              <w:t>0.16</w:t>
            </w:r>
          </w:p>
        </w:tc>
        <w:tc>
          <w:tcPr>
            <w:tcW w:w="794" w:type="dxa"/>
          </w:tcPr>
          <w:p w:rsidR="00C302A1" w:rsidRPr="00C302A1" w:rsidRDefault="00C302A1" w:rsidP="00C302A1">
            <w:pPr>
              <w:ind w:left="-84" w:right="-189"/>
              <w:jc w:val="center"/>
              <w:rPr>
                <w:bCs/>
                <w:sz w:val="16"/>
                <w:szCs w:val="16"/>
              </w:rPr>
            </w:pPr>
            <w:r w:rsidRPr="00C302A1">
              <w:rPr>
                <w:bCs/>
                <w:sz w:val="16"/>
                <w:szCs w:val="16"/>
              </w:rPr>
              <w:t>2.45</w:t>
            </w:r>
            <w:r w:rsidRPr="00C302A1">
              <w:rPr>
                <w:bCs/>
                <w:sz w:val="16"/>
                <w:szCs w:val="16"/>
                <w:vertAlign w:val="superscript"/>
              </w:rPr>
              <w:t xml:space="preserve"> ns</w:t>
            </w:r>
          </w:p>
        </w:tc>
        <w:tc>
          <w:tcPr>
            <w:tcW w:w="794" w:type="dxa"/>
          </w:tcPr>
          <w:p w:rsidR="00C302A1" w:rsidRPr="00C302A1" w:rsidRDefault="00C302A1" w:rsidP="00C302A1">
            <w:pPr>
              <w:jc w:val="center"/>
              <w:rPr>
                <w:bCs/>
                <w:sz w:val="16"/>
                <w:szCs w:val="16"/>
              </w:rPr>
            </w:pPr>
            <w:r w:rsidRPr="00C302A1">
              <w:rPr>
                <w:bCs/>
                <w:sz w:val="16"/>
                <w:szCs w:val="16"/>
              </w:rPr>
              <w:t>na</w:t>
            </w:r>
          </w:p>
        </w:tc>
        <w:tc>
          <w:tcPr>
            <w:tcW w:w="794" w:type="dxa"/>
          </w:tcPr>
          <w:p w:rsidR="00C302A1" w:rsidRPr="00C302A1" w:rsidRDefault="00C302A1" w:rsidP="00C302A1">
            <w:pPr>
              <w:jc w:val="center"/>
              <w:rPr>
                <w:bCs/>
                <w:sz w:val="16"/>
                <w:szCs w:val="16"/>
              </w:rPr>
            </w:pPr>
            <w:r w:rsidRPr="00C302A1">
              <w:rPr>
                <w:bCs/>
                <w:sz w:val="16"/>
                <w:szCs w:val="16"/>
              </w:rPr>
              <w:t>na</w:t>
            </w:r>
          </w:p>
        </w:tc>
        <w:tc>
          <w:tcPr>
            <w:tcW w:w="794" w:type="dxa"/>
          </w:tcPr>
          <w:p w:rsidR="00C302A1" w:rsidRPr="00C302A1" w:rsidRDefault="00C302A1" w:rsidP="00C302A1">
            <w:pPr>
              <w:jc w:val="center"/>
              <w:rPr>
                <w:bCs/>
                <w:sz w:val="16"/>
                <w:szCs w:val="16"/>
              </w:rPr>
            </w:pPr>
            <w:r w:rsidRPr="00C302A1">
              <w:rPr>
                <w:bCs/>
                <w:sz w:val="16"/>
                <w:szCs w:val="16"/>
              </w:rPr>
              <w:t>na</w:t>
            </w:r>
          </w:p>
        </w:tc>
      </w:tr>
      <w:tr w:rsidR="00C302A1" w:rsidRPr="00C302A1" w:rsidTr="000564CF">
        <w:trPr>
          <w:cantSplit/>
          <w:trHeight w:val="283"/>
        </w:trPr>
        <w:tc>
          <w:tcPr>
            <w:tcW w:w="2268" w:type="dxa"/>
            <w:shd w:val="clear" w:color="auto" w:fill="auto"/>
            <w:hideMark/>
          </w:tcPr>
          <w:p w:rsidR="00C302A1" w:rsidRPr="00C302A1" w:rsidRDefault="00C302A1" w:rsidP="00C302A1">
            <w:pPr>
              <w:rPr>
                <w:bCs/>
                <w:sz w:val="16"/>
                <w:szCs w:val="16"/>
              </w:rPr>
            </w:pPr>
            <w:r w:rsidRPr="00C302A1">
              <w:rPr>
                <w:bCs/>
                <w:sz w:val="16"/>
                <w:szCs w:val="16"/>
              </w:rPr>
              <w:t>Fraction of conduits with maximum lumen diameter smaller than 15 μm</w:t>
            </w:r>
          </w:p>
        </w:tc>
        <w:tc>
          <w:tcPr>
            <w:tcW w:w="850" w:type="dxa"/>
          </w:tcPr>
          <w:p w:rsidR="00C302A1" w:rsidRPr="00C302A1" w:rsidRDefault="00C302A1" w:rsidP="00C302A1">
            <w:pPr>
              <w:ind w:hanging="5"/>
              <w:rPr>
                <w:bCs/>
                <w:sz w:val="16"/>
                <w:szCs w:val="16"/>
              </w:rPr>
            </w:pPr>
            <w:r w:rsidRPr="00C302A1">
              <w:rPr>
                <w:bCs/>
                <w:sz w:val="16"/>
                <w:szCs w:val="16"/>
              </w:rPr>
              <w:t>"</w:t>
            </w:r>
          </w:p>
        </w:tc>
        <w:tc>
          <w:tcPr>
            <w:tcW w:w="907" w:type="dxa"/>
            <w:shd w:val="clear" w:color="auto" w:fill="auto"/>
            <w:hideMark/>
          </w:tcPr>
          <w:p w:rsidR="00C302A1" w:rsidRPr="00C302A1" w:rsidRDefault="00C302A1" w:rsidP="00C302A1">
            <w:pPr>
              <w:jc w:val="center"/>
              <w:rPr>
                <w:bCs/>
                <w:i/>
                <w:sz w:val="16"/>
                <w:szCs w:val="16"/>
              </w:rPr>
            </w:pPr>
            <w:r w:rsidRPr="00C302A1">
              <w:rPr>
                <w:bCs/>
                <w:i/>
                <w:sz w:val="16"/>
                <w:szCs w:val="16"/>
              </w:rPr>
              <w:t>0.00</w:t>
            </w:r>
          </w:p>
        </w:tc>
        <w:tc>
          <w:tcPr>
            <w:tcW w:w="907" w:type="dxa"/>
            <w:shd w:val="clear" w:color="auto" w:fill="auto"/>
            <w:hideMark/>
          </w:tcPr>
          <w:p w:rsidR="00C302A1" w:rsidRPr="00C302A1" w:rsidRDefault="00C302A1" w:rsidP="00C302A1">
            <w:pPr>
              <w:jc w:val="center"/>
              <w:rPr>
                <w:bCs/>
                <w:i/>
                <w:sz w:val="16"/>
                <w:szCs w:val="16"/>
              </w:rPr>
            </w:pPr>
            <w:r w:rsidRPr="00C302A1">
              <w:rPr>
                <w:bCs/>
                <w:i/>
                <w:sz w:val="16"/>
                <w:szCs w:val="16"/>
              </w:rPr>
              <w:t>0.05</w:t>
            </w:r>
          </w:p>
        </w:tc>
        <w:tc>
          <w:tcPr>
            <w:tcW w:w="907" w:type="dxa"/>
            <w:shd w:val="clear" w:color="auto" w:fill="auto"/>
            <w:hideMark/>
          </w:tcPr>
          <w:p w:rsidR="00C302A1" w:rsidRPr="00C302A1" w:rsidRDefault="00C302A1" w:rsidP="00C302A1">
            <w:pPr>
              <w:jc w:val="center"/>
              <w:rPr>
                <w:bCs/>
                <w:i/>
                <w:sz w:val="16"/>
                <w:szCs w:val="16"/>
              </w:rPr>
            </w:pPr>
            <w:r w:rsidRPr="00C302A1">
              <w:rPr>
                <w:bCs/>
                <w:i/>
                <w:sz w:val="16"/>
                <w:szCs w:val="16"/>
              </w:rPr>
              <w:t>0.05</w:t>
            </w:r>
          </w:p>
        </w:tc>
        <w:tc>
          <w:tcPr>
            <w:tcW w:w="794" w:type="dxa"/>
          </w:tcPr>
          <w:p w:rsidR="00C302A1" w:rsidRPr="00C302A1" w:rsidRDefault="00C302A1" w:rsidP="00C302A1">
            <w:pPr>
              <w:ind w:left="-84" w:right="-189"/>
              <w:jc w:val="center"/>
              <w:rPr>
                <w:bCs/>
                <w:i/>
                <w:sz w:val="16"/>
                <w:szCs w:val="16"/>
              </w:rPr>
            </w:pPr>
            <w:r w:rsidRPr="00C302A1">
              <w:rPr>
                <w:bCs/>
                <w:i/>
                <w:sz w:val="16"/>
                <w:szCs w:val="16"/>
              </w:rPr>
              <w:t>46.15***</w:t>
            </w:r>
          </w:p>
        </w:tc>
        <w:tc>
          <w:tcPr>
            <w:tcW w:w="794" w:type="dxa"/>
          </w:tcPr>
          <w:p w:rsidR="00C302A1" w:rsidRPr="00C302A1" w:rsidRDefault="00C302A1" w:rsidP="00C302A1">
            <w:pPr>
              <w:jc w:val="center"/>
              <w:rPr>
                <w:bCs/>
                <w:i/>
                <w:sz w:val="16"/>
                <w:szCs w:val="16"/>
              </w:rPr>
            </w:pPr>
            <w:r w:rsidRPr="00C302A1">
              <w:rPr>
                <w:bCs/>
                <w:i/>
                <w:sz w:val="16"/>
                <w:szCs w:val="16"/>
              </w:rPr>
              <w:t>4.21*</w:t>
            </w:r>
          </w:p>
        </w:tc>
        <w:tc>
          <w:tcPr>
            <w:tcW w:w="794" w:type="dxa"/>
          </w:tcPr>
          <w:p w:rsidR="00C302A1" w:rsidRPr="00C302A1" w:rsidRDefault="00C302A1" w:rsidP="00C302A1">
            <w:pPr>
              <w:jc w:val="center"/>
              <w:rPr>
                <w:bCs/>
                <w:i/>
                <w:sz w:val="16"/>
                <w:szCs w:val="16"/>
              </w:rPr>
            </w:pPr>
            <w:r w:rsidRPr="00C302A1">
              <w:rPr>
                <w:bCs/>
                <w:i/>
                <w:sz w:val="16"/>
                <w:szCs w:val="16"/>
              </w:rPr>
              <w:t>5.07*</w:t>
            </w:r>
          </w:p>
        </w:tc>
        <w:tc>
          <w:tcPr>
            <w:tcW w:w="794" w:type="dxa"/>
          </w:tcPr>
          <w:p w:rsidR="00C302A1" w:rsidRPr="00C302A1" w:rsidRDefault="00C302A1" w:rsidP="00C302A1">
            <w:pPr>
              <w:jc w:val="center"/>
              <w:rPr>
                <w:bCs/>
                <w:i/>
                <w:sz w:val="16"/>
                <w:szCs w:val="16"/>
              </w:rPr>
            </w:pPr>
            <w:r w:rsidRPr="00C302A1">
              <w:rPr>
                <w:bCs/>
                <w:i/>
                <w:sz w:val="16"/>
                <w:szCs w:val="16"/>
              </w:rPr>
              <w:t>0.08</w:t>
            </w:r>
            <w:r w:rsidRPr="00C302A1">
              <w:rPr>
                <w:bCs/>
                <w:sz w:val="16"/>
                <w:szCs w:val="16"/>
                <w:vertAlign w:val="superscript"/>
              </w:rPr>
              <w:t xml:space="preserve"> ns</w:t>
            </w:r>
          </w:p>
        </w:tc>
      </w:tr>
      <w:tr w:rsidR="00C302A1" w:rsidRPr="00C302A1" w:rsidTr="000564CF">
        <w:trPr>
          <w:cantSplit/>
          <w:trHeight w:val="283"/>
        </w:trPr>
        <w:tc>
          <w:tcPr>
            <w:tcW w:w="2268" w:type="dxa"/>
            <w:shd w:val="clear" w:color="auto" w:fill="auto"/>
            <w:hideMark/>
          </w:tcPr>
          <w:p w:rsidR="00C302A1" w:rsidRPr="00C302A1" w:rsidRDefault="00C302A1" w:rsidP="00C302A1">
            <w:pPr>
              <w:rPr>
                <w:bCs/>
                <w:sz w:val="16"/>
                <w:szCs w:val="16"/>
              </w:rPr>
            </w:pPr>
            <w:r w:rsidRPr="00C302A1">
              <w:rPr>
                <w:bCs/>
                <w:sz w:val="16"/>
                <w:szCs w:val="16"/>
              </w:rPr>
              <w:t>Wall fraction (fibre wall + vessel wall)</w:t>
            </w:r>
          </w:p>
        </w:tc>
        <w:tc>
          <w:tcPr>
            <w:tcW w:w="850" w:type="dxa"/>
          </w:tcPr>
          <w:p w:rsidR="00C302A1" w:rsidRPr="00C302A1" w:rsidRDefault="00C302A1" w:rsidP="00C302A1">
            <w:pPr>
              <w:ind w:hanging="5"/>
              <w:rPr>
                <w:bCs/>
                <w:sz w:val="16"/>
                <w:szCs w:val="16"/>
              </w:rPr>
            </w:pPr>
            <w:r w:rsidRPr="00C302A1">
              <w:rPr>
                <w:bCs/>
                <w:sz w:val="16"/>
                <w:szCs w:val="16"/>
              </w:rPr>
              <w:t>"</w:t>
            </w:r>
          </w:p>
        </w:tc>
        <w:tc>
          <w:tcPr>
            <w:tcW w:w="907" w:type="dxa"/>
            <w:shd w:val="clear" w:color="auto" w:fill="auto"/>
            <w:hideMark/>
          </w:tcPr>
          <w:p w:rsidR="00C302A1" w:rsidRPr="00C302A1" w:rsidRDefault="00C302A1" w:rsidP="00C302A1">
            <w:pPr>
              <w:jc w:val="center"/>
              <w:rPr>
                <w:bCs/>
                <w:sz w:val="16"/>
                <w:szCs w:val="16"/>
              </w:rPr>
            </w:pPr>
            <w:r w:rsidRPr="00C302A1">
              <w:rPr>
                <w:bCs/>
                <w:sz w:val="16"/>
                <w:szCs w:val="16"/>
              </w:rPr>
              <w:t>0.32</w:t>
            </w:r>
          </w:p>
        </w:tc>
        <w:tc>
          <w:tcPr>
            <w:tcW w:w="907" w:type="dxa"/>
            <w:shd w:val="clear" w:color="auto" w:fill="auto"/>
            <w:hideMark/>
          </w:tcPr>
          <w:p w:rsidR="00C302A1" w:rsidRPr="00C302A1" w:rsidRDefault="00C302A1" w:rsidP="00C302A1">
            <w:pPr>
              <w:jc w:val="center"/>
              <w:rPr>
                <w:bCs/>
                <w:sz w:val="16"/>
                <w:szCs w:val="16"/>
              </w:rPr>
            </w:pPr>
            <w:r w:rsidRPr="00C302A1">
              <w:rPr>
                <w:bCs/>
                <w:sz w:val="16"/>
                <w:szCs w:val="16"/>
              </w:rPr>
              <w:t>0.40</w:t>
            </w:r>
          </w:p>
        </w:tc>
        <w:tc>
          <w:tcPr>
            <w:tcW w:w="907" w:type="dxa"/>
            <w:shd w:val="clear" w:color="auto" w:fill="auto"/>
            <w:hideMark/>
          </w:tcPr>
          <w:p w:rsidR="00C302A1" w:rsidRPr="00C302A1" w:rsidRDefault="00C302A1" w:rsidP="00C302A1">
            <w:pPr>
              <w:jc w:val="center"/>
              <w:rPr>
                <w:bCs/>
                <w:sz w:val="16"/>
                <w:szCs w:val="16"/>
              </w:rPr>
            </w:pPr>
            <w:r w:rsidRPr="00C302A1">
              <w:rPr>
                <w:bCs/>
                <w:sz w:val="16"/>
                <w:szCs w:val="16"/>
              </w:rPr>
              <w:t>0.43</w:t>
            </w:r>
          </w:p>
        </w:tc>
        <w:tc>
          <w:tcPr>
            <w:tcW w:w="794" w:type="dxa"/>
          </w:tcPr>
          <w:p w:rsidR="00C302A1" w:rsidRPr="00C302A1" w:rsidRDefault="00C302A1" w:rsidP="00C302A1">
            <w:pPr>
              <w:ind w:left="-84" w:right="-189"/>
              <w:jc w:val="center"/>
              <w:rPr>
                <w:bCs/>
                <w:sz w:val="16"/>
                <w:szCs w:val="16"/>
              </w:rPr>
            </w:pPr>
            <w:r w:rsidRPr="00C302A1">
              <w:rPr>
                <w:bCs/>
                <w:sz w:val="16"/>
                <w:szCs w:val="16"/>
              </w:rPr>
              <w:t>19.4***</w:t>
            </w:r>
          </w:p>
        </w:tc>
        <w:tc>
          <w:tcPr>
            <w:tcW w:w="794" w:type="dxa"/>
          </w:tcPr>
          <w:p w:rsidR="00C302A1" w:rsidRPr="00C302A1" w:rsidRDefault="00C302A1" w:rsidP="00C302A1">
            <w:pPr>
              <w:jc w:val="center"/>
              <w:rPr>
                <w:bCs/>
                <w:sz w:val="16"/>
                <w:szCs w:val="16"/>
              </w:rPr>
            </w:pPr>
            <w:r w:rsidRPr="00C302A1">
              <w:rPr>
                <w:bCs/>
                <w:sz w:val="16"/>
                <w:szCs w:val="16"/>
              </w:rPr>
              <w:t>3.42**</w:t>
            </w:r>
          </w:p>
        </w:tc>
        <w:tc>
          <w:tcPr>
            <w:tcW w:w="794" w:type="dxa"/>
          </w:tcPr>
          <w:p w:rsidR="00C302A1" w:rsidRPr="00C302A1" w:rsidRDefault="00C302A1" w:rsidP="00C302A1">
            <w:pPr>
              <w:jc w:val="center"/>
              <w:rPr>
                <w:bCs/>
                <w:sz w:val="16"/>
                <w:szCs w:val="16"/>
              </w:rPr>
            </w:pPr>
            <w:r w:rsidRPr="00C302A1">
              <w:rPr>
                <w:bCs/>
                <w:sz w:val="16"/>
                <w:szCs w:val="16"/>
              </w:rPr>
              <w:t>5.89***</w:t>
            </w:r>
          </w:p>
        </w:tc>
        <w:tc>
          <w:tcPr>
            <w:tcW w:w="794" w:type="dxa"/>
          </w:tcPr>
          <w:p w:rsidR="00C302A1" w:rsidRPr="00C302A1" w:rsidRDefault="00C302A1" w:rsidP="00C302A1">
            <w:pPr>
              <w:jc w:val="center"/>
              <w:rPr>
                <w:bCs/>
                <w:sz w:val="16"/>
                <w:szCs w:val="16"/>
              </w:rPr>
            </w:pPr>
            <w:r w:rsidRPr="00C302A1">
              <w:rPr>
                <w:bCs/>
                <w:sz w:val="16"/>
                <w:szCs w:val="16"/>
              </w:rPr>
              <w:t>1.39</w:t>
            </w:r>
            <w:r w:rsidRPr="00C302A1">
              <w:rPr>
                <w:bCs/>
                <w:sz w:val="16"/>
                <w:szCs w:val="16"/>
                <w:vertAlign w:val="superscript"/>
              </w:rPr>
              <w:t>ns</w:t>
            </w:r>
          </w:p>
        </w:tc>
      </w:tr>
      <w:tr w:rsidR="00C302A1" w:rsidRPr="00C302A1" w:rsidTr="000564CF">
        <w:trPr>
          <w:cantSplit/>
          <w:trHeight w:val="283"/>
        </w:trPr>
        <w:tc>
          <w:tcPr>
            <w:tcW w:w="2268" w:type="dxa"/>
            <w:shd w:val="clear" w:color="auto" w:fill="auto"/>
            <w:hideMark/>
          </w:tcPr>
          <w:p w:rsidR="00C302A1" w:rsidRPr="00C302A1" w:rsidRDefault="00C302A1" w:rsidP="00C302A1">
            <w:pPr>
              <w:rPr>
                <w:bCs/>
                <w:sz w:val="16"/>
                <w:szCs w:val="16"/>
              </w:rPr>
            </w:pPr>
            <w:r w:rsidRPr="00C302A1">
              <w:rPr>
                <w:bCs/>
                <w:sz w:val="16"/>
                <w:szCs w:val="16"/>
              </w:rPr>
              <w:t>Vessel area</w:t>
            </w:r>
          </w:p>
        </w:tc>
        <w:tc>
          <w:tcPr>
            <w:tcW w:w="850" w:type="dxa"/>
          </w:tcPr>
          <w:p w:rsidR="00C302A1" w:rsidRPr="00C302A1" w:rsidRDefault="00C302A1" w:rsidP="00C302A1">
            <w:pPr>
              <w:ind w:hanging="5"/>
              <w:rPr>
                <w:bCs/>
                <w:sz w:val="16"/>
                <w:szCs w:val="16"/>
              </w:rPr>
            </w:pPr>
            <w:r w:rsidRPr="00C302A1">
              <w:rPr>
                <w:bCs/>
                <w:sz w:val="16"/>
                <w:szCs w:val="16"/>
              </w:rPr>
              <w:t>mm</w:t>
            </w:r>
            <w:r w:rsidRPr="00C302A1">
              <w:rPr>
                <w:bCs/>
                <w:sz w:val="16"/>
                <w:szCs w:val="16"/>
                <w:vertAlign w:val="superscript"/>
              </w:rPr>
              <w:t>2</w:t>
            </w:r>
          </w:p>
        </w:tc>
        <w:tc>
          <w:tcPr>
            <w:tcW w:w="907" w:type="dxa"/>
            <w:shd w:val="clear" w:color="auto" w:fill="auto"/>
            <w:hideMark/>
          </w:tcPr>
          <w:p w:rsidR="00C302A1" w:rsidRPr="00C302A1" w:rsidRDefault="00C302A1" w:rsidP="00C302A1">
            <w:pPr>
              <w:jc w:val="center"/>
              <w:rPr>
                <w:bCs/>
                <w:i/>
                <w:sz w:val="16"/>
                <w:szCs w:val="16"/>
              </w:rPr>
            </w:pPr>
            <w:r w:rsidRPr="00C302A1">
              <w:rPr>
                <w:bCs/>
                <w:i/>
                <w:sz w:val="16"/>
                <w:szCs w:val="16"/>
              </w:rPr>
              <w:t>0.0016</w:t>
            </w:r>
          </w:p>
        </w:tc>
        <w:tc>
          <w:tcPr>
            <w:tcW w:w="907" w:type="dxa"/>
            <w:shd w:val="clear" w:color="auto" w:fill="auto"/>
            <w:hideMark/>
          </w:tcPr>
          <w:p w:rsidR="00C302A1" w:rsidRPr="00C302A1" w:rsidRDefault="00C302A1" w:rsidP="00C302A1">
            <w:pPr>
              <w:jc w:val="center"/>
              <w:rPr>
                <w:bCs/>
                <w:i/>
                <w:sz w:val="16"/>
                <w:szCs w:val="16"/>
              </w:rPr>
            </w:pPr>
            <w:r w:rsidRPr="00C302A1">
              <w:rPr>
                <w:bCs/>
                <w:i/>
                <w:sz w:val="16"/>
                <w:szCs w:val="16"/>
              </w:rPr>
              <w:t>0.0015</w:t>
            </w:r>
          </w:p>
        </w:tc>
        <w:tc>
          <w:tcPr>
            <w:tcW w:w="907" w:type="dxa"/>
            <w:shd w:val="clear" w:color="auto" w:fill="auto"/>
            <w:hideMark/>
          </w:tcPr>
          <w:p w:rsidR="00C302A1" w:rsidRPr="00C302A1" w:rsidRDefault="00C302A1" w:rsidP="00C302A1">
            <w:pPr>
              <w:jc w:val="center"/>
              <w:rPr>
                <w:bCs/>
                <w:i/>
                <w:sz w:val="16"/>
                <w:szCs w:val="16"/>
              </w:rPr>
            </w:pPr>
            <w:r w:rsidRPr="00C302A1">
              <w:rPr>
                <w:bCs/>
                <w:i/>
                <w:sz w:val="16"/>
                <w:szCs w:val="16"/>
              </w:rPr>
              <w:t>0.0004</w:t>
            </w:r>
          </w:p>
        </w:tc>
        <w:tc>
          <w:tcPr>
            <w:tcW w:w="794" w:type="dxa"/>
          </w:tcPr>
          <w:p w:rsidR="00C302A1" w:rsidRPr="00C302A1" w:rsidRDefault="00C302A1" w:rsidP="00C302A1">
            <w:pPr>
              <w:ind w:left="-84" w:right="-189"/>
              <w:jc w:val="center"/>
              <w:rPr>
                <w:bCs/>
                <w:i/>
                <w:sz w:val="16"/>
                <w:szCs w:val="16"/>
              </w:rPr>
            </w:pPr>
            <w:r w:rsidRPr="00C302A1">
              <w:rPr>
                <w:bCs/>
                <w:i/>
                <w:sz w:val="16"/>
                <w:szCs w:val="16"/>
              </w:rPr>
              <w:t>22.15***</w:t>
            </w:r>
          </w:p>
        </w:tc>
        <w:tc>
          <w:tcPr>
            <w:tcW w:w="794" w:type="dxa"/>
          </w:tcPr>
          <w:p w:rsidR="00C302A1" w:rsidRPr="00C302A1" w:rsidRDefault="00C302A1" w:rsidP="00C302A1">
            <w:pPr>
              <w:jc w:val="center"/>
              <w:rPr>
                <w:bCs/>
                <w:i/>
                <w:sz w:val="16"/>
                <w:szCs w:val="16"/>
              </w:rPr>
            </w:pPr>
            <w:r w:rsidRPr="00C302A1">
              <w:rPr>
                <w:bCs/>
                <w:i/>
                <w:sz w:val="16"/>
                <w:szCs w:val="16"/>
              </w:rPr>
              <w:t>0.72</w:t>
            </w:r>
            <w:r w:rsidRPr="00C302A1">
              <w:rPr>
                <w:bCs/>
                <w:i/>
                <w:sz w:val="16"/>
                <w:szCs w:val="16"/>
                <w:vertAlign w:val="superscript"/>
              </w:rPr>
              <w:t>ns</w:t>
            </w:r>
          </w:p>
        </w:tc>
        <w:tc>
          <w:tcPr>
            <w:tcW w:w="794" w:type="dxa"/>
          </w:tcPr>
          <w:p w:rsidR="00C302A1" w:rsidRPr="00C302A1" w:rsidRDefault="00C302A1" w:rsidP="00C302A1">
            <w:pPr>
              <w:jc w:val="center"/>
              <w:rPr>
                <w:bCs/>
                <w:i/>
                <w:sz w:val="16"/>
                <w:szCs w:val="16"/>
              </w:rPr>
            </w:pPr>
            <w:r w:rsidRPr="00C302A1">
              <w:rPr>
                <w:bCs/>
                <w:i/>
                <w:sz w:val="16"/>
                <w:szCs w:val="16"/>
              </w:rPr>
              <w:t>4.68*</w:t>
            </w:r>
          </w:p>
        </w:tc>
        <w:tc>
          <w:tcPr>
            <w:tcW w:w="794" w:type="dxa"/>
          </w:tcPr>
          <w:p w:rsidR="00C302A1" w:rsidRPr="00C302A1" w:rsidRDefault="00C302A1" w:rsidP="00C302A1">
            <w:pPr>
              <w:jc w:val="center"/>
              <w:rPr>
                <w:bCs/>
                <w:i/>
                <w:sz w:val="16"/>
                <w:szCs w:val="16"/>
              </w:rPr>
            </w:pPr>
            <w:r w:rsidRPr="00C302A1">
              <w:rPr>
                <w:bCs/>
                <w:i/>
                <w:sz w:val="16"/>
                <w:szCs w:val="16"/>
              </w:rPr>
              <w:t>2.86*</w:t>
            </w:r>
          </w:p>
        </w:tc>
      </w:tr>
      <w:tr w:rsidR="00C302A1" w:rsidRPr="00C302A1" w:rsidTr="000564CF">
        <w:trPr>
          <w:cantSplit/>
          <w:trHeight w:val="283"/>
        </w:trPr>
        <w:tc>
          <w:tcPr>
            <w:tcW w:w="2268" w:type="dxa"/>
            <w:shd w:val="clear" w:color="auto" w:fill="auto"/>
            <w:hideMark/>
          </w:tcPr>
          <w:p w:rsidR="00C302A1" w:rsidRPr="00C302A1" w:rsidRDefault="00C302A1" w:rsidP="00C302A1">
            <w:pPr>
              <w:rPr>
                <w:bCs/>
                <w:sz w:val="16"/>
                <w:szCs w:val="16"/>
              </w:rPr>
            </w:pPr>
            <w:r w:rsidRPr="00C302A1">
              <w:rPr>
                <w:bCs/>
                <w:sz w:val="16"/>
                <w:szCs w:val="16"/>
              </w:rPr>
              <w:t>Vessel number per area</w:t>
            </w:r>
          </w:p>
        </w:tc>
        <w:tc>
          <w:tcPr>
            <w:tcW w:w="850" w:type="dxa"/>
          </w:tcPr>
          <w:p w:rsidR="00C302A1" w:rsidRPr="00C302A1" w:rsidRDefault="00C302A1" w:rsidP="00C302A1">
            <w:pPr>
              <w:ind w:hanging="5"/>
              <w:rPr>
                <w:bCs/>
                <w:sz w:val="16"/>
                <w:szCs w:val="16"/>
              </w:rPr>
            </w:pPr>
            <w:r w:rsidRPr="00C302A1">
              <w:rPr>
                <w:bCs/>
                <w:sz w:val="16"/>
                <w:szCs w:val="16"/>
              </w:rPr>
              <w:t>mm</w:t>
            </w:r>
            <w:r w:rsidRPr="00C302A1">
              <w:rPr>
                <w:bCs/>
                <w:sz w:val="16"/>
                <w:szCs w:val="16"/>
                <w:vertAlign w:val="superscript"/>
              </w:rPr>
              <w:t>-2</w:t>
            </w:r>
          </w:p>
        </w:tc>
        <w:tc>
          <w:tcPr>
            <w:tcW w:w="907" w:type="dxa"/>
            <w:shd w:val="clear" w:color="auto" w:fill="auto"/>
            <w:hideMark/>
          </w:tcPr>
          <w:p w:rsidR="00C302A1" w:rsidRPr="00C302A1" w:rsidRDefault="00C302A1" w:rsidP="00C302A1">
            <w:pPr>
              <w:jc w:val="center"/>
              <w:rPr>
                <w:bCs/>
                <w:i/>
                <w:sz w:val="16"/>
                <w:szCs w:val="16"/>
              </w:rPr>
            </w:pPr>
            <w:r w:rsidRPr="00C302A1">
              <w:rPr>
                <w:bCs/>
                <w:i/>
                <w:sz w:val="16"/>
                <w:szCs w:val="16"/>
              </w:rPr>
              <w:t>92</w:t>
            </w:r>
          </w:p>
        </w:tc>
        <w:tc>
          <w:tcPr>
            <w:tcW w:w="907" w:type="dxa"/>
            <w:shd w:val="clear" w:color="auto" w:fill="auto"/>
            <w:hideMark/>
          </w:tcPr>
          <w:p w:rsidR="00C302A1" w:rsidRPr="00C302A1" w:rsidRDefault="00C302A1" w:rsidP="00C302A1">
            <w:pPr>
              <w:jc w:val="center"/>
              <w:rPr>
                <w:bCs/>
                <w:i/>
                <w:sz w:val="16"/>
                <w:szCs w:val="16"/>
              </w:rPr>
            </w:pPr>
            <w:r w:rsidRPr="00C302A1">
              <w:rPr>
                <w:bCs/>
                <w:i/>
                <w:sz w:val="16"/>
                <w:szCs w:val="16"/>
              </w:rPr>
              <w:t>104</w:t>
            </w:r>
          </w:p>
        </w:tc>
        <w:tc>
          <w:tcPr>
            <w:tcW w:w="907" w:type="dxa"/>
            <w:shd w:val="clear" w:color="auto" w:fill="auto"/>
            <w:hideMark/>
          </w:tcPr>
          <w:p w:rsidR="00C302A1" w:rsidRPr="00C302A1" w:rsidRDefault="00C302A1" w:rsidP="00C302A1">
            <w:pPr>
              <w:jc w:val="center"/>
              <w:rPr>
                <w:bCs/>
                <w:i/>
                <w:sz w:val="16"/>
                <w:szCs w:val="16"/>
              </w:rPr>
            </w:pPr>
            <w:r w:rsidRPr="00C302A1">
              <w:rPr>
                <w:bCs/>
                <w:i/>
                <w:sz w:val="16"/>
                <w:szCs w:val="16"/>
              </w:rPr>
              <w:t>266</w:t>
            </w:r>
          </w:p>
        </w:tc>
        <w:tc>
          <w:tcPr>
            <w:tcW w:w="794" w:type="dxa"/>
          </w:tcPr>
          <w:p w:rsidR="00C302A1" w:rsidRPr="00C302A1" w:rsidRDefault="00C302A1" w:rsidP="00C302A1">
            <w:pPr>
              <w:ind w:left="-84" w:right="-189"/>
              <w:jc w:val="center"/>
              <w:rPr>
                <w:bCs/>
                <w:i/>
                <w:sz w:val="16"/>
                <w:szCs w:val="16"/>
              </w:rPr>
            </w:pPr>
            <w:r w:rsidRPr="00C302A1">
              <w:rPr>
                <w:bCs/>
                <w:i/>
                <w:sz w:val="16"/>
                <w:szCs w:val="16"/>
              </w:rPr>
              <w:t>12.44**</w:t>
            </w:r>
          </w:p>
        </w:tc>
        <w:tc>
          <w:tcPr>
            <w:tcW w:w="794" w:type="dxa"/>
          </w:tcPr>
          <w:p w:rsidR="00C302A1" w:rsidRPr="00C302A1" w:rsidRDefault="00C302A1" w:rsidP="00C302A1">
            <w:pPr>
              <w:jc w:val="center"/>
              <w:rPr>
                <w:bCs/>
                <w:i/>
                <w:sz w:val="16"/>
                <w:szCs w:val="16"/>
              </w:rPr>
            </w:pPr>
            <w:r w:rsidRPr="00C302A1">
              <w:rPr>
                <w:bCs/>
                <w:i/>
                <w:sz w:val="16"/>
                <w:szCs w:val="16"/>
              </w:rPr>
              <w:t>1.21</w:t>
            </w:r>
            <w:r w:rsidRPr="00C302A1">
              <w:rPr>
                <w:bCs/>
                <w:i/>
                <w:sz w:val="16"/>
                <w:szCs w:val="16"/>
                <w:vertAlign w:val="superscript"/>
              </w:rPr>
              <w:t>ns</w:t>
            </w:r>
          </w:p>
        </w:tc>
        <w:tc>
          <w:tcPr>
            <w:tcW w:w="794" w:type="dxa"/>
          </w:tcPr>
          <w:p w:rsidR="00C302A1" w:rsidRPr="00C302A1" w:rsidRDefault="00C302A1" w:rsidP="00C302A1">
            <w:pPr>
              <w:jc w:val="center"/>
              <w:rPr>
                <w:bCs/>
                <w:i/>
                <w:sz w:val="16"/>
                <w:szCs w:val="16"/>
              </w:rPr>
            </w:pPr>
            <w:r w:rsidRPr="00C302A1">
              <w:rPr>
                <w:bCs/>
                <w:i/>
                <w:sz w:val="16"/>
                <w:szCs w:val="16"/>
              </w:rPr>
              <w:t>3.61*</w:t>
            </w:r>
          </w:p>
        </w:tc>
        <w:tc>
          <w:tcPr>
            <w:tcW w:w="794" w:type="dxa"/>
          </w:tcPr>
          <w:p w:rsidR="00C302A1" w:rsidRPr="00C302A1" w:rsidRDefault="00C302A1" w:rsidP="00C302A1">
            <w:pPr>
              <w:jc w:val="center"/>
              <w:rPr>
                <w:bCs/>
                <w:i/>
                <w:sz w:val="16"/>
                <w:szCs w:val="16"/>
              </w:rPr>
            </w:pPr>
            <w:r w:rsidRPr="00C302A1">
              <w:rPr>
                <w:bCs/>
                <w:i/>
                <w:sz w:val="16"/>
                <w:szCs w:val="16"/>
              </w:rPr>
              <w:t>1.56</w:t>
            </w:r>
            <w:r w:rsidRPr="00C302A1">
              <w:rPr>
                <w:bCs/>
                <w:sz w:val="16"/>
                <w:szCs w:val="16"/>
                <w:vertAlign w:val="superscript"/>
              </w:rPr>
              <w:t xml:space="preserve"> ns</w:t>
            </w:r>
          </w:p>
        </w:tc>
      </w:tr>
      <w:tr w:rsidR="00C302A1" w:rsidRPr="00C302A1" w:rsidTr="000564CF">
        <w:trPr>
          <w:cantSplit/>
          <w:trHeight w:val="283"/>
        </w:trPr>
        <w:tc>
          <w:tcPr>
            <w:tcW w:w="2268" w:type="dxa"/>
            <w:shd w:val="clear" w:color="auto" w:fill="auto"/>
            <w:hideMark/>
          </w:tcPr>
          <w:p w:rsidR="00C302A1" w:rsidRPr="00C302A1" w:rsidRDefault="00C302A1" w:rsidP="00C302A1">
            <w:pPr>
              <w:rPr>
                <w:bCs/>
                <w:sz w:val="16"/>
                <w:szCs w:val="16"/>
              </w:rPr>
            </w:pPr>
            <w:r w:rsidRPr="00C302A1">
              <w:rPr>
                <w:bCs/>
                <w:sz w:val="16"/>
                <w:szCs w:val="16"/>
              </w:rPr>
              <w:t>Vessel area to number ratio</w:t>
            </w:r>
          </w:p>
        </w:tc>
        <w:tc>
          <w:tcPr>
            <w:tcW w:w="850" w:type="dxa"/>
          </w:tcPr>
          <w:p w:rsidR="00C302A1" w:rsidRPr="00C302A1" w:rsidRDefault="00C302A1" w:rsidP="00C302A1">
            <w:pPr>
              <w:ind w:hanging="5"/>
              <w:rPr>
                <w:bCs/>
                <w:sz w:val="16"/>
                <w:szCs w:val="16"/>
              </w:rPr>
            </w:pPr>
            <w:r w:rsidRPr="00C302A1">
              <w:rPr>
                <w:bCs/>
                <w:sz w:val="16"/>
                <w:szCs w:val="16"/>
              </w:rPr>
              <w:t>mm</w:t>
            </w:r>
            <w:r w:rsidRPr="00C302A1">
              <w:rPr>
                <w:bCs/>
                <w:sz w:val="16"/>
                <w:szCs w:val="16"/>
                <w:vertAlign w:val="superscript"/>
              </w:rPr>
              <w:t>4</w:t>
            </w:r>
          </w:p>
        </w:tc>
        <w:tc>
          <w:tcPr>
            <w:tcW w:w="907" w:type="dxa"/>
            <w:shd w:val="clear" w:color="auto" w:fill="auto"/>
            <w:hideMark/>
          </w:tcPr>
          <w:p w:rsidR="00C302A1" w:rsidRPr="00C302A1" w:rsidRDefault="00C302A1" w:rsidP="00C302A1">
            <w:pPr>
              <w:jc w:val="center"/>
              <w:rPr>
                <w:bCs/>
                <w:i/>
                <w:sz w:val="16"/>
                <w:szCs w:val="16"/>
              </w:rPr>
            </w:pPr>
            <w:r w:rsidRPr="00C302A1">
              <w:rPr>
                <w:bCs/>
                <w:i/>
                <w:sz w:val="16"/>
                <w:szCs w:val="16"/>
              </w:rPr>
              <w:t>0.000019</w:t>
            </w:r>
          </w:p>
        </w:tc>
        <w:tc>
          <w:tcPr>
            <w:tcW w:w="907" w:type="dxa"/>
            <w:shd w:val="clear" w:color="auto" w:fill="auto"/>
            <w:hideMark/>
          </w:tcPr>
          <w:p w:rsidR="00C302A1" w:rsidRPr="00C302A1" w:rsidRDefault="00C302A1" w:rsidP="00C302A1">
            <w:pPr>
              <w:jc w:val="center"/>
              <w:rPr>
                <w:bCs/>
                <w:i/>
                <w:sz w:val="16"/>
                <w:szCs w:val="16"/>
              </w:rPr>
            </w:pPr>
            <w:r w:rsidRPr="00C302A1">
              <w:rPr>
                <w:bCs/>
                <w:i/>
                <w:sz w:val="16"/>
                <w:szCs w:val="16"/>
              </w:rPr>
              <w:t>0.000012</w:t>
            </w:r>
          </w:p>
        </w:tc>
        <w:tc>
          <w:tcPr>
            <w:tcW w:w="907" w:type="dxa"/>
            <w:shd w:val="clear" w:color="auto" w:fill="auto"/>
            <w:hideMark/>
          </w:tcPr>
          <w:p w:rsidR="00C302A1" w:rsidRPr="00C302A1" w:rsidRDefault="00C302A1" w:rsidP="00C302A1">
            <w:pPr>
              <w:jc w:val="center"/>
              <w:rPr>
                <w:bCs/>
                <w:i/>
                <w:sz w:val="16"/>
                <w:szCs w:val="16"/>
              </w:rPr>
            </w:pPr>
            <w:r w:rsidRPr="00C302A1">
              <w:rPr>
                <w:bCs/>
                <w:i/>
                <w:sz w:val="16"/>
                <w:szCs w:val="16"/>
              </w:rPr>
              <w:t>0.000001</w:t>
            </w:r>
          </w:p>
        </w:tc>
        <w:tc>
          <w:tcPr>
            <w:tcW w:w="794" w:type="dxa"/>
          </w:tcPr>
          <w:p w:rsidR="00C302A1" w:rsidRPr="00C302A1" w:rsidRDefault="00C302A1" w:rsidP="00C302A1">
            <w:pPr>
              <w:ind w:left="-84" w:right="-189"/>
              <w:jc w:val="center"/>
              <w:rPr>
                <w:bCs/>
                <w:i/>
                <w:sz w:val="16"/>
                <w:szCs w:val="16"/>
              </w:rPr>
            </w:pPr>
            <w:r w:rsidRPr="00C302A1">
              <w:rPr>
                <w:bCs/>
                <w:i/>
                <w:sz w:val="16"/>
                <w:szCs w:val="16"/>
              </w:rPr>
              <w:t>14.83***</w:t>
            </w:r>
          </w:p>
        </w:tc>
        <w:tc>
          <w:tcPr>
            <w:tcW w:w="794" w:type="dxa"/>
          </w:tcPr>
          <w:p w:rsidR="00C302A1" w:rsidRPr="00C302A1" w:rsidRDefault="00C302A1" w:rsidP="00C302A1">
            <w:pPr>
              <w:jc w:val="center"/>
              <w:rPr>
                <w:bCs/>
                <w:i/>
                <w:sz w:val="16"/>
                <w:szCs w:val="16"/>
              </w:rPr>
            </w:pPr>
            <w:r w:rsidRPr="00C302A1">
              <w:rPr>
                <w:bCs/>
                <w:i/>
                <w:sz w:val="16"/>
                <w:szCs w:val="16"/>
              </w:rPr>
              <w:t>1.15</w:t>
            </w:r>
            <w:r w:rsidRPr="00C302A1">
              <w:rPr>
                <w:bCs/>
                <w:i/>
                <w:sz w:val="16"/>
                <w:szCs w:val="16"/>
                <w:vertAlign w:val="superscript"/>
              </w:rPr>
              <w:t>ns</w:t>
            </w:r>
          </w:p>
        </w:tc>
        <w:tc>
          <w:tcPr>
            <w:tcW w:w="794" w:type="dxa"/>
          </w:tcPr>
          <w:p w:rsidR="00C302A1" w:rsidRPr="00C302A1" w:rsidRDefault="00C302A1" w:rsidP="00C302A1">
            <w:pPr>
              <w:jc w:val="center"/>
              <w:rPr>
                <w:bCs/>
                <w:i/>
                <w:sz w:val="16"/>
                <w:szCs w:val="16"/>
              </w:rPr>
            </w:pPr>
            <w:r w:rsidRPr="00C302A1">
              <w:rPr>
                <w:bCs/>
                <w:i/>
                <w:sz w:val="16"/>
                <w:szCs w:val="16"/>
              </w:rPr>
              <w:t>3.85*</w:t>
            </w:r>
          </w:p>
        </w:tc>
        <w:tc>
          <w:tcPr>
            <w:tcW w:w="794" w:type="dxa"/>
          </w:tcPr>
          <w:p w:rsidR="00C302A1" w:rsidRPr="00C302A1" w:rsidRDefault="00C302A1" w:rsidP="00C302A1">
            <w:pPr>
              <w:jc w:val="center"/>
              <w:rPr>
                <w:bCs/>
                <w:i/>
                <w:sz w:val="16"/>
                <w:szCs w:val="16"/>
              </w:rPr>
            </w:pPr>
            <w:r w:rsidRPr="00C302A1">
              <w:rPr>
                <w:bCs/>
                <w:i/>
                <w:sz w:val="16"/>
                <w:szCs w:val="16"/>
              </w:rPr>
              <w:t>1.86</w:t>
            </w:r>
            <w:r w:rsidRPr="00C302A1">
              <w:rPr>
                <w:bCs/>
                <w:sz w:val="16"/>
                <w:szCs w:val="16"/>
                <w:vertAlign w:val="superscript"/>
              </w:rPr>
              <w:t xml:space="preserve"> ns</w:t>
            </w:r>
          </w:p>
        </w:tc>
      </w:tr>
      <w:tr w:rsidR="00C302A1" w:rsidRPr="00C302A1" w:rsidTr="000564CF">
        <w:trPr>
          <w:cantSplit/>
          <w:trHeight w:val="283"/>
        </w:trPr>
        <w:tc>
          <w:tcPr>
            <w:tcW w:w="2268" w:type="dxa"/>
            <w:shd w:val="clear" w:color="auto" w:fill="auto"/>
            <w:hideMark/>
          </w:tcPr>
          <w:p w:rsidR="00C302A1" w:rsidRPr="00C302A1" w:rsidRDefault="00C302A1" w:rsidP="00C302A1">
            <w:pPr>
              <w:rPr>
                <w:bCs/>
                <w:sz w:val="16"/>
                <w:szCs w:val="16"/>
              </w:rPr>
            </w:pPr>
            <w:r w:rsidRPr="00C302A1">
              <w:rPr>
                <w:bCs/>
                <w:sz w:val="16"/>
                <w:szCs w:val="16"/>
              </w:rPr>
              <w:t>Hydraulically weighted diameter</w:t>
            </w:r>
          </w:p>
        </w:tc>
        <w:tc>
          <w:tcPr>
            <w:tcW w:w="850" w:type="dxa"/>
          </w:tcPr>
          <w:p w:rsidR="00C302A1" w:rsidRPr="00C302A1" w:rsidRDefault="00C302A1" w:rsidP="00C302A1">
            <w:pPr>
              <w:ind w:hanging="5"/>
              <w:rPr>
                <w:bCs/>
                <w:sz w:val="16"/>
                <w:szCs w:val="16"/>
              </w:rPr>
            </w:pPr>
            <w:r w:rsidRPr="00C302A1">
              <w:rPr>
                <w:bCs/>
                <w:sz w:val="16"/>
                <w:szCs w:val="16"/>
              </w:rPr>
              <w:t>mm</w:t>
            </w:r>
          </w:p>
        </w:tc>
        <w:tc>
          <w:tcPr>
            <w:tcW w:w="907" w:type="dxa"/>
            <w:shd w:val="clear" w:color="auto" w:fill="auto"/>
            <w:hideMark/>
          </w:tcPr>
          <w:p w:rsidR="00C302A1" w:rsidRPr="00C302A1" w:rsidRDefault="00C302A1" w:rsidP="00C302A1">
            <w:pPr>
              <w:jc w:val="center"/>
              <w:rPr>
                <w:bCs/>
                <w:sz w:val="16"/>
                <w:szCs w:val="16"/>
              </w:rPr>
            </w:pPr>
            <w:r w:rsidRPr="00C302A1">
              <w:rPr>
                <w:bCs/>
                <w:sz w:val="16"/>
                <w:szCs w:val="16"/>
              </w:rPr>
              <w:t>55</w:t>
            </w:r>
          </w:p>
        </w:tc>
        <w:tc>
          <w:tcPr>
            <w:tcW w:w="907" w:type="dxa"/>
            <w:shd w:val="clear" w:color="auto" w:fill="auto"/>
            <w:hideMark/>
          </w:tcPr>
          <w:p w:rsidR="00C302A1" w:rsidRPr="00C302A1" w:rsidRDefault="00C302A1" w:rsidP="00C302A1">
            <w:pPr>
              <w:jc w:val="center"/>
              <w:rPr>
                <w:bCs/>
                <w:sz w:val="16"/>
                <w:szCs w:val="16"/>
              </w:rPr>
            </w:pPr>
            <w:r w:rsidRPr="00C302A1">
              <w:rPr>
                <w:bCs/>
                <w:sz w:val="16"/>
                <w:szCs w:val="16"/>
              </w:rPr>
              <w:t>58</w:t>
            </w:r>
          </w:p>
        </w:tc>
        <w:tc>
          <w:tcPr>
            <w:tcW w:w="907" w:type="dxa"/>
            <w:shd w:val="clear" w:color="auto" w:fill="auto"/>
            <w:hideMark/>
          </w:tcPr>
          <w:p w:rsidR="00C302A1" w:rsidRPr="00C302A1" w:rsidRDefault="00C302A1" w:rsidP="00C302A1">
            <w:pPr>
              <w:jc w:val="center"/>
              <w:rPr>
                <w:bCs/>
                <w:sz w:val="16"/>
                <w:szCs w:val="16"/>
              </w:rPr>
            </w:pPr>
            <w:r w:rsidRPr="00C302A1">
              <w:rPr>
                <w:bCs/>
                <w:sz w:val="16"/>
                <w:szCs w:val="16"/>
              </w:rPr>
              <w:t>33</w:t>
            </w:r>
          </w:p>
        </w:tc>
        <w:tc>
          <w:tcPr>
            <w:tcW w:w="794" w:type="dxa"/>
          </w:tcPr>
          <w:p w:rsidR="00C302A1" w:rsidRPr="00C302A1" w:rsidRDefault="00C302A1" w:rsidP="00C302A1">
            <w:pPr>
              <w:ind w:left="-84" w:right="-189"/>
              <w:jc w:val="center"/>
              <w:rPr>
                <w:bCs/>
                <w:sz w:val="16"/>
                <w:szCs w:val="16"/>
              </w:rPr>
            </w:pPr>
            <w:r w:rsidRPr="00C302A1">
              <w:rPr>
                <w:bCs/>
                <w:sz w:val="16"/>
                <w:szCs w:val="16"/>
              </w:rPr>
              <w:t>21.10***</w:t>
            </w:r>
          </w:p>
        </w:tc>
        <w:tc>
          <w:tcPr>
            <w:tcW w:w="794" w:type="dxa"/>
          </w:tcPr>
          <w:p w:rsidR="00C302A1" w:rsidRPr="00C302A1" w:rsidRDefault="00C302A1" w:rsidP="00C302A1">
            <w:pPr>
              <w:jc w:val="center"/>
              <w:rPr>
                <w:bCs/>
                <w:sz w:val="16"/>
                <w:szCs w:val="16"/>
              </w:rPr>
            </w:pPr>
            <w:r w:rsidRPr="00C302A1">
              <w:rPr>
                <w:bCs/>
                <w:sz w:val="16"/>
                <w:szCs w:val="16"/>
              </w:rPr>
              <w:t>0.69</w:t>
            </w:r>
            <w:r w:rsidRPr="00C302A1">
              <w:rPr>
                <w:bCs/>
                <w:sz w:val="16"/>
                <w:szCs w:val="16"/>
                <w:vertAlign w:val="superscript"/>
              </w:rPr>
              <w:t>ns</w:t>
            </w:r>
          </w:p>
        </w:tc>
        <w:tc>
          <w:tcPr>
            <w:tcW w:w="794" w:type="dxa"/>
          </w:tcPr>
          <w:p w:rsidR="00C302A1" w:rsidRPr="00C302A1" w:rsidRDefault="00C302A1" w:rsidP="00C302A1">
            <w:pPr>
              <w:jc w:val="center"/>
              <w:rPr>
                <w:bCs/>
                <w:sz w:val="16"/>
                <w:szCs w:val="16"/>
              </w:rPr>
            </w:pPr>
            <w:r w:rsidRPr="00C302A1">
              <w:rPr>
                <w:bCs/>
                <w:sz w:val="16"/>
                <w:szCs w:val="16"/>
              </w:rPr>
              <w:t>6.08***</w:t>
            </w:r>
          </w:p>
        </w:tc>
        <w:tc>
          <w:tcPr>
            <w:tcW w:w="794" w:type="dxa"/>
          </w:tcPr>
          <w:p w:rsidR="00C302A1" w:rsidRPr="00C302A1" w:rsidRDefault="00C302A1" w:rsidP="00C302A1">
            <w:pPr>
              <w:jc w:val="center"/>
              <w:rPr>
                <w:bCs/>
                <w:sz w:val="16"/>
                <w:szCs w:val="16"/>
              </w:rPr>
            </w:pPr>
            <w:r w:rsidRPr="00C302A1">
              <w:rPr>
                <w:bCs/>
                <w:sz w:val="16"/>
                <w:szCs w:val="16"/>
              </w:rPr>
              <w:t>5.14***</w:t>
            </w:r>
          </w:p>
        </w:tc>
      </w:tr>
      <w:tr w:rsidR="00C302A1" w:rsidRPr="00C302A1" w:rsidTr="000564CF">
        <w:trPr>
          <w:cantSplit/>
          <w:trHeight w:val="283"/>
        </w:trPr>
        <w:tc>
          <w:tcPr>
            <w:tcW w:w="2268" w:type="dxa"/>
            <w:shd w:val="clear" w:color="auto" w:fill="auto"/>
            <w:hideMark/>
          </w:tcPr>
          <w:p w:rsidR="00C302A1" w:rsidRPr="00C302A1" w:rsidRDefault="00C302A1" w:rsidP="00C302A1">
            <w:pPr>
              <w:rPr>
                <w:bCs/>
                <w:sz w:val="16"/>
                <w:szCs w:val="16"/>
              </w:rPr>
            </w:pPr>
            <w:r w:rsidRPr="00C302A1">
              <w:rPr>
                <w:bCs/>
                <w:sz w:val="16"/>
                <w:szCs w:val="16"/>
              </w:rPr>
              <w:t>Pith area</w:t>
            </w:r>
          </w:p>
        </w:tc>
        <w:tc>
          <w:tcPr>
            <w:tcW w:w="850" w:type="dxa"/>
          </w:tcPr>
          <w:p w:rsidR="00C302A1" w:rsidRPr="00C302A1" w:rsidRDefault="00C302A1" w:rsidP="00C302A1">
            <w:pPr>
              <w:ind w:hanging="5"/>
              <w:rPr>
                <w:bCs/>
                <w:sz w:val="16"/>
                <w:szCs w:val="16"/>
              </w:rPr>
            </w:pPr>
            <w:r w:rsidRPr="00C302A1">
              <w:rPr>
                <w:bCs/>
                <w:sz w:val="16"/>
                <w:szCs w:val="16"/>
              </w:rPr>
              <w:t>mm</w:t>
            </w:r>
            <w:r w:rsidRPr="00C302A1">
              <w:rPr>
                <w:bCs/>
                <w:sz w:val="16"/>
                <w:szCs w:val="16"/>
                <w:vertAlign w:val="superscript"/>
              </w:rPr>
              <w:t>2</w:t>
            </w:r>
          </w:p>
        </w:tc>
        <w:tc>
          <w:tcPr>
            <w:tcW w:w="907" w:type="dxa"/>
            <w:shd w:val="clear" w:color="auto" w:fill="auto"/>
            <w:hideMark/>
          </w:tcPr>
          <w:p w:rsidR="00C302A1" w:rsidRPr="00C302A1" w:rsidRDefault="00C302A1" w:rsidP="00C302A1">
            <w:pPr>
              <w:jc w:val="center"/>
              <w:rPr>
                <w:bCs/>
                <w:i/>
                <w:sz w:val="16"/>
                <w:szCs w:val="16"/>
              </w:rPr>
            </w:pPr>
            <w:r w:rsidRPr="00C302A1">
              <w:rPr>
                <w:bCs/>
                <w:i/>
                <w:sz w:val="16"/>
                <w:szCs w:val="16"/>
              </w:rPr>
              <w:t>4.13</w:t>
            </w:r>
          </w:p>
        </w:tc>
        <w:tc>
          <w:tcPr>
            <w:tcW w:w="907" w:type="dxa"/>
            <w:shd w:val="clear" w:color="auto" w:fill="auto"/>
            <w:hideMark/>
          </w:tcPr>
          <w:p w:rsidR="00C302A1" w:rsidRPr="00C302A1" w:rsidRDefault="00C302A1" w:rsidP="00C302A1">
            <w:pPr>
              <w:jc w:val="center"/>
              <w:rPr>
                <w:bCs/>
                <w:i/>
                <w:sz w:val="16"/>
                <w:szCs w:val="16"/>
              </w:rPr>
            </w:pPr>
            <w:r w:rsidRPr="00C302A1">
              <w:rPr>
                <w:bCs/>
                <w:i/>
                <w:sz w:val="16"/>
                <w:szCs w:val="16"/>
              </w:rPr>
              <w:t>0.69</w:t>
            </w:r>
          </w:p>
        </w:tc>
        <w:tc>
          <w:tcPr>
            <w:tcW w:w="907" w:type="dxa"/>
            <w:shd w:val="clear" w:color="auto" w:fill="auto"/>
            <w:hideMark/>
          </w:tcPr>
          <w:p w:rsidR="00C302A1" w:rsidRPr="00C302A1" w:rsidRDefault="00C302A1" w:rsidP="00C302A1">
            <w:pPr>
              <w:jc w:val="center"/>
              <w:rPr>
                <w:bCs/>
                <w:i/>
                <w:sz w:val="16"/>
                <w:szCs w:val="16"/>
              </w:rPr>
            </w:pPr>
            <w:r w:rsidRPr="00C302A1">
              <w:rPr>
                <w:bCs/>
                <w:i/>
                <w:sz w:val="16"/>
                <w:szCs w:val="16"/>
              </w:rPr>
              <w:t>0.77</w:t>
            </w:r>
          </w:p>
        </w:tc>
        <w:tc>
          <w:tcPr>
            <w:tcW w:w="794" w:type="dxa"/>
          </w:tcPr>
          <w:p w:rsidR="00C302A1" w:rsidRPr="00C302A1" w:rsidRDefault="00C302A1" w:rsidP="00C302A1">
            <w:pPr>
              <w:ind w:left="-84" w:right="-189"/>
              <w:jc w:val="center"/>
              <w:rPr>
                <w:bCs/>
                <w:i/>
                <w:sz w:val="16"/>
                <w:szCs w:val="16"/>
              </w:rPr>
            </w:pPr>
            <w:r w:rsidRPr="00C302A1">
              <w:rPr>
                <w:bCs/>
                <w:i/>
                <w:sz w:val="16"/>
                <w:szCs w:val="16"/>
              </w:rPr>
              <w:t>35.56***</w:t>
            </w:r>
          </w:p>
        </w:tc>
        <w:tc>
          <w:tcPr>
            <w:tcW w:w="794" w:type="dxa"/>
          </w:tcPr>
          <w:p w:rsidR="00C302A1" w:rsidRPr="00C302A1" w:rsidRDefault="00C302A1" w:rsidP="00C302A1">
            <w:pPr>
              <w:jc w:val="center"/>
              <w:rPr>
                <w:bCs/>
                <w:i/>
                <w:sz w:val="16"/>
                <w:szCs w:val="16"/>
              </w:rPr>
            </w:pPr>
            <w:r w:rsidRPr="00C302A1">
              <w:rPr>
                <w:bCs/>
                <w:i/>
                <w:sz w:val="16"/>
                <w:szCs w:val="16"/>
              </w:rPr>
              <w:t>4.33*</w:t>
            </w:r>
          </w:p>
        </w:tc>
        <w:tc>
          <w:tcPr>
            <w:tcW w:w="794" w:type="dxa"/>
          </w:tcPr>
          <w:p w:rsidR="00C302A1" w:rsidRPr="00C302A1" w:rsidRDefault="00C302A1" w:rsidP="00C302A1">
            <w:pPr>
              <w:jc w:val="center"/>
              <w:rPr>
                <w:bCs/>
                <w:i/>
                <w:sz w:val="16"/>
                <w:szCs w:val="16"/>
              </w:rPr>
            </w:pPr>
            <w:r w:rsidRPr="00C302A1">
              <w:rPr>
                <w:bCs/>
                <w:i/>
                <w:sz w:val="16"/>
                <w:szCs w:val="16"/>
              </w:rPr>
              <w:t>5.05*</w:t>
            </w:r>
          </w:p>
        </w:tc>
        <w:tc>
          <w:tcPr>
            <w:tcW w:w="794" w:type="dxa"/>
          </w:tcPr>
          <w:p w:rsidR="00C302A1" w:rsidRPr="00C302A1" w:rsidRDefault="00C302A1" w:rsidP="00C302A1">
            <w:pPr>
              <w:jc w:val="center"/>
              <w:rPr>
                <w:bCs/>
                <w:i/>
                <w:sz w:val="16"/>
                <w:szCs w:val="16"/>
              </w:rPr>
            </w:pPr>
            <w:r w:rsidRPr="00C302A1">
              <w:rPr>
                <w:bCs/>
                <w:i/>
                <w:sz w:val="16"/>
                <w:szCs w:val="16"/>
              </w:rPr>
              <w:t>0.03</w:t>
            </w:r>
            <w:r w:rsidRPr="00C302A1">
              <w:rPr>
                <w:bCs/>
                <w:sz w:val="16"/>
                <w:szCs w:val="16"/>
                <w:vertAlign w:val="superscript"/>
              </w:rPr>
              <w:t xml:space="preserve"> ns</w:t>
            </w:r>
          </w:p>
        </w:tc>
      </w:tr>
      <w:tr w:rsidR="00C302A1" w:rsidRPr="00C302A1" w:rsidTr="000564CF">
        <w:trPr>
          <w:cantSplit/>
          <w:trHeight w:val="283"/>
        </w:trPr>
        <w:tc>
          <w:tcPr>
            <w:tcW w:w="2268" w:type="dxa"/>
            <w:shd w:val="clear" w:color="auto" w:fill="auto"/>
            <w:hideMark/>
          </w:tcPr>
          <w:p w:rsidR="00C302A1" w:rsidRPr="00C302A1" w:rsidRDefault="00C302A1" w:rsidP="00C302A1">
            <w:pPr>
              <w:rPr>
                <w:bCs/>
                <w:sz w:val="16"/>
                <w:szCs w:val="16"/>
              </w:rPr>
            </w:pPr>
            <w:r w:rsidRPr="00C302A1">
              <w:rPr>
                <w:bCs/>
                <w:sz w:val="16"/>
                <w:szCs w:val="16"/>
              </w:rPr>
              <w:t>Wood density</w:t>
            </w:r>
          </w:p>
        </w:tc>
        <w:tc>
          <w:tcPr>
            <w:tcW w:w="850" w:type="dxa"/>
          </w:tcPr>
          <w:p w:rsidR="00C302A1" w:rsidRPr="00C302A1" w:rsidRDefault="00C302A1" w:rsidP="00C302A1">
            <w:pPr>
              <w:ind w:hanging="5"/>
              <w:rPr>
                <w:bCs/>
                <w:sz w:val="16"/>
                <w:szCs w:val="16"/>
              </w:rPr>
            </w:pPr>
            <w:r w:rsidRPr="00C302A1">
              <w:rPr>
                <w:bCs/>
                <w:sz w:val="16"/>
                <w:szCs w:val="16"/>
              </w:rPr>
              <w:t>g cm</w:t>
            </w:r>
            <w:r w:rsidRPr="00C302A1">
              <w:rPr>
                <w:bCs/>
                <w:sz w:val="16"/>
                <w:szCs w:val="16"/>
                <w:vertAlign w:val="superscript"/>
              </w:rPr>
              <w:t>-3</w:t>
            </w:r>
          </w:p>
        </w:tc>
        <w:tc>
          <w:tcPr>
            <w:tcW w:w="907" w:type="dxa"/>
            <w:shd w:val="clear" w:color="auto" w:fill="auto"/>
            <w:hideMark/>
          </w:tcPr>
          <w:p w:rsidR="00C302A1" w:rsidRPr="00C302A1" w:rsidRDefault="00C302A1" w:rsidP="00C302A1">
            <w:pPr>
              <w:jc w:val="center"/>
              <w:rPr>
                <w:bCs/>
                <w:sz w:val="16"/>
                <w:szCs w:val="16"/>
              </w:rPr>
            </w:pPr>
            <w:r w:rsidRPr="00C302A1">
              <w:rPr>
                <w:bCs/>
                <w:sz w:val="16"/>
                <w:szCs w:val="16"/>
              </w:rPr>
              <w:t>0.50</w:t>
            </w:r>
          </w:p>
        </w:tc>
        <w:tc>
          <w:tcPr>
            <w:tcW w:w="907" w:type="dxa"/>
            <w:shd w:val="clear" w:color="auto" w:fill="auto"/>
            <w:hideMark/>
          </w:tcPr>
          <w:p w:rsidR="00C302A1" w:rsidRPr="00C302A1" w:rsidRDefault="00C302A1" w:rsidP="00C302A1">
            <w:pPr>
              <w:jc w:val="center"/>
              <w:rPr>
                <w:bCs/>
                <w:sz w:val="16"/>
                <w:szCs w:val="16"/>
              </w:rPr>
            </w:pPr>
            <w:r w:rsidRPr="00C302A1">
              <w:rPr>
                <w:bCs/>
                <w:sz w:val="16"/>
                <w:szCs w:val="16"/>
              </w:rPr>
              <w:t>0.56</w:t>
            </w:r>
          </w:p>
        </w:tc>
        <w:tc>
          <w:tcPr>
            <w:tcW w:w="907" w:type="dxa"/>
            <w:shd w:val="clear" w:color="auto" w:fill="auto"/>
            <w:hideMark/>
          </w:tcPr>
          <w:p w:rsidR="00C302A1" w:rsidRPr="00C302A1" w:rsidRDefault="00C302A1" w:rsidP="00C302A1">
            <w:pPr>
              <w:jc w:val="center"/>
              <w:rPr>
                <w:bCs/>
                <w:sz w:val="16"/>
                <w:szCs w:val="16"/>
              </w:rPr>
            </w:pPr>
            <w:r w:rsidRPr="00C302A1">
              <w:rPr>
                <w:bCs/>
                <w:sz w:val="16"/>
                <w:szCs w:val="16"/>
              </w:rPr>
              <w:t>0.57</w:t>
            </w:r>
          </w:p>
        </w:tc>
        <w:tc>
          <w:tcPr>
            <w:tcW w:w="794" w:type="dxa"/>
          </w:tcPr>
          <w:p w:rsidR="00C302A1" w:rsidRPr="00C302A1" w:rsidRDefault="00C302A1" w:rsidP="00C302A1">
            <w:pPr>
              <w:ind w:left="-84" w:right="-189"/>
              <w:jc w:val="center"/>
              <w:rPr>
                <w:bCs/>
                <w:sz w:val="16"/>
                <w:szCs w:val="16"/>
              </w:rPr>
            </w:pPr>
            <w:r w:rsidRPr="00C302A1">
              <w:rPr>
                <w:bCs/>
                <w:sz w:val="16"/>
                <w:szCs w:val="16"/>
              </w:rPr>
              <w:t>11.67***</w:t>
            </w:r>
          </w:p>
        </w:tc>
        <w:tc>
          <w:tcPr>
            <w:tcW w:w="794" w:type="dxa"/>
          </w:tcPr>
          <w:p w:rsidR="00C302A1" w:rsidRPr="00C302A1" w:rsidRDefault="00C302A1" w:rsidP="00C302A1">
            <w:pPr>
              <w:jc w:val="center"/>
              <w:rPr>
                <w:bCs/>
                <w:sz w:val="16"/>
                <w:szCs w:val="16"/>
              </w:rPr>
            </w:pPr>
            <w:r w:rsidRPr="00C302A1">
              <w:rPr>
                <w:bCs/>
                <w:sz w:val="16"/>
                <w:szCs w:val="16"/>
              </w:rPr>
              <w:t>3.06**</w:t>
            </w:r>
          </w:p>
        </w:tc>
        <w:tc>
          <w:tcPr>
            <w:tcW w:w="794" w:type="dxa"/>
          </w:tcPr>
          <w:p w:rsidR="00C302A1" w:rsidRPr="00C302A1" w:rsidRDefault="00C302A1" w:rsidP="00C302A1">
            <w:pPr>
              <w:jc w:val="center"/>
              <w:rPr>
                <w:bCs/>
                <w:sz w:val="16"/>
                <w:szCs w:val="16"/>
              </w:rPr>
            </w:pPr>
            <w:r w:rsidRPr="00C302A1">
              <w:rPr>
                <w:bCs/>
                <w:sz w:val="16"/>
                <w:szCs w:val="16"/>
              </w:rPr>
              <w:t>4.38***</w:t>
            </w:r>
          </w:p>
        </w:tc>
        <w:tc>
          <w:tcPr>
            <w:tcW w:w="794" w:type="dxa"/>
          </w:tcPr>
          <w:p w:rsidR="00C302A1" w:rsidRPr="00C302A1" w:rsidRDefault="00C302A1" w:rsidP="00C302A1">
            <w:pPr>
              <w:jc w:val="center"/>
              <w:rPr>
                <w:bCs/>
                <w:sz w:val="16"/>
                <w:szCs w:val="16"/>
              </w:rPr>
            </w:pPr>
            <w:r w:rsidRPr="00C302A1">
              <w:rPr>
                <w:bCs/>
                <w:sz w:val="16"/>
                <w:szCs w:val="16"/>
              </w:rPr>
              <w:t>0.58</w:t>
            </w:r>
            <w:r w:rsidRPr="00C302A1">
              <w:rPr>
                <w:bCs/>
                <w:sz w:val="16"/>
                <w:szCs w:val="16"/>
                <w:vertAlign w:val="superscript"/>
              </w:rPr>
              <w:t xml:space="preserve"> ns</w:t>
            </w:r>
          </w:p>
        </w:tc>
      </w:tr>
      <w:tr w:rsidR="00C302A1" w:rsidRPr="00C302A1" w:rsidTr="000564CF">
        <w:trPr>
          <w:cantSplit/>
          <w:trHeight w:val="283"/>
        </w:trPr>
        <w:tc>
          <w:tcPr>
            <w:tcW w:w="2268" w:type="dxa"/>
            <w:shd w:val="clear" w:color="auto" w:fill="auto"/>
            <w:hideMark/>
          </w:tcPr>
          <w:p w:rsidR="00C302A1" w:rsidRPr="00C302A1" w:rsidRDefault="00C302A1" w:rsidP="00C302A1">
            <w:pPr>
              <w:rPr>
                <w:bCs/>
                <w:sz w:val="16"/>
                <w:szCs w:val="16"/>
              </w:rPr>
            </w:pPr>
            <w:r w:rsidRPr="00C302A1">
              <w:rPr>
                <w:bCs/>
                <w:sz w:val="16"/>
                <w:szCs w:val="16"/>
              </w:rPr>
              <w:t>Height</w:t>
            </w:r>
          </w:p>
        </w:tc>
        <w:tc>
          <w:tcPr>
            <w:tcW w:w="850" w:type="dxa"/>
          </w:tcPr>
          <w:p w:rsidR="00C302A1" w:rsidRPr="00C302A1" w:rsidRDefault="00C302A1" w:rsidP="00C302A1">
            <w:pPr>
              <w:ind w:hanging="5"/>
              <w:rPr>
                <w:bCs/>
                <w:sz w:val="16"/>
                <w:szCs w:val="16"/>
              </w:rPr>
            </w:pPr>
            <w:r w:rsidRPr="00C302A1">
              <w:rPr>
                <w:bCs/>
                <w:sz w:val="16"/>
                <w:szCs w:val="16"/>
              </w:rPr>
              <w:t>m</w:t>
            </w:r>
          </w:p>
        </w:tc>
        <w:tc>
          <w:tcPr>
            <w:tcW w:w="907" w:type="dxa"/>
            <w:shd w:val="clear" w:color="auto" w:fill="auto"/>
            <w:hideMark/>
          </w:tcPr>
          <w:p w:rsidR="00C302A1" w:rsidRPr="00C302A1" w:rsidRDefault="00C302A1" w:rsidP="00C302A1">
            <w:pPr>
              <w:jc w:val="center"/>
              <w:rPr>
                <w:bCs/>
                <w:i/>
                <w:sz w:val="16"/>
                <w:szCs w:val="16"/>
              </w:rPr>
            </w:pPr>
            <w:r w:rsidRPr="00C302A1">
              <w:rPr>
                <w:bCs/>
                <w:i/>
                <w:sz w:val="16"/>
                <w:szCs w:val="16"/>
              </w:rPr>
              <w:t>19.0</w:t>
            </w:r>
          </w:p>
        </w:tc>
        <w:tc>
          <w:tcPr>
            <w:tcW w:w="907" w:type="dxa"/>
            <w:shd w:val="clear" w:color="auto" w:fill="auto"/>
            <w:hideMark/>
          </w:tcPr>
          <w:p w:rsidR="00C302A1" w:rsidRPr="00C302A1" w:rsidRDefault="00C302A1" w:rsidP="00C302A1">
            <w:pPr>
              <w:jc w:val="center"/>
              <w:rPr>
                <w:bCs/>
                <w:i/>
                <w:sz w:val="16"/>
                <w:szCs w:val="16"/>
              </w:rPr>
            </w:pPr>
            <w:r w:rsidRPr="00C302A1">
              <w:rPr>
                <w:bCs/>
                <w:i/>
                <w:sz w:val="16"/>
                <w:szCs w:val="16"/>
              </w:rPr>
              <w:t>3.6</w:t>
            </w:r>
          </w:p>
        </w:tc>
        <w:tc>
          <w:tcPr>
            <w:tcW w:w="907" w:type="dxa"/>
            <w:shd w:val="clear" w:color="auto" w:fill="auto"/>
            <w:hideMark/>
          </w:tcPr>
          <w:p w:rsidR="00C302A1" w:rsidRPr="00C302A1" w:rsidRDefault="00C302A1" w:rsidP="00C302A1">
            <w:pPr>
              <w:jc w:val="center"/>
              <w:rPr>
                <w:bCs/>
                <w:i/>
                <w:sz w:val="16"/>
                <w:szCs w:val="16"/>
              </w:rPr>
            </w:pPr>
            <w:r w:rsidRPr="00C302A1">
              <w:rPr>
                <w:bCs/>
                <w:i/>
                <w:sz w:val="16"/>
                <w:szCs w:val="16"/>
              </w:rPr>
              <w:t>2.0</w:t>
            </w:r>
          </w:p>
        </w:tc>
        <w:tc>
          <w:tcPr>
            <w:tcW w:w="794" w:type="dxa"/>
          </w:tcPr>
          <w:p w:rsidR="00C302A1" w:rsidRPr="00C302A1" w:rsidRDefault="00C302A1" w:rsidP="00C302A1">
            <w:pPr>
              <w:ind w:left="-84" w:right="-189"/>
              <w:jc w:val="center"/>
              <w:rPr>
                <w:bCs/>
                <w:i/>
                <w:sz w:val="16"/>
                <w:szCs w:val="16"/>
              </w:rPr>
            </w:pPr>
            <w:r w:rsidRPr="00C302A1">
              <w:rPr>
                <w:bCs/>
                <w:i/>
                <w:sz w:val="16"/>
                <w:szCs w:val="16"/>
              </w:rPr>
              <w:t>38.31***</w:t>
            </w:r>
          </w:p>
        </w:tc>
        <w:tc>
          <w:tcPr>
            <w:tcW w:w="794" w:type="dxa"/>
          </w:tcPr>
          <w:p w:rsidR="00C302A1" w:rsidRPr="00C302A1" w:rsidRDefault="00C302A1" w:rsidP="00C302A1">
            <w:pPr>
              <w:jc w:val="center"/>
              <w:rPr>
                <w:bCs/>
                <w:i/>
                <w:sz w:val="16"/>
                <w:szCs w:val="16"/>
              </w:rPr>
            </w:pPr>
            <w:r w:rsidRPr="00C302A1">
              <w:rPr>
                <w:bCs/>
                <w:i/>
                <w:sz w:val="16"/>
                <w:szCs w:val="16"/>
              </w:rPr>
              <w:t>3.94*</w:t>
            </w:r>
          </w:p>
        </w:tc>
        <w:tc>
          <w:tcPr>
            <w:tcW w:w="794" w:type="dxa"/>
          </w:tcPr>
          <w:p w:rsidR="00C302A1" w:rsidRPr="00C302A1" w:rsidRDefault="00C302A1" w:rsidP="00C302A1">
            <w:pPr>
              <w:jc w:val="center"/>
              <w:rPr>
                <w:bCs/>
                <w:i/>
                <w:sz w:val="16"/>
                <w:szCs w:val="16"/>
              </w:rPr>
            </w:pPr>
            <w:r w:rsidRPr="00C302A1">
              <w:rPr>
                <w:bCs/>
                <w:i/>
                <w:sz w:val="16"/>
                <w:szCs w:val="16"/>
              </w:rPr>
              <w:t>5.61*</w:t>
            </w:r>
          </w:p>
        </w:tc>
        <w:tc>
          <w:tcPr>
            <w:tcW w:w="794" w:type="dxa"/>
          </w:tcPr>
          <w:p w:rsidR="00C302A1" w:rsidRPr="00C302A1" w:rsidRDefault="00C302A1" w:rsidP="00C302A1">
            <w:pPr>
              <w:jc w:val="center"/>
              <w:rPr>
                <w:bCs/>
                <w:i/>
                <w:sz w:val="16"/>
                <w:szCs w:val="16"/>
              </w:rPr>
            </w:pPr>
            <w:r w:rsidRPr="00C302A1">
              <w:rPr>
                <w:bCs/>
                <w:i/>
                <w:sz w:val="16"/>
                <w:szCs w:val="16"/>
              </w:rPr>
              <w:t>0.72</w:t>
            </w:r>
            <w:r w:rsidRPr="00C302A1">
              <w:rPr>
                <w:bCs/>
                <w:sz w:val="16"/>
                <w:szCs w:val="16"/>
                <w:vertAlign w:val="superscript"/>
              </w:rPr>
              <w:t xml:space="preserve"> ns</w:t>
            </w:r>
          </w:p>
        </w:tc>
      </w:tr>
      <w:tr w:rsidR="00C302A1" w:rsidRPr="00C302A1" w:rsidTr="000564CF">
        <w:trPr>
          <w:cantSplit/>
          <w:trHeight w:val="283"/>
        </w:trPr>
        <w:tc>
          <w:tcPr>
            <w:tcW w:w="2268" w:type="dxa"/>
            <w:shd w:val="clear" w:color="auto" w:fill="auto"/>
            <w:hideMark/>
          </w:tcPr>
          <w:p w:rsidR="00C302A1" w:rsidRPr="00C302A1" w:rsidRDefault="00C302A1" w:rsidP="00C302A1">
            <w:pPr>
              <w:rPr>
                <w:bCs/>
                <w:sz w:val="16"/>
                <w:szCs w:val="16"/>
              </w:rPr>
            </w:pPr>
            <w:r w:rsidRPr="00C302A1">
              <w:rPr>
                <w:bCs/>
                <w:sz w:val="16"/>
                <w:szCs w:val="16"/>
              </w:rPr>
              <w:t>Maximum height</w:t>
            </w:r>
          </w:p>
        </w:tc>
        <w:tc>
          <w:tcPr>
            <w:tcW w:w="850" w:type="dxa"/>
          </w:tcPr>
          <w:p w:rsidR="00C302A1" w:rsidRPr="00C302A1" w:rsidRDefault="00C302A1" w:rsidP="00C302A1">
            <w:pPr>
              <w:ind w:hanging="5"/>
              <w:rPr>
                <w:bCs/>
                <w:sz w:val="16"/>
                <w:szCs w:val="16"/>
              </w:rPr>
            </w:pPr>
            <w:r w:rsidRPr="00C302A1">
              <w:rPr>
                <w:bCs/>
                <w:sz w:val="16"/>
                <w:szCs w:val="16"/>
              </w:rPr>
              <w:t>m</w:t>
            </w:r>
          </w:p>
        </w:tc>
        <w:tc>
          <w:tcPr>
            <w:tcW w:w="907" w:type="dxa"/>
            <w:shd w:val="clear" w:color="auto" w:fill="auto"/>
            <w:hideMark/>
          </w:tcPr>
          <w:p w:rsidR="00C302A1" w:rsidRPr="00C302A1" w:rsidRDefault="00C302A1" w:rsidP="00C302A1">
            <w:pPr>
              <w:jc w:val="center"/>
              <w:rPr>
                <w:bCs/>
                <w:i/>
                <w:sz w:val="16"/>
                <w:szCs w:val="16"/>
              </w:rPr>
            </w:pPr>
            <w:r w:rsidRPr="00C302A1">
              <w:rPr>
                <w:bCs/>
                <w:i/>
                <w:sz w:val="16"/>
                <w:szCs w:val="16"/>
              </w:rPr>
              <w:t>20</w:t>
            </w:r>
          </w:p>
        </w:tc>
        <w:tc>
          <w:tcPr>
            <w:tcW w:w="907" w:type="dxa"/>
            <w:shd w:val="clear" w:color="auto" w:fill="auto"/>
            <w:hideMark/>
          </w:tcPr>
          <w:p w:rsidR="00C302A1" w:rsidRPr="00C302A1" w:rsidRDefault="00C302A1" w:rsidP="00C302A1">
            <w:pPr>
              <w:jc w:val="center"/>
              <w:rPr>
                <w:bCs/>
                <w:i/>
                <w:sz w:val="16"/>
                <w:szCs w:val="16"/>
              </w:rPr>
            </w:pPr>
            <w:r w:rsidRPr="00C302A1">
              <w:rPr>
                <w:bCs/>
                <w:i/>
                <w:sz w:val="16"/>
                <w:szCs w:val="16"/>
              </w:rPr>
              <w:t>10</w:t>
            </w:r>
          </w:p>
        </w:tc>
        <w:tc>
          <w:tcPr>
            <w:tcW w:w="907" w:type="dxa"/>
            <w:shd w:val="clear" w:color="auto" w:fill="auto"/>
            <w:hideMark/>
          </w:tcPr>
          <w:p w:rsidR="00C302A1" w:rsidRPr="00C302A1" w:rsidRDefault="00C302A1" w:rsidP="00C302A1">
            <w:pPr>
              <w:jc w:val="center"/>
              <w:rPr>
                <w:bCs/>
                <w:i/>
                <w:sz w:val="16"/>
                <w:szCs w:val="16"/>
              </w:rPr>
            </w:pPr>
            <w:r w:rsidRPr="00C302A1">
              <w:rPr>
                <w:bCs/>
                <w:i/>
                <w:sz w:val="16"/>
                <w:szCs w:val="16"/>
              </w:rPr>
              <w:t>3.5</w:t>
            </w:r>
          </w:p>
        </w:tc>
        <w:tc>
          <w:tcPr>
            <w:tcW w:w="794" w:type="dxa"/>
          </w:tcPr>
          <w:p w:rsidR="00C302A1" w:rsidRPr="00C302A1" w:rsidRDefault="00C302A1" w:rsidP="00C302A1">
            <w:pPr>
              <w:ind w:left="-84" w:right="-189"/>
              <w:jc w:val="center"/>
              <w:rPr>
                <w:bCs/>
                <w:i/>
                <w:sz w:val="16"/>
                <w:szCs w:val="16"/>
              </w:rPr>
            </w:pPr>
            <w:r w:rsidRPr="00C302A1">
              <w:rPr>
                <w:bCs/>
                <w:i/>
                <w:sz w:val="16"/>
                <w:szCs w:val="16"/>
              </w:rPr>
              <w:t>17.45***</w:t>
            </w:r>
          </w:p>
        </w:tc>
        <w:tc>
          <w:tcPr>
            <w:tcW w:w="794" w:type="dxa"/>
          </w:tcPr>
          <w:p w:rsidR="00C302A1" w:rsidRPr="00C302A1" w:rsidRDefault="00C302A1" w:rsidP="00C302A1">
            <w:pPr>
              <w:jc w:val="center"/>
              <w:rPr>
                <w:bCs/>
                <w:i/>
                <w:sz w:val="16"/>
                <w:szCs w:val="16"/>
              </w:rPr>
            </w:pPr>
            <w:r w:rsidRPr="00C302A1">
              <w:rPr>
                <w:bCs/>
                <w:i/>
                <w:sz w:val="16"/>
                <w:szCs w:val="16"/>
              </w:rPr>
              <w:t>1.65</w:t>
            </w:r>
            <w:r w:rsidRPr="00C302A1">
              <w:rPr>
                <w:bCs/>
                <w:sz w:val="16"/>
                <w:szCs w:val="16"/>
                <w:vertAlign w:val="superscript"/>
              </w:rPr>
              <w:t xml:space="preserve"> ns</w:t>
            </w:r>
          </w:p>
        </w:tc>
        <w:tc>
          <w:tcPr>
            <w:tcW w:w="794" w:type="dxa"/>
          </w:tcPr>
          <w:p w:rsidR="00C302A1" w:rsidRPr="00C302A1" w:rsidRDefault="00C302A1" w:rsidP="00C302A1">
            <w:pPr>
              <w:jc w:val="center"/>
              <w:rPr>
                <w:bCs/>
                <w:i/>
                <w:sz w:val="16"/>
                <w:szCs w:val="16"/>
              </w:rPr>
            </w:pPr>
            <w:r w:rsidRPr="00C302A1">
              <w:rPr>
                <w:bCs/>
                <w:i/>
                <w:sz w:val="16"/>
                <w:szCs w:val="16"/>
              </w:rPr>
              <w:t>4.12*</w:t>
            </w:r>
          </w:p>
        </w:tc>
        <w:tc>
          <w:tcPr>
            <w:tcW w:w="794" w:type="dxa"/>
          </w:tcPr>
          <w:p w:rsidR="00C302A1" w:rsidRPr="00C302A1" w:rsidRDefault="00C302A1" w:rsidP="00C302A1">
            <w:pPr>
              <w:jc w:val="center"/>
              <w:rPr>
                <w:bCs/>
                <w:i/>
                <w:sz w:val="16"/>
                <w:szCs w:val="16"/>
              </w:rPr>
            </w:pPr>
            <w:r w:rsidRPr="00C302A1">
              <w:rPr>
                <w:bCs/>
                <w:i/>
                <w:sz w:val="16"/>
                <w:szCs w:val="16"/>
              </w:rPr>
              <w:t>1.62</w:t>
            </w:r>
            <w:r w:rsidRPr="00C302A1">
              <w:rPr>
                <w:bCs/>
                <w:sz w:val="16"/>
                <w:szCs w:val="16"/>
                <w:vertAlign w:val="superscript"/>
              </w:rPr>
              <w:t xml:space="preserve"> ns</w:t>
            </w:r>
          </w:p>
        </w:tc>
      </w:tr>
      <w:tr w:rsidR="00C302A1" w:rsidRPr="00C302A1" w:rsidTr="000564CF">
        <w:trPr>
          <w:cantSplit/>
          <w:trHeight w:val="283"/>
        </w:trPr>
        <w:tc>
          <w:tcPr>
            <w:tcW w:w="2268" w:type="dxa"/>
            <w:shd w:val="clear" w:color="auto" w:fill="auto"/>
            <w:hideMark/>
          </w:tcPr>
          <w:p w:rsidR="00C302A1" w:rsidRPr="00C302A1" w:rsidRDefault="00C302A1" w:rsidP="00C302A1">
            <w:pPr>
              <w:rPr>
                <w:bCs/>
                <w:sz w:val="16"/>
                <w:szCs w:val="16"/>
              </w:rPr>
            </w:pPr>
            <w:r w:rsidRPr="00C302A1">
              <w:rPr>
                <w:bCs/>
                <w:sz w:val="16"/>
                <w:szCs w:val="16"/>
              </w:rPr>
              <w:t>Modulus of elasticity</w:t>
            </w:r>
          </w:p>
        </w:tc>
        <w:tc>
          <w:tcPr>
            <w:tcW w:w="850" w:type="dxa"/>
          </w:tcPr>
          <w:p w:rsidR="00C302A1" w:rsidRPr="00C302A1" w:rsidRDefault="00C302A1" w:rsidP="00C302A1">
            <w:pPr>
              <w:ind w:hanging="5"/>
              <w:rPr>
                <w:bCs/>
                <w:sz w:val="16"/>
                <w:szCs w:val="16"/>
              </w:rPr>
            </w:pPr>
            <w:r w:rsidRPr="00C302A1">
              <w:rPr>
                <w:bCs/>
                <w:sz w:val="16"/>
                <w:szCs w:val="16"/>
              </w:rPr>
              <w:t>MPa</w:t>
            </w:r>
          </w:p>
        </w:tc>
        <w:tc>
          <w:tcPr>
            <w:tcW w:w="907" w:type="dxa"/>
            <w:shd w:val="clear" w:color="auto" w:fill="auto"/>
            <w:hideMark/>
          </w:tcPr>
          <w:p w:rsidR="00C302A1" w:rsidRPr="00C302A1" w:rsidRDefault="00C302A1" w:rsidP="00C302A1">
            <w:pPr>
              <w:jc w:val="center"/>
              <w:rPr>
                <w:bCs/>
                <w:i/>
                <w:sz w:val="16"/>
                <w:szCs w:val="16"/>
              </w:rPr>
            </w:pPr>
            <w:r w:rsidRPr="00C302A1">
              <w:rPr>
                <w:bCs/>
                <w:i/>
                <w:sz w:val="16"/>
                <w:szCs w:val="16"/>
              </w:rPr>
              <w:t>4455</w:t>
            </w:r>
          </w:p>
        </w:tc>
        <w:tc>
          <w:tcPr>
            <w:tcW w:w="907" w:type="dxa"/>
            <w:shd w:val="clear" w:color="auto" w:fill="auto"/>
            <w:hideMark/>
          </w:tcPr>
          <w:p w:rsidR="00C302A1" w:rsidRPr="00C302A1" w:rsidRDefault="00C302A1" w:rsidP="00C302A1">
            <w:pPr>
              <w:jc w:val="center"/>
              <w:rPr>
                <w:bCs/>
                <w:i/>
                <w:sz w:val="16"/>
                <w:szCs w:val="16"/>
              </w:rPr>
            </w:pPr>
            <w:r w:rsidRPr="00C302A1">
              <w:rPr>
                <w:bCs/>
                <w:i/>
                <w:sz w:val="16"/>
                <w:szCs w:val="16"/>
              </w:rPr>
              <w:t>3380</w:t>
            </w:r>
          </w:p>
        </w:tc>
        <w:tc>
          <w:tcPr>
            <w:tcW w:w="907" w:type="dxa"/>
            <w:shd w:val="clear" w:color="auto" w:fill="auto"/>
            <w:hideMark/>
          </w:tcPr>
          <w:p w:rsidR="00C302A1" w:rsidRPr="00C302A1" w:rsidRDefault="00C302A1" w:rsidP="00C302A1">
            <w:pPr>
              <w:jc w:val="center"/>
              <w:rPr>
                <w:bCs/>
                <w:i/>
                <w:sz w:val="16"/>
                <w:szCs w:val="16"/>
              </w:rPr>
            </w:pPr>
            <w:r w:rsidRPr="00C302A1">
              <w:rPr>
                <w:bCs/>
                <w:i/>
                <w:sz w:val="16"/>
                <w:szCs w:val="16"/>
              </w:rPr>
              <w:t>7964</w:t>
            </w:r>
          </w:p>
        </w:tc>
        <w:tc>
          <w:tcPr>
            <w:tcW w:w="794" w:type="dxa"/>
          </w:tcPr>
          <w:p w:rsidR="00C302A1" w:rsidRPr="00C302A1" w:rsidRDefault="00C302A1" w:rsidP="00C302A1">
            <w:pPr>
              <w:ind w:left="-84" w:right="-189"/>
              <w:jc w:val="center"/>
              <w:rPr>
                <w:bCs/>
                <w:i/>
                <w:sz w:val="16"/>
                <w:szCs w:val="16"/>
              </w:rPr>
            </w:pPr>
            <w:r w:rsidRPr="00C302A1">
              <w:rPr>
                <w:bCs/>
                <w:i/>
                <w:sz w:val="16"/>
                <w:szCs w:val="16"/>
              </w:rPr>
              <w:t>21.95***</w:t>
            </w:r>
          </w:p>
        </w:tc>
        <w:tc>
          <w:tcPr>
            <w:tcW w:w="794" w:type="dxa"/>
          </w:tcPr>
          <w:p w:rsidR="00C302A1" w:rsidRPr="00C302A1" w:rsidRDefault="00C302A1" w:rsidP="00C302A1">
            <w:pPr>
              <w:jc w:val="center"/>
              <w:rPr>
                <w:bCs/>
                <w:i/>
                <w:sz w:val="16"/>
                <w:szCs w:val="16"/>
              </w:rPr>
            </w:pPr>
            <w:r w:rsidRPr="00C302A1">
              <w:rPr>
                <w:bCs/>
                <w:i/>
                <w:sz w:val="16"/>
                <w:szCs w:val="16"/>
              </w:rPr>
              <w:t>1.26</w:t>
            </w:r>
            <w:r w:rsidRPr="00C302A1">
              <w:rPr>
                <w:bCs/>
                <w:sz w:val="16"/>
                <w:szCs w:val="16"/>
                <w:vertAlign w:val="superscript"/>
              </w:rPr>
              <w:t xml:space="preserve"> ns</w:t>
            </w:r>
          </w:p>
        </w:tc>
        <w:tc>
          <w:tcPr>
            <w:tcW w:w="794" w:type="dxa"/>
          </w:tcPr>
          <w:p w:rsidR="00C302A1" w:rsidRPr="00C302A1" w:rsidRDefault="00C302A1" w:rsidP="00C302A1">
            <w:pPr>
              <w:jc w:val="center"/>
              <w:rPr>
                <w:bCs/>
                <w:i/>
                <w:sz w:val="16"/>
                <w:szCs w:val="16"/>
              </w:rPr>
            </w:pPr>
            <w:r w:rsidRPr="00C302A1">
              <w:rPr>
                <w:bCs/>
                <w:i/>
                <w:sz w:val="16"/>
                <w:szCs w:val="16"/>
              </w:rPr>
              <w:t>4.06*</w:t>
            </w:r>
          </w:p>
        </w:tc>
        <w:tc>
          <w:tcPr>
            <w:tcW w:w="794" w:type="dxa"/>
          </w:tcPr>
          <w:p w:rsidR="00C302A1" w:rsidRPr="00C302A1" w:rsidRDefault="00C302A1" w:rsidP="00C302A1">
            <w:pPr>
              <w:jc w:val="center"/>
              <w:rPr>
                <w:bCs/>
                <w:i/>
                <w:sz w:val="16"/>
                <w:szCs w:val="16"/>
              </w:rPr>
            </w:pPr>
            <w:r w:rsidRPr="00C302A1">
              <w:rPr>
                <w:bCs/>
                <w:i/>
                <w:sz w:val="16"/>
                <w:szCs w:val="16"/>
              </w:rPr>
              <w:t>4.13*</w:t>
            </w:r>
          </w:p>
        </w:tc>
      </w:tr>
      <w:tr w:rsidR="00C302A1" w:rsidRPr="00C302A1" w:rsidTr="000564CF">
        <w:trPr>
          <w:cantSplit/>
          <w:trHeight w:val="283"/>
        </w:trPr>
        <w:tc>
          <w:tcPr>
            <w:tcW w:w="2268" w:type="dxa"/>
            <w:shd w:val="clear" w:color="auto" w:fill="auto"/>
            <w:hideMark/>
          </w:tcPr>
          <w:p w:rsidR="00C302A1" w:rsidRPr="00C302A1" w:rsidRDefault="00C302A1" w:rsidP="00C302A1">
            <w:pPr>
              <w:rPr>
                <w:bCs/>
                <w:sz w:val="16"/>
                <w:szCs w:val="16"/>
              </w:rPr>
            </w:pPr>
            <w:r w:rsidRPr="00C302A1">
              <w:rPr>
                <w:bCs/>
                <w:sz w:val="16"/>
                <w:szCs w:val="16"/>
              </w:rPr>
              <w:t>Leaf area / sapwood area</w:t>
            </w:r>
          </w:p>
        </w:tc>
        <w:tc>
          <w:tcPr>
            <w:tcW w:w="850" w:type="dxa"/>
          </w:tcPr>
          <w:p w:rsidR="00C302A1" w:rsidRPr="00C302A1" w:rsidRDefault="00C302A1" w:rsidP="00C302A1">
            <w:pPr>
              <w:ind w:hanging="5"/>
              <w:rPr>
                <w:bCs/>
                <w:sz w:val="16"/>
                <w:szCs w:val="16"/>
              </w:rPr>
            </w:pPr>
            <w:r w:rsidRPr="00C302A1">
              <w:rPr>
                <w:bCs/>
                <w:sz w:val="16"/>
                <w:szCs w:val="16"/>
              </w:rPr>
              <w:t>cm</w:t>
            </w:r>
            <w:r w:rsidRPr="00C302A1">
              <w:rPr>
                <w:bCs/>
                <w:sz w:val="16"/>
                <w:szCs w:val="16"/>
                <w:vertAlign w:val="superscript"/>
              </w:rPr>
              <w:t>2</w:t>
            </w:r>
            <w:r w:rsidRPr="00C302A1">
              <w:rPr>
                <w:bCs/>
                <w:sz w:val="16"/>
                <w:szCs w:val="16"/>
              </w:rPr>
              <w:t xml:space="preserve"> cm</w:t>
            </w:r>
            <w:r w:rsidRPr="00C302A1">
              <w:rPr>
                <w:bCs/>
                <w:sz w:val="16"/>
                <w:szCs w:val="16"/>
                <w:vertAlign w:val="superscript"/>
              </w:rPr>
              <w:t>-2</w:t>
            </w:r>
          </w:p>
        </w:tc>
        <w:tc>
          <w:tcPr>
            <w:tcW w:w="907" w:type="dxa"/>
            <w:shd w:val="clear" w:color="auto" w:fill="auto"/>
            <w:hideMark/>
          </w:tcPr>
          <w:p w:rsidR="00C302A1" w:rsidRPr="00C302A1" w:rsidRDefault="00C302A1" w:rsidP="00C302A1">
            <w:pPr>
              <w:jc w:val="center"/>
              <w:rPr>
                <w:bCs/>
                <w:i/>
                <w:sz w:val="16"/>
                <w:szCs w:val="16"/>
              </w:rPr>
            </w:pPr>
            <w:r w:rsidRPr="00C302A1">
              <w:rPr>
                <w:bCs/>
                <w:i/>
                <w:sz w:val="16"/>
                <w:szCs w:val="16"/>
              </w:rPr>
              <w:t>9398</w:t>
            </w:r>
          </w:p>
        </w:tc>
        <w:tc>
          <w:tcPr>
            <w:tcW w:w="907" w:type="dxa"/>
            <w:shd w:val="clear" w:color="auto" w:fill="auto"/>
            <w:hideMark/>
          </w:tcPr>
          <w:p w:rsidR="00C302A1" w:rsidRPr="00C302A1" w:rsidRDefault="00C302A1" w:rsidP="00C302A1">
            <w:pPr>
              <w:jc w:val="center"/>
              <w:rPr>
                <w:bCs/>
                <w:i/>
                <w:sz w:val="16"/>
                <w:szCs w:val="16"/>
              </w:rPr>
            </w:pPr>
            <w:r w:rsidRPr="00C302A1">
              <w:rPr>
                <w:bCs/>
                <w:i/>
                <w:sz w:val="16"/>
                <w:szCs w:val="16"/>
              </w:rPr>
              <w:t>5369</w:t>
            </w:r>
          </w:p>
        </w:tc>
        <w:tc>
          <w:tcPr>
            <w:tcW w:w="907" w:type="dxa"/>
            <w:shd w:val="clear" w:color="auto" w:fill="auto"/>
            <w:hideMark/>
          </w:tcPr>
          <w:p w:rsidR="00C302A1" w:rsidRPr="00C302A1" w:rsidRDefault="00C302A1" w:rsidP="00C302A1">
            <w:pPr>
              <w:jc w:val="center"/>
              <w:rPr>
                <w:bCs/>
                <w:i/>
                <w:sz w:val="16"/>
                <w:szCs w:val="16"/>
              </w:rPr>
            </w:pPr>
            <w:r w:rsidRPr="00C302A1">
              <w:rPr>
                <w:bCs/>
                <w:i/>
                <w:sz w:val="16"/>
                <w:szCs w:val="16"/>
              </w:rPr>
              <w:t>2357</w:t>
            </w:r>
          </w:p>
        </w:tc>
        <w:tc>
          <w:tcPr>
            <w:tcW w:w="794" w:type="dxa"/>
          </w:tcPr>
          <w:p w:rsidR="00C302A1" w:rsidRPr="00C302A1" w:rsidRDefault="00C302A1" w:rsidP="00C302A1">
            <w:pPr>
              <w:ind w:left="-84" w:right="-189"/>
              <w:jc w:val="center"/>
              <w:rPr>
                <w:bCs/>
                <w:i/>
                <w:sz w:val="16"/>
                <w:szCs w:val="16"/>
              </w:rPr>
            </w:pPr>
            <w:r w:rsidRPr="00C302A1">
              <w:rPr>
                <w:bCs/>
                <w:i/>
                <w:sz w:val="16"/>
                <w:szCs w:val="16"/>
              </w:rPr>
              <w:t>42.29***</w:t>
            </w:r>
          </w:p>
        </w:tc>
        <w:tc>
          <w:tcPr>
            <w:tcW w:w="794" w:type="dxa"/>
          </w:tcPr>
          <w:p w:rsidR="00C302A1" w:rsidRPr="00C302A1" w:rsidRDefault="00C302A1" w:rsidP="00C302A1">
            <w:pPr>
              <w:jc w:val="center"/>
              <w:rPr>
                <w:bCs/>
                <w:i/>
                <w:sz w:val="16"/>
                <w:szCs w:val="16"/>
              </w:rPr>
            </w:pPr>
            <w:r w:rsidRPr="00C302A1">
              <w:rPr>
                <w:bCs/>
                <w:i/>
                <w:sz w:val="16"/>
                <w:szCs w:val="16"/>
              </w:rPr>
              <w:t>3.04*</w:t>
            </w:r>
          </w:p>
        </w:tc>
        <w:tc>
          <w:tcPr>
            <w:tcW w:w="794" w:type="dxa"/>
          </w:tcPr>
          <w:p w:rsidR="00C302A1" w:rsidRPr="00C302A1" w:rsidRDefault="00C302A1" w:rsidP="00C302A1">
            <w:pPr>
              <w:jc w:val="center"/>
              <w:rPr>
                <w:bCs/>
                <w:i/>
                <w:sz w:val="16"/>
                <w:szCs w:val="16"/>
              </w:rPr>
            </w:pPr>
            <w:r w:rsidRPr="00C302A1">
              <w:rPr>
                <w:bCs/>
                <w:i/>
                <w:sz w:val="16"/>
                <w:szCs w:val="16"/>
              </w:rPr>
              <w:t>6.33*</w:t>
            </w:r>
          </w:p>
        </w:tc>
        <w:tc>
          <w:tcPr>
            <w:tcW w:w="794" w:type="dxa"/>
          </w:tcPr>
          <w:p w:rsidR="00C302A1" w:rsidRPr="00C302A1" w:rsidRDefault="00C302A1" w:rsidP="00C302A1">
            <w:pPr>
              <w:jc w:val="center"/>
              <w:rPr>
                <w:bCs/>
                <w:i/>
                <w:sz w:val="16"/>
                <w:szCs w:val="16"/>
              </w:rPr>
            </w:pPr>
            <w:r w:rsidRPr="00C302A1">
              <w:rPr>
                <w:bCs/>
                <w:i/>
                <w:sz w:val="16"/>
                <w:szCs w:val="16"/>
              </w:rPr>
              <w:t>2.05</w:t>
            </w:r>
            <w:r w:rsidRPr="00C302A1">
              <w:rPr>
                <w:bCs/>
                <w:sz w:val="16"/>
                <w:szCs w:val="16"/>
                <w:vertAlign w:val="superscript"/>
              </w:rPr>
              <w:t xml:space="preserve"> ns</w:t>
            </w:r>
          </w:p>
        </w:tc>
      </w:tr>
    </w:tbl>
    <w:p w:rsidR="00F72429" w:rsidRDefault="00C302A1" w:rsidP="002A37CD">
      <w:pPr>
        <w:spacing w:line="480" w:lineRule="auto"/>
      </w:pPr>
      <w:r w:rsidRPr="00C302A1">
        <w:t xml:space="preserve">Notes: AV – average, </w:t>
      </w:r>
      <w:r w:rsidRPr="00C302A1">
        <w:rPr>
          <w:i/>
        </w:rPr>
        <w:t>M</w:t>
      </w:r>
      <w:r w:rsidRPr="00C302A1">
        <w:t xml:space="preserve"> – median, R – tropical rainforest, W – tropical woodland, TF – temperate forest, F – ANOVA statistic, H – ANOVA on ranks statistic (Kruskal-Wallis), t – post-hoc statistic (Holm-Šidák method), Q – post-hoc test statistic (Dunn’s method), </w:t>
      </w:r>
      <w:r w:rsidRPr="00C302A1">
        <w:rPr>
          <w:vertAlign w:val="superscript"/>
        </w:rPr>
        <w:t>ns</w:t>
      </w:r>
      <w:r w:rsidRPr="00C302A1">
        <w:t xml:space="preserve"> - not significant, * - </w:t>
      </w:r>
      <w:r w:rsidRPr="00C302A1">
        <w:rPr>
          <w:i/>
        </w:rPr>
        <w:t>P</w:t>
      </w:r>
      <w:r w:rsidRPr="00C302A1">
        <w:t xml:space="preserve"> ≤ 0.05, ** - P ≤ 0.01, *** - P ≤ 0.001. Results from </w:t>
      </w:r>
      <w:proofErr w:type="gramStart"/>
      <w:r w:rsidRPr="00C302A1">
        <w:t>ANOVA  are</w:t>
      </w:r>
      <w:proofErr w:type="gramEnd"/>
      <w:r w:rsidRPr="00C302A1">
        <w:t xml:space="preserve"> in roman font, results from ANOVA on ranks (Kruskal-Wallis) are in italic font.</w:t>
      </w:r>
    </w:p>
    <w:p w:rsidR="00F72429" w:rsidRDefault="00F72429" w:rsidP="002A37CD">
      <w:pPr>
        <w:spacing w:line="480" w:lineRule="auto"/>
      </w:pPr>
      <w:r>
        <w:br w:type="page"/>
      </w:r>
    </w:p>
    <w:p w:rsidR="00F72429" w:rsidRDefault="00F72429" w:rsidP="002A37CD">
      <w:pPr>
        <w:spacing w:line="480" w:lineRule="auto"/>
        <w:rPr>
          <w:bCs/>
        </w:rPr>
      </w:pPr>
      <w:proofErr w:type="gramStart"/>
      <w:r w:rsidRPr="00F72429">
        <w:rPr>
          <w:b/>
          <w:bCs/>
        </w:rPr>
        <w:lastRenderedPageBreak/>
        <w:t xml:space="preserve">Figure </w:t>
      </w:r>
      <w:r w:rsidR="0003725E">
        <w:rPr>
          <w:b/>
          <w:bCs/>
        </w:rPr>
        <w:t>1</w:t>
      </w:r>
      <w:r w:rsidR="00612CF0">
        <w:rPr>
          <w:b/>
          <w:bCs/>
        </w:rPr>
        <w:t>.</w:t>
      </w:r>
      <w:proofErr w:type="gramEnd"/>
      <w:r w:rsidRPr="00F72429">
        <w:rPr>
          <w:b/>
          <w:bCs/>
        </w:rPr>
        <w:t xml:space="preserve"> </w:t>
      </w:r>
      <w:proofErr w:type="gramStart"/>
      <w:r w:rsidRPr="00F72429">
        <w:rPr>
          <w:b/>
          <w:bCs/>
        </w:rPr>
        <w:t>Box plots showing differences in anatomical traits and wood density between sites (and vegetation types): tropical rainforest (warm and wet site), tropical woodland (warm and dry site), and temperate forest (cool and wet site).</w:t>
      </w:r>
      <w:proofErr w:type="gramEnd"/>
      <w:r w:rsidRPr="00F72429">
        <w:rPr>
          <w:bCs/>
        </w:rPr>
        <w:t xml:space="preserve"> The black line inside the grey box is a median. The box top and bottom boundaries indicate upper and lower quartile and the whiskers are highest and lowest values excluding outliers. Circles are outliers and each circle corresponds to an individual species. </w:t>
      </w:r>
    </w:p>
    <w:p w:rsidR="00F72429" w:rsidRPr="00F72429" w:rsidRDefault="00F72429" w:rsidP="00F72429">
      <w:pPr>
        <w:rPr>
          <w:bCs/>
        </w:rPr>
      </w:pPr>
    </w:p>
    <w:p w:rsidR="009559C6" w:rsidRDefault="00F72429">
      <w:r>
        <w:rPr>
          <w:noProof/>
          <w:lang w:val="en-AU" w:eastAsia="en-AU"/>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731510" cy="3278505"/>
            <wp:effectExtent l="19050" t="0" r="2540" b="0"/>
            <wp:wrapTopAndBottom/>
            <wp:docPr id="2" name="Picture 1" descr="Fig 6 box plots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6 box plots_v2.jpg"/>
                    <pic:cNvPicPr/>
                  </pic:nvPicPr>
                  <pic:blipFill>
                    <a:blip r:embed="rId5" cstate="print"/>
                    <a:stretch>
                      <a:fillRect/>
                    </a:stretch>
                  </pic:blipFill>
                  <pic:spPr>
                    <a:xfrm>
                      <a:off x="0" y="0"/>
                      <a:ext cx="5731510" cy="3278505"/>
                    </a:xfrm>
                    <a:prstGeom prst="rect">
                      <a:avLst/>
                    </a:prstGeom>
                  </pic:spPr>
                </pic:pic>
              </a:graphicData>
            </a:graphic>
          </wp:anchor>
        </w:drawing>
      </w:r>
    </w:p>
    <w:sectPr w:rsidR="009559C6" w:rsidSect="00893C69">
      <w:pgSz w:w="11906" w:h="16838"/>
      <w:pgMar w:top="1440" w:right="1440" w:bottom="1440" w:left="1440" w:header="720" w:footer="720" w:gutter="0"/>
      <w:lnNumType w:countBy="1"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trackRevisions/>
  <w:defaultTabStop w:val="720"/>
  <w:drawingGridHorizontalSpacing w:val="110"/>
  <w:displayHorizontalDrawingGridEvery w:val="2"/>
  <w:characterSpacingControl w:val="doNotCompress"/>
  <w:compat/>
  <w:rsids>
    <w:rsidRoot w:val="00C302A1"/>
    <w:rsid w:val="0003725E"/>
    <w:rsid w:val="00067434"/>
    <w:rsid w:val="00091D04"/>
    <w:rsid w:val="000D1231"/>
    <w:rsid w:val="00162705"/>
    <w:rsid w:val="00182018"/>
    <w:rsid w:val="001A181A"/>
    <w:rsid w:val="001B2383"/>
    <w:rsid w:val="002238C8"/>
    <w:rsid w:val="00255FB5"/>
    <w:rsid w:val="002813E0"/>
    <w:rsid w:val="002A37CD"/>
    <w:rsid w:val="002D4380"/>
    <w:rsid w:val="003425B3"/>
    <w:rsid w:val="003653C7"/>
    <w:rsid w:val="003861A2"/>
    <w:rsid w:val="00391A76"/>
    <w:rsid w:val="003D60CF"/>
    <w:rsid w:val="00432225"/>
    <w:rsid w:val="004F3E30"/>
    <w:rsid w:val="005818E6"/>
    <w:rsid w:val="00612CF0"/>
    <w:rsid w:val="00664044"/>
    <w:rsid w:val="00665539"/>
    <w:rsid w:val="006E0BBB"/>
    <w:rsid w:val="006E3EB5"/>
    <w:rsid w:val="007075A5"/>
    <w:rsid w:val="00750380"/>
    <w:rsid w:val="00766FF9"/>
    <w:rsid w:val="00806BAE"/>
    <w:rsid w:val="00876D0A"/>
    <w:rsid w:val="00893C69"/>
    <w:rsid w:val="008A7464"/>
    <w:rsid w:val="008D558E"/>
    <w:rsid w:val="00905EB1"/>
    <w:rsid w:val="0096581A"/>
    <w:rsid w:val="009D2C5F"/>
    <w:rsid w:val="00A04415"/>
    <w:rsid w:val="00A16C85"/>
    <w:rsid w:val="00A6407D"/>
    <w:rsid w:val="00A828BD"/>
    <w:rsid w:val="00B10EDD"/>
    <w:rsid w:val="00BE380E"/>
    <w:rsid w:val="00C21E1A"/>
    <w:rsid w:val="00C302A1"/>
    <w:rsid w:val="00C60156"/>
    <w:rsid w:val="00C662E7"/>
    <w:rsid w:val="00C7487B"/>
    <w:rsid w:val="00CE6EB8"/>
    <w:rsid w:val="00D2005B"/>
    <w:rsid w:val="00D70EAB"/>
    <w:rsid w:val="00D971E1"/>
    <w:rsid w:val="00DC21DB"/>
    <w:rsid w:val="00DE2A73"/>
    <w:rsid w:val="00E47C5D"/>
    <w:rsid w:val="00ED5038"/>
    <w:rsid w:val="00F7242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Open Sans" w:eastAsiaTheme="minorHAnsi" w:hAnsi="Open Sans"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E6"/>
    <w:rPr>
      <w:lang w:val="en-GB"/>
    </w:rPr>
  </w:style>
  <w:style w:type="paragraph" w:styleId="Heading1">
    <w:name w:val="heading 1"/>
    <w:basedOn w:val="Normal"/>
    <w:next w:val="Normal"/>
    <w:link w:val="Heading1Char"/>
    <w:uiPriority w:val="9"/>
    <w:qFormat/>
    <w:rsid w:val="004F3E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Main">
    <w:name w:val="Thesis Main"/>
    <w:basedOn w:val="NormalIndent"/>
    <w:next w:val="NormalIndent"/>
    <w:autoRedefine/>
    <w:qFormat/>
    <w:rsid w:val="004F3E30"/>
    <w:pPr>
      <w:spacing w:line="480" w:lineRule="auto"/>
      <w:ind w:left="0" w:firstLine="709"/>
    </w:pPr>
    <w:rPr>
      <w:rFonts w:cs="Open Sans"/>
    </w:rPr>
  </w:style>
  <w:style w:type="paragraph" w:customStyle="1" w:styleId="ThesisSubsubsection">
    <w:name w:val="Thesis Subsubsection"/>
    <w:basedOn w:val="Heading1"/>
    <w:next w:val="TOC2"/>
    <w:autoRedefine/>
    <w:qFormat/>
    <w:rsid w:val="004F3E30"/>
    <w:pPr>
      <w:spacing w:before="120" w:after="60"/>
      <w:jc w:val="both"/>
    </w:pPr>
    <w:rPr>
      <w:rFonts w:ascii="Open Sans" w:hAnsi="Open Sans" w:cs="Open Sans"/>
      <w:noProof/>
      <w:color w:val="000000" w:themeColor="text1"/>
      <w:sz w:val="26"/>
      <w:szCs w:val="22"/>
      <w:lang w:val="en-AU"/>
    </w:rPr>
  </w:style>
  <w:style w:type="paragraph" w:styleId="CommentText">
    <w:name w:val="annotation text"/>
    <w:basedOn w:val="Normal"/>
    <w:link w:val="CommentTextChar"/>
    <w:uiPriority w:val="99"/>
    <w:semiHidden/>
    <w:unhideWhenUsed/>
    <w:rsid w:val="004F3E30"/>
    <w:pPr>
      <w:spacing w:line="240" w:lineRule="auto"/>
      <w:jc w:val="both"/>
    </w:pPr>
    <w:rPr>
      <w:rFonts w:eastAsia="MS ??" w:cs="Times New Roman"/>
      <w:sz w:val="20"/>
      <w:szCs w:val="20"/>
      <w:lang w:val="en-AU"/>
    </w:rPr>
  </w:style>
  <w:style w:type="character" w:customStyle="1" w:styleId="CommentTextChar">
    <w:name w:val="Comment Text Char"/>
    <w:basedOn w:val="DefaultParagraphFont"/>
    <w:link w:val="CommentText"/>
    <w:uiPriority w:val="99"/>
    <w:semiHidden/>
    <w:rsid w:val="004F3E30"/>
    <w:rPr>
      <w:rFonts w:eastAsia="MS ??" w:cs="Times New Roman"/>
      <w:sz w:val="20"/>
      <w:szCs w:val="20"/>
    </w:rPr>
  </w:style>
  <w:style w:type="character" w:styleId="CommentReference">
    <w:name w:val="annotation reference"/>
    <w:basedOn w:val="DefaultParagraphFont"/>
    <w:uiPriority w:val="99"/>
    <w:semiHidden/>
    <w:unhideWhenUsed/>
    <w:rsid w:val="004F3E30"/>
    <w:rPr>
      <w:sz w:val="18"/>
      <w:szCs w:val="18"/>
    </w:rPr>
  </w:style>
  <w:style w:type="paragraph" w:styleId="NormalIndent">
    <w:name w:val="Normal Indent"/>
    <w:basedOn w:val="Normal"/>
    <w:uiPriority w:val="99"/>
    <w:unhideWhenUsed/>
    <w:rsid w:val="004F3E30"/>
    <w:pPr>
      <w:ind w:left="720"/>
    </w:pPr>
  </w:style>
  <w:style w:type="character" w:customStyle="1" w:styleId="Heading1Char">
    <w:name w:val="Heading 1 Char"/>
    <w:basedOn w:val="DefaultParagraphFont"/>
    <w:link w:val="Heading1"/>
    <w:uiPriority w:val="9"/>
    <w:rsid w:val="004F3E30"/>
    <w:rPr>
      <w:rFonts w:asciiTheme="majorHAnsi" w:eastAsiaTheme="majorEastAsia" w:hAnsiTheme="majorHAnsi" w:cstheme="majorBidi"/>
      <w:b/>
      <w:bCs/>
      <w:color w:val="365F91" w:themeColor="accent1" w:themeShade="BF"/>
      <w:sz w:val="28"/>
      <w:szCs w:val="28"/>
      <w:lang w:val="en-GB"/>
    </w:rPr>
  </w:style>
  <w:style w:type="paragraph" w:styleId="TOC2">
    <w:name w:val="toc 2"/>
    <w:basedOn w:val="Normal"/>
    <w:next w:val="Normal"/>
    <w:autoRedefine/>
    <w:uiPriority w:val="39"/>
    <w:semiHidden/>
    <w:unhideWhenUsed/>
    <w:rsid w:val="004F3E30"/>
    <w:pPr>
      <w:spacing w:after="100"/>
      <w:ind w:left="220"/>
    </w:pPr>
  </w:style>
  <w:style w:type="paragraph" w:styleId="BalloonText">
    <w:name w:val="Balloon Text"/>
    <w:basedOn w:val="Normal"/>
    <w:link w:val="BalloonTextChar"/>
    <w:uiPriority w:val="99"/>
    <w:semiHidden/>
    <w:unhideWhenUsed/>
    <w:rsid w:val="004F3E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E30"/>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D2005B"/>
    <w:pPr>
      <w:jc w:val="left"/>
    </w:pPr>
    <w:rPr>
      <w:rFonts w:eastAsiaTheme="minorHAnsi" w:cstheme="minorBidi"/>
      <w:b/>
      <w:bCs/>
      <w:lang w:val="en-GB"/>
    </w:rPr>
  </w:style>
  <w:style w:type="character" w:customStyle="1" w:styleId="CommentSubjectChar">
    <w:name w:val="Comment Subject Char"/>
    <w:basedOn w:val="CommentTextChar"/>
    <w:link w:val="CommentSubject"/>
    <w:uiPriority w:val="99"/>
    <w:semiHidden/>
    <w:rsid w:val="00D2005B"/>
    <w:rPr>
      <w:b/>
      <w:bCs/>
      <w:lang w:val="en-GB"/>
    </w:rPr>
  </w:style>
  <w:style w:type="character" w:styleId="LineNumber">
    <w:name w:val="line number"/>
    <w:basedOn w:val="DefaultParagraphFont"/>
    <w:uiPriority w:val="99"/>
    <w:semiHidden/>
    <w:unhideWhenUsed/>
    <w:rsid w:val="00893C69"/>
  </w:style>
  <w:style w:type="paragraph" w:styleId="Bibliography">
    <w:name w:val="Bibliography"/>
    <w:basedOn w:val="Normal"/>
    <w:next w:val="Normal"/>
    <w:uiPriority w:val="37"/>
    <w:unhideWhenUsed/>
    <w:rsid w:val="00E47C5D"/>
    <w:pPr>
      <w:tabs>
        <w:tab w:val="left" w:pos="504"/>
      </w:tabs>
      <w:spacing w:line="480" w:lineRule="auto"/>
      <w:ind w:left="505" w:hanging="505"/>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80175-D19A-46B9-8D90-9775761F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12117</Words>
  <Characters>69073</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Zieminska</dc:creator>
  <cp:lastModifiedBy>Kasia</cp:lastModifiedBy>
  <cp:revision>2</cp:revision>
  <dcterms:created xsi:type="dcterms:W3CDTF">2015-03-27T20:15:00Z</dcterms:created>
  <dcterms:modified xsi:type="dcterms:W3CDTF">2015-03-27T20:15:00Z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zotero-version="4.0.22"&gt;&lt;session id="wPQpbBg5"/&gt;&lt;style id="http://www.zotero.org/styles/plos-one"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