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096A" w14:textId="77777777" w:rsidR="00637F3D" w:rsidRDefault="00637F3D" w:rsidP="00776D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14:paraId="77C71BB8" w14:textId="459A9814" w:rsidR="00BD0F54" w:rsidRPr="00E31B8B" w:rsidRDefault="00BD0F54" w:rsidP="00E31B8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B8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31B8B" w:rsidRPr="00E31B8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31B8B">
        <w:rPr>
          <w:rFonts w:ascii="Times New Roman" w:hAnsi="Times New Roman" w:cs="Times New Roman"/>
          <w:b/>
          <w:sz w:val="24"/>
          <w:szCs w:val="24"/>
          <w:lang w:val="en-US"/>
        </w:rPr>
        <w:t>-File. S</w:t>
      </w:r>
      <w:r w:rsidR="00D324C7" w:rsidRPr="00E31B8B">
        <w:rPr>
          <w:rFonts w:ascii="Times New Roman" w:hAnsi="Times New Roman" w:cs="Times New Roman"/>
          <w:b/>
          <w:sz w:val="24"/>
          <w:szCs w:val="24"/>
          <w:lang w:val="en-US"/>
        </w:rPr>
        <w:t>upplementary information</w:t>
      </w:r>
    </w:p>
    <w:p w14:paraId="2C7F577C" w14:textId="77777777" w:rsidR="008F20BF" w:rsidRPr="00E31B8B" w:rsidRDefault="008F20BF" w:rsidP="00E31B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E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morphological distinction of </w:t>
      </w:r>
      <w:r w:rsidR="00697D89" w:rsidRPr="00E82EA8">
        <w:rPr>
          <w:rFonts w:ascii="Times New Roman" w:hAnsi="Times New Roman" w:cs="Times New Roman"/>
          <w:b/>
          <w:sz w:val="24"/>
          <w:szCs w:val="24"/>
          <w:lang w:val="en-US"/>
        </w:rPr>
        <w:t>saltwater</w:t>
      </w:r>
      <w:r w:rsidRPr="00E82E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AD57CA" w:rsidRPr="00E82EA8">
        <w:rPr>
          <w:rFonts w:ascii="Times New Roman" w:hAnsi="Times New Roman" w:cs="Times New Roman"/>
          <w:b/>
          <w:sz w:val="24"/>
          <w:szCs w:val="24"/>
          <w:lang w:val="en-US"/>
        </w:rPr>
        <w:t>freshwater</w:t>
      </w:r>
      <w:r w:rsidRPr="00E82E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forms of rainbow smelt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4BEA6B" w14:textId="215072CB" w:rsidR="00740E33" w:rsidRDefault="008F20BF" w:rsidP="00E31B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Are there significant morphological differences between </w:t>
      </w:r>
      <w:r w:rsidR="00AD57CA" w:rsidRPr="00E31B8B">
        <w:rPr>
          <w:rFonts w:ascii="Times New Roman" w:hAnsi="Times New Roman" w:cs="Times New Roman"/>
          <w:sz w:val="24"/>
          <w:szCs w:val="24"/>
          <w:lang w:val="en-US"/>
        </w:rPr>
        <w:t>freshwater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97D89" w:rsidRPr="00E31B8B">
        <w:rPr>
          <w:rFonts w:ascii="Times New Roman" w:hAnsi="Times New Roman" w:cs="Times New Roman"/>
          <w:sz w:val="24"/>
          <w:szCs w:val="24"/>
          <w:lang w:val="en-US"/>
        </w:rPr>
        <w:t>saltwater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 forms of rainbow smelt and do the two ancestral </w:t>
      </w:r>
      <w:r w:rsidR="00AD57CA" w:rsidRPr="00E31B8B">
        <w:rPr>
          <w:rFonts w:ascii="Times New Roman" w:hAnsi="Times New Roman" w:cs="Times New Roman"/>
          <w:sz w:val="24"/>
          <w:szCs w:val="24"/>
          <w:lang w:val="en-US"/>
        </w:rPr>
        <w:t>races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 found in estuarine populations exhibit the same morphological divergence as observed in the lacustrine env</w:t>
      </w:r>
      <w:r w:rsidR="00474998" w:rsidRPr="00E31B8B">
        <w:rPr>
          <w:rFonts w:ascii="Times New Roman" w:hAnsi="Times New Roman" w:cs="Times New Roman"/>
          <w:sz w:val="24"/>
          <w:szCs w:val="24"/>
          <w:lang w:val="en-US"/>
        </w:rPr>
        <w:t>ironment by Barrette et al (29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)? To answer these questions, we grouped the 5 purebred estuarine populations (derived uniquely from </w:t>
      </w:r>
      <w:r w:rsidR="008E1EBB" w:rsidRPr="00E31B8B">
        <w:rPr>
          <w:rFonts w:ascii="Times New Roman" w:hAnsi="Times New Roman" w:cs="Times New Roman"/>
          <w:sz w:val="24"/>
          <w:szCs w:val="24"/>
          <w:lang w:val="en-US"/>
        </w:rPr>
        <w:t>the Acadian and Atlantic races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, Table 2) and the 13 purebred </w:t>
      </w:r>
      <w:r w:rsidR="00AD57CA" w:rsidRPr="00E31B8B">
        <w:rPr>
          <w:rFonts w:ascii="Times New Roman" w:hAnsi="Times New Roman" w:cs="Times New Roman"/>
          <w:sz w:val="24"/>
          <w:szCs w:val="24"/>
          <w:lang w:val="en-US"/>
        </w:rPr>
        <w:t>freshwater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 xml:space="preserve"> populations from </w:t>
      </w:r>
      <w:r w:rsidR="00474998" w:rsidRPr="00E31B8B">
        <w:rPr>
          <w:rFonts w:ascii="Times New Roman" w:hAnsi="Times New Roman" w:cs="Times New Roman"/>
          <w:sz w:val="24"/>
          <w:szCs w:val="24"/>
          <w:lang w:val="en-US"/>
        </w:rPr>
        <w:t>(29</w:t>
      </w:r>
      <w:r w:rsidRPr="00E31B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according to historical </w:t>
      </w:r>
      <w:r w:rsidR="008E1EBB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environmental setting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. Following MANOVA, we conducted a DFA </w:t>
      </w:r>
      <w:r>
        <w:rPr>
          <w:rFonts w:ascii="Times New Roman" w:hAnsi="Times New Roman" w:cs="Times New Roman"/>
          <w:sz w:val="24"/>
          <w:szCs w:val="24"/>
          <w:lang w:val="en-US"/>
        </w:rPr>
        <w:t>to test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null hypothesis that 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>the morpholog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of the two historical </w:t>
      </w:r>
      <w:r w:rsidR="00697D89">
        <w:rPr>
          <w:rFonts w:ascii="Times New Roman" w:hAnsi="Times New Roman" w:cs="Times New Roman"/>
          <w:sz w:val="24"/>
          <w:szCs w:val="24"/>
          <w:lang w:val="en-US"/>
        </w:rPr>
        <w:t>races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differ significantly </w:t>
      </w:r>
      <w:r>
        <w:rPr>
          <w:rFonts w:ascii="Times New Roman" w:hAnsi="Times New Roman" w:cs="Times New Roman"/>
          <w:sz w:val="24"/>
          <w:szCs w:val="24"/>
          <w:lang w:val="en-US"/>
        </w:rPr>
        <w:t>according to environmental setting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(lakes and estuaries).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A random ANOVA model with nested and crossed factors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fitted on the two main canonical axis of the DFA. The following variance components of the overall among-group variance were investigated: (1) </w:t>
      </w:r>
      <w:proofErr w:type="spellStart"/>
      <w:r w:rsidRPr="00B86D7B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historical lineage (</w:t>
      </w:r>
      <w:r>
        <w:rPr>
          <w:rFonts w:ascii="Times New Roman" w:hAnsi="Times New Roman" w:cs="Times New Roman"/>
          <w:sz w:val="24"/>
          <w:szCs w:val="24"/>
          <w:lang w:val="en-US"/>
        </w:rPr>
        <w:t>A (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>Acadian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>Atlantic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>: two levels); (2) environment (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 xml:space="preserve">freshwater 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or estuarine: two levels); (3) variation due to the interaction of historical lineage and environment; and (4) the remaining among-population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Pr="00B86D7B">
        <w:rPr>
          <w:rFonts w:ascii="Times New Roman" w:hAnsi="Times New Roman" w:cs="Times New Roman"/>
          <w:sz w:val="24"/>
          <w:szCs w:val="24"/>
          <w:lang w:val="en-US"/>
        </w:rPr>
        <w:t xml:space="preserve">, nested within lineage and environment (18 levels).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null hypothesis predicts that there should be no interaction of historical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environment and no significant major effect of environment.</w:t>
      </w:r>
    </w:p>
    <w:p w14:paraId="776CD173" w14:textId="77777777" w:rsidR="00C42372" w:rsidRDefault="00C42372" w:rsidP="00E31B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grouping rainbow smelt according to their historical </w:t>
      </w:r>
      <w:r w:rsidR="00697D89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E1EBB">
        <w:rPr>
          <w:rFonts w:ascii="Times New Roman" w:hAnsi="Times New Roman" w:cs="Times New Roman"/>
          <w:sz w:val="24"/>
          <w:szCs w:val="24"/>
          <w:lang w:val="en-US"/>
        </w:rPr>
        <w:t>Acadain</w:t>
      </w:r>
      <w:proofErr w:type="spellEnd"/>
      <w:r w:rsidR="008E1EBB">
        <w:rPr>
          <w:rFonts w:ascii="Times New Roman" w:hAnsi="Times New Roman" w:cs="Times New Roman"/>
          <w:sz w:val="24"/>
          <w:szCs w:val="24"/>
          <w:lang w:val="en-US"/>
        </w:rPr>
        <w:t xml:space="preserve"> and Atlantic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and their environment of origin (lakes and estuaries), the morphologies of the 4 groups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differed significantly (MANOVA: </w:t>
      </w:r>
      <w:r w:rsidRPr="00E759C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9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Wilk’s</w:t>
      </w:r>
      <w:proofErr w:type="spellEnd"/>
      <w:r w:rsidRPr="00E759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lambda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23.63;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129, 1933.6; </w:t>
      </w:r>
      <w:r w:rsidRPr="00E759C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0.0001). Ten morphological traits were excluded from further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they did not contribute significantly to distinguishing among groups. All three discriminant functions were significant (</w:t>
      </w:r>
      <w:r w:rsidRPr="00B8418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 0.0001), with the first function explaining 60.55% of the variance, function 2, 25.66% and function 3, an additional 13.79%. Reclassification of smelt to their group of origin was highly successful in all cases (leave-one-out cross-validation method; estuarine Acadian smelt (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100.0%;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lake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Acadian smelt 98.36%; estuarine Atlantic smelt (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="00085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98.95%;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lake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DE3">
        <w:rPr>
          <w:rFonts w:ascii="Times New Roman" w:hAnsi="Times New Roman" w:cs="Times New Roman"/>
          <w:sz w:val="24"/>
          <w:szCs w:val="24"/>
          <w:lang w:val="en-US"/>
        </w:rPr>
        <w:t>Atlantic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smelt 97.2%). The suite of correlated traits accounting for the greatest degree of morphological divergence discriminated fish inhabiting the 2 environments (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S2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 xml:space="preserve">), explaining </w:t>
      </w:r>
      <w:r>
        <w:rPr>
          <w:rFonts w:ascii="Times New Roman" w:hAnsi="Times New Roman" w:cs="Times New Roman"/>
          <w:sz w:val="24"/>
          <w:szCs w:val="24"/>
          <w:lang w:val="en-US"/>
        </w:rPr>
        <w:t>69.64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 xml:space="preserve">% of the total variance associated with this discriminant function (Table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19B5">
        <w:rPr>
          <w:rFonts w:ascii="Times New Roman" w:hAnsi="Times New Roman" w:cs="Times New Roman"/>
          <w:sz w:val="24"/>
          <w:szCs w:val="24"/>
          <w:lang w:val="en-US"/>
        </w:rPr>
        <w:t>-Axis 1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was no significant contribution of historical lineage and no significant interaction between the two sources of variance (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>Table 2</w:t>
      </w:r>
      <w:r w:rsidR="00D019B5">
        <w:rPr>
          <w:rFonts w:ascii="Times New Roman" w:hAnsi="Times New Roman" w:cs="Times New Roman"/>
          <w:sz w:val="24"/>
          <w:szCs w:val="24"/>
          <w:lang w:val="en-US"/>
        </w:rPr>
        <w:t>-Axis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on this axis. </w:t>
      </w:r>
    </w:p>
    <w:tbl>
      <w:tblPr>
        <w:tblStyle w:val="TableGrid"/>
        <w:tblW w:w="8651" w:type="dxa"/>
        <w:tblLook w:val="0000" w:firstRow="0" w:lastRow="0" w:firstColumn="0" w:lastColumn="0" w:noHBand="0" w:noVBand="0"/>
      </w:tblPr>
      <w:tblGrid>
        <w:gridCol w:w="1236"/>
        <w:gridCol w:w="784"/>
        <w:gridCol w:w="1187"/>
        <w:gridCol w:w="1523"/>
        <w:gridCol w:w="1070"/>
        <w:gridCol w:w="1232"/>
        <w:gridCol w:w="1619"/>
      </w:tblGrid>
      <w:tr w:rsidR="00C42372" w:rsidRPr="00CC3062" w14:paraId="21ACA99D" w14:textId="77777777" w:rsidTr="00984D86">
        <w:trPr>
          <w:trHeight w:val="255"/>
        </w:trPr>
        <w:tc>
          <w:tcPr>
            <w:tcW w:w="1236" w:type="dxa"/>
          </w:tcPr>
          <w:p w14:paraId="24AC2D07" w14:textId="77777777" w:rsidR="00C42372" w:rsidRPr="00B73A74" w:rsidRDefault="00C42372" w:rsidP="00984D86">
            <w:pPr>
              <w:ind w:left="-59"/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</w:pPr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Axis 1</w:t>
            </w:r>
          </w:p>
          <w:p w14:paraId="7C482FF2" w14:textId="77777777" w:rsidR="00C42372" w:rsidRPr="003658B6" w:rsidRDefault="00C42372" w:rsidP="00984D86">
            <w:pPr>
              <w:ind w:left="-59"/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</w:p>
        </w:tc>
        <w:tc>
          <w:tcPr>
            <w:tcW w:w="784" w:type="dxa"/>
          </w:tcPr>
          <w:p w14:paraId="78643EE9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proofErr w:type="spellStart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d.f</w:t>
            </w:r>
            <w:proofErr w:type="spellEnd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.</w:t>
            </w:r>
          </w:p>
        </w:tc>
        <w:tc>
          <w:tcPr>
            <w:tcW w:w="1187" w:type="dxa"/>
          </w:tcPr>
          <w:p w14:paraId="38CE7558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Cs w:val="24"/>
                <w:lang w:eastAsia="fr-FR"/>
              </w:rPr>
              <w:t xml:space="preserve">Variance  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fr-FR"/>
              </w:rPr>
              <w:t>e</w:t>
            </w:r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stimate</w:t>
            </w:r>
            <w:proofErr w:type="spellEnd"/>
          </w:p>
        </w:tc>
        <w:tc>
          <w:tcPr>
            <w:tcW w:w="1523" w:type="dxa"/>
          </w:tcPr>
          <w:p w14:paraId="63787ED1" w14:textId="77777777" w:rsidR="00C4237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proofErr w:type="spellStart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Bootstrap</w:t>
            </w:r>
            <w:proofErr w:type="spellEnd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 xml:space="preserve"> standard </w:t>
            </w:r>
            <w:proofErr w:type="spellStart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error</w:t>
            </w:r>
            <w:proofErr w:type="spellEnd"/>
          </w:p>
          <w:p w14:paraId="20A60D91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</w:p>
        </w:tc>
        <w:tc>
          <w:tcPr>
            <w:tcW w:w="1070" w:type="dxa"/>
          </w:tcPr>
          <w:p w14:paraId="1D632DE6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 xml:space="preserve">Wald </w:t>
            </w:r>
            <w:proofErr w:type="spellStart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chisquare</w:t>
            </w:r>
            <w:proofErr w:type="spellEnd"/>
          </w:p>
        </w:tc>
        <w:tc>
          <w:tcPr>
            <w:tcW w:w="1232" w:type="dxa"/>
          </w:tcPr>
          <w:p w14:paraId="00E48934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P-value</w:t>
            </w:r>
          </w:p>
        </w:tc>
        <w:tc>
          <w:tcPr>
            <w:tcW w:w="1619" w:type="dxa"/>
          </w:tcPr>
          <w:p w14:paraId="5A704FA7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 w:rsidRPr="00961C52">
              <w:rPr>
                <w:rFonts w:ascii="Times New Roman" w:eastAsia="Times New Roman" w:hAnsi="Times New Roman"/>
                <w:szCs w:val="24"/>
                <w:lang w:val="en-US" w:eastAsia="fr-FR"/>
              </w:rPr>
              <w:t>Part of the total variance</w:t>
            </w:r>
          </w:p>
        </w:tc>
      </w:tr>
      <w:tr w:rsidR="00C42372" w:rsidRPr="003658B6" w14:paraId="760CA3AE" w14:textId="77777777" w:rsidTr="00984D86">
        <w:trPr>
          <w:trHeight w:val="255"/>
        </w:trPr>
        <w:tc>
          <w:tcPr>
            <w:tcW w:w="1236" w:type="dxa"/>
          </w:tcPr>
          <w:p w14:paraId="77F3B935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H</w:t>
            </w:r>
          </w:p>
        </w:tc>
        <w:tc>
          <w:tcPr>
            <w:tcW w:w="784" w:type="dxa"/>
          </w:tcPr>
          <w:p w14:paraId="5C1529E7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dxa"/>
            <w:noWrap/>
          </w:tcPr>
          <w:p w14:paraId="32F5624E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0.165</w:t>
            </w:r>
          </w:p>
        </w:tc>
        <w:tc>
          <w:tcPr>
            <w:tcW w:w="1523" w:type="dxa"/>
            <w:noWrap/>
          </w:tcPr>
          <w:p w14:paraId="0AC90695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/>
                <w:szCs w:val="24"/>
              </w:rPr>
              <w:t>069</w:t>
            </w:r>
          </w:p>
        </w:tc>
        <w:tc>
          <w:tcPr>
            <w:tcW w:w="1070" w:type="dxa"/>
            <w:noWrap/>
          </w:tcPr>
          <w:p w14:paraId="5D0E371A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5.72</w:t>
            </w:r>
          </w:p>
        </w:tc>
        <w:tc>
          <w:tcPr>
            <w:tcW w:w="1232" w:type="dxa"/>
            <w:noWrap/>
          </w:tcPr>
          <w:p w14:paraId="0564CA66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 xml:space="preserve"> 0.0</w:t>
            </w:r>
            <w:r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1619" w:type="dxa"/>
          </w:tcPr>
          <w:p w14:paraId="06B55864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3.91</w:t>
            </w:r>
            <w:r w:rsidRPr="003658B6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C42372" w:rsidRPr="003658B6" w14:paraId="61537E40" w14:textId="77777777" w:rsidTr="00984D86">
        <w:trPr>
          <w:trHeight w:val="255"/>
        </w:trPr>
        <w:tc>
          <w:tcPr>
            <w:tcW w:w="1236" w:type="dxa"/>
          </w:tcPr>
          <w:p w14:paraId="5DF0429F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E</w:t>
            </w:r>
          </w:p>
        </w:tc>
        <w:tc>
          <w:tcPr>
            <w:tcW w:w="784" w:type="dxa"/>
          </w:tcPr>
          <w:p w14:paraId="6538A3B4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dxa"/>
            <w:noWrap/>
          </w:tcPr>
          <w:p w14:paraId="48ED1758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2.939</w:t>
            </w:r>
          </w:p>
        </w:tc>
        <w:tc>
          <w:tcPr>
            <w:tcW w:w="1523" w:type="dxa"/>
            <w:noWrap/>
          </w:tcPr>
          <w:p w14:paraId="4AA55479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1070" w:type="dxa"/>
            <w:noWrap/>
          </w:tcPr>
          <w:p w14:paraId="43A68710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456.49</w:t>
            </w:r>
          </w:p>
        </w:tc>
        <w:tc>
          <w:tcPr>
            <w:tcW w:w="1232" w:type="dxa"/>
            <w:noWrap/>
          </w:tcPr>
          <w:p w14:paraId="66985A3C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&lt;</w:t>
            </w:r>
            <w:r w:rsidRPr="003658B6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/>
                <w:szCs w:val="24"/>
              </w:rPr>
              <w:t>0001</w:t>
            </w:r>
          </w:p>
        </w:tc>
        <w:tc>
          <w:tcPr>
            <w:tcW w:w="1619" w:type="dxa"/>
          </w:tcPr>
          <w:p w14:paraId="7DCA9F70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69.64</w:t>
            </w:r>
            <w:r w:rsidRPr="003658B6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C42372" w:rsidRPr="00D50A00" w14:paraId="58E66C88" w14:textId="77777777" w:rsidTr="00984D86">
        <w:trPr>
          <w:trHeight w:val="255"/>
        </w:trPr>
        <w:tc>
          <w:tcPr>
            <w:tcW w:w="1236" w:type="dxa"/>
          </w:tcPr>
          <w:p w14:paraId="5B1F531C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proofErr w:type="spellStart"/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Hx</w:t>
            </w:r>
            <w:r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E</w:t>
            </w:r>
            <w:proofErr w:type="spellEnd"/>
          </w:p>
        </w:tc>
        <w:tc>
          <w:tcPr>
            <w:tcW w:w="784" w:type="dxa"/>
          </w:tcPr>
          <w:p w14:paraId="5BC44EA8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dxa"/>
            <w:noWrap/>
          </w:tcPr>
          <w:p w14:paraId="150A7C0B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/>
                <w:szCs w:val="24"/>
              </w:rPr>
              <w:t>083</w:t>
            </w:r>
          </w:p>
        </w:tc>
        <w:tc>
          <w:tcPr>
            <w:tcW w:w="1523" w:type="dxa"/>
            <w:noWrap/>
          </w:tcPr>
          <w:p w14:paraId="4E4572E2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0.06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0" w:type="dxa"/>
            <w:noWrap/>
          </w:tcPr>
          <w:p w14:paraId="59552D7A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1.93</w:t>
            </w:r>
          </w:p>
        </w:tc>
        <w:tc>
          <w:tcPr>
            <w:tcW w:w="1232" w:type="dxa"/>
            <w:noWrap/>
          </w:tcPr>
          <w:p w14:paraId="33BE984F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0.1649</w:t>
            </w:r>
          </w:p>
        </w:tc>
        <w:tc>
          <w:tcPr>
            <w:tcW w:w="1619" w:type="dxa"/>
          </w:tcPr>
          <w:p w14:paraId="31E5D343" w14:textId="77777777" w:rsidR="00C42372" w:rsidRPr="00961C52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1.96</w:t>
            </w:r>
            <w:r w:rsidRPr="00961C52">
              <w:rPr>
                <w:rFonts w:ascii="Times New Roman" w:hAnsi="Times New Roman"/>
                <w:szCs w:val="24"/>
                <w:lang w:val="en-US"/>
              </w:rPr>
              <w:t xml:space="preserve"> %</w:t>
            </w:r>
          </w:p>
        </w:tc>
      </w:tr>
      <w:tr w:rsidR="00C42372" w:rsidRPr="00D50A00" w14:paraId="6509F91D" w14:textId="77777777" w:rsidTr="00984D86">
        <w:trPr>
          <w:trHeight w:val="255"/>
        </w:trPr>
        <w:tc>
          <w:tcPr>
            <w:tcW w:w="1236" w:type="dxa"/>
            <w:noWrap/>
          </w:tcPr>
          <w:p w14:paraId="1ADE8A48" w14:textId="77777777" w:rsidR="00C42372" w:rsidRPr="00961C52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</w:pPr>
            <w:proofErr w:type="gramStart"/>
            <w:r w:rsidRPr="00961C52"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  <w:t>Pop</w:t>
            </w:r>
            <w:r w:rsidRPr="00961C52">
              <w:rPr>
                <w:rFonts w:ascii="Times New Roman" w:eastAsia="Times New Roman" w:hAnsi="Times New Roman"/>
                <w:bCs/>
                <w:szCs w:val="24"/>
                <w:vertAlign w:val="subscript"/>
                <w:lang w:val="en-US" w:eastAsia="fr-FR"/>
              </w:rPr>
              <w:t>(</w:t>
            </w:r>
            <w:proofErr w:type="spellStart"/>
            <w:proofErr w:type="gramEnd"/>
            <w:r w:rsidRPr="00961C52">
              <w:rPr>
                <w:rFonts w:ascii="Times New Roman" w:eastAsia="Times New Roman" w:hAnsi="Times New Roman"/>
                <w:bCs/>
                <w:szCs w:val="24"/>
                <w:vertAlign w:val="subscript"/>
                <w:lang w:val="en-US" w:eastAsia="fr-FR"/>
              </w:rPr>
              <w:t>Hx</w:t>
            </w:r>
            <w:r>
              <w:rPr>
                <w:rFonts w:ascii="Times New Roman" w:eastAsia="Times New Roman" w:hAnsi="Times New Roman"/>
                <w:bCs/>
                <w:szCs w:val="24"/>
                <w:vertAlign w:val="subscript"/>
                <w:lang w:val="en-US" w:eastAsia="fr-FR"/>
              </w:rPr>
              <w:t>E</w:t>
            </w:r>
            <w:proofErr w:type="spellEnd"/>
            <w:r w:rsidRPr="00961C52">
              <w:rPr>
                <w:rFonts w:ascii="Times New Roman" w:eastAsia="Times New Roman" w:hAnsi="Times New Roman"/>
                <w:bCs/>
                <w:szCs w:val="24"/>
                <w:vertAlign w:val="subscript"/>
                <w:lang w:val="en-US" w:eastAsia="fr-FR"/>
              </w:rPr>
              <w:t>)</w:t>
            </w:r>
          </w:p>
        </w:tc>
        <w:tc>
          <w:tcPr>
            <w:tcW w:w="784" w:type="dxa"/>
          </w:tcPr>
          <w:p w14:paraId="666B9CB5" w14:textId="77777777" w:rsidR="00C42372" w:rsidRPr="00961C52" w:rsidRDefault="00C42372" w:rsidP="00984D8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14</w:t>
            </w:r>
          </w:p>
        </w:tc>
        <w:tc>
          <w:tcPr>
            <w:tcW w:w="1187" w:type="dxa"/>
            <w:noWrap/>
          </w:tcPr>
          <w:p w14:paraId="4967C091" w14:textId="77777777" w:rsidR="00C42372" w:rsidRPr="00961C52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0.205</w:t>
            </w:r>
          </w:p>
        </w:tc>
        <w:tc>
          <w:tcPr>
            <w:tcW w:w="1523" w:type="dxa"/>
            <w:noWrap/>
          </w:tcPr>
          <w:p w14:paraId="2C535B56" w14:textId="77777777" w:rsidR="00C42372" w:rsidRPr="00961C52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0.037</w:t>
            </w:r>
          </w:p>
        </w:tc>
        <w:tc>
          <w:tcPr>
            <w:tcW w:w="1070" w:type="dxa"/>
            <w:noWrap/>
          </w:tcPr>
          <w:p w14:paraId="14E3B1DC" w14:textId="77777777" w:rsidR="00C42372" w:rsidRPr="00961C52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30.47</w:t>
            </w:r>
          </w:p>
        </w:tc>
        <w:tc>
          <w:tcPr>
            <w:tcW w:w="1232" w:type="dxa"/>
            <w:noWrap/>
          </w:tcPr>
          <w:p w14:paraId="7E2B0090" w14:textId="77777777" w:rsidR="00C42372" w:rsidRPr="00961C52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&lt;0.0001</w:t>
            </w:r>
          </w:p>
        </w:tc>
        <w:tc>
          <w:tcPr>
            <w:tcW w:w="1619" w:type="dxa"/>
          </w:tcPr>
          <w:p w14:paraId="52C184A1" w14:textId="77777777" w:rsidR="00C42372" w:rsidRPr="00961C52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4.85</w:t>
            </w:r>
            <w:r w:rsidRPr="00961C52">
              <w:rPr>
                <w:rFonts w:ascii="Times New Roman" w:hAnsi="Times New Roman"/>
                <w:szCs w:val="24"/>
                <w:lang w:val="en-US"/>
              </w:rPr>
              <w:t xml:space="preserve"> %</w:t>
            </w:r>
          </w:p>
        </w:tc>
      </w:tr>
      <w:tr w:rsidR="00C42372" w:rsidRPr="00D50A00" w14:paraId="15D5CA25" w14:textId="77777777" w:rsidTr="00984D86">
        <w:trPr>
          <w:trHeight w:val="255"/>
        </w:trPr>
        <w:tc>
          <w:tcPr>
            <w:tcW w:w="1236" w:type="dxa"/>
            <w:noWrap/>
          </w:tcPr>
          <w:p w14:paraId="4AA6CB90" w14:textId="77777777" w:rsidR="00C42372" w:rsidRPr="00961C52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</w:pPr>
            <w:r w:rsidRPr="00961C52"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  <w:t>Error</w:t>
            </w:r>
          </w:p>
        </w:tc>
        <w:tc>
          <w:tcPr>
            <w:tcW w:w="784" w:type="dxa"/>
          </w:tcPr>
          <w:p w14:paraId="7BDC4114" w14:textId="77777777" w:rsidR="00C42372" w:rsidRPr="00961C52" w:rsidRDefault="00C42372" w:rsidP="00984D8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61C52">
              <w:rPr>
                <w:rFonts w:ascii="Times New Roman" w:hAnsi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Cs w:val="24"/>
                <w:lang w:val="en-US"/>
              </w:rPr>
              <w:t>73</w:t>
            </w:r>
          </w:p>
        </w:tc>
        <w:tc>
          <w:tcPr>
            <w:tcW w:w="1187" w:type="dxa"/>
            <w:noWrap/>
          </w:tcPr>
          <w:p w14:paraId="4BB9A070" w14:textId="77777777" w:rsidR="00C42372" w:rsidRPr="00961C52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0.829</w:t>
            </w:r>
          </w:p>
        </w:tc>
        <w:tc>
          <w:tcPr>
            <w:tcW w:w="1523" w:type="dxa"/>
            <w:noWrap/>
          </w:tcPr>
          <w:p w14:paraId="2B4CD26A" w14:textId="77777777" w:rsidR="00C42372" w:rsidRPr="00961C52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0.042</w:t>
            </w:r>
          </w:p>
        </w:tc>
        <w:tc>
          <w:tcPr>
            <w:tcW w:w="1070" w:type="dxa"/>
            <w:noWrap/>
          </w:tcPr>
          <w:p w14:paraId="3D30EB4C" w14:textId="77777777" w:rsidR="00C42372" w:rsidRPr="00961C52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390.25</w:t>
            </w:r>
          </w:p>
        </w:tc>
        <w:tc>
          <w:tcPr>
            <w:tcW w:w="1232" w:type="dxa"/>
            <w:noWrap/>
          </w:tcPr>
          <w:p w14:paraId="18BFA4B1" w14:textId="77777777" w:rsidR="00C42372" w:rsidRPr="00961C52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&lt;</w:t>
            </w:r>
            <w:r w:rsidRPr="00961C52">
              <w:rPr>
                <w:rFonts w:ascii="Times New Roman" w:hAnsi="Times New Roman"/>
                <w:szCs w:val="24"/>
                <w:lang w:val="en-US"/>
              </w:rPr>
              <w:t>0.0001</w:t>
            </w:r>
          </w:p>
        </w:tc>
        <w:tc>
          <w:tcPr>
            <w:tcW w:w="1619" w:type="dxa"/>
          </w:tcPr>
          <w:p w14:paraId="0B1DEB3A" w14:textId="77777777" w:rsidR="00C42372" w:rsidRPr="00961C52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19.65</w:t>
            </w:r>
            <w:r w:rsidRPr="00961C52">
              <w:rPr>
                <w:rFonts w:ascii="Times New Roman" w:hAnsi="Times New Roman"/>
                <w:szCs w:val="24"/>
                <w:lang w:val="en-US"/>
              </w:rPr>
              <w:t xml:space="preserve"> %</w:t>
            </w:r>
          </w:p>
        </w:tc>
      </w:tr>
      <w:tr w:rsidR="00C42372" w:rsidRPr="00D50A00" w14:paraId="5613DDAE" w14:textId="77777777" w:rsidTr="00984D86">
        <w:trPr>
          <w:trHeight w:val="323"/>
        </w:trPr>
        <w:tc>
          <w:tcPr>
            <w:tcW w:w="1236" w:type="dxa"/>
            <w:noWrap/>
          </w:tcPr>
          <w:p w14:paraId="45B89827" w14:textId="77777777" w:rsidR="00C42372" w:rsidRPr="00961C52" w:rsidRDefault="00C42372" w:rsidP="00984D86">
            <w:pPr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 w:rsidRPr="00961C52"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  <w:t>Total</w:t>
            </w:r>
          </w:p>
        </w:tc>
        <w:tc>
          <w:tcPr>
            <w:tcW w:w="784" w:type="dxa"/>
          </w:tcPr>
          <w:p w14:paraId="55B1D82C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 w:rsidRPr="00961C52">
              <w:rPr>
                <w:rFonts w:ascii="Times New Roman" w:hAnsi="Times New Roman"/>
                <w:szCs w:val="24"/>
                <w:lang w:val="en-US"/>
              </w:rPr>
              <w:t>690</w:t>
            </w:r>
          </w:p>
        </w:tc>
        <w:tc>
          <w:tcPr>
            <w:tcW w:w="1187" w:type="dxa"/>
          </w:tcPr>
          <w:p w14:paraId="22BEFF2E" w14:textId="77777777" w:rsidR="00C42372" w:rsidRPr="00961C52" w:rsidRDefault="00C42372" w:rsidP="00984D86">
            <w:pPr>
              <w:ind w:right="66"/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fr-FR"/>
              </w:rPr>
              <w:t xml:space="preserve">  4.220</w:t>
            </w:r>
          </w:p>
        </w:tc>
        <w:tc>
          <w:tcPr>
            <w:tcW w:w="1523" w:type="dxa"/>
          </w:tcPr>
          <w:p w14:paraId="14505078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</w:p>
        </w:tc>
        <w:tc>
          <w:tcPr>
            <w:tcW w:w="1070" w:type="dxa"/>
          </w:tcPr>
          <w:p w14:paraId="682BCD61" w14:textId="77777777" w:rsidR="00C42372" w:rsidRPr="00961C52" w:rsidRDefault="00C42372" w:rsidP="00984D86">
            <w:pPr>
              <w:jc w:val="right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</w:p>
        </w:tc>
        <w:tc>
          <w:tcPr>
            <w:tcW w:w="1232" w:type="dxa"/>
          </w:tcPr>
          <w:p w14:paraId="7372EE82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</w:p>
        </w:tc>
        <w:tc>
          <w:tcPr>
            <w:tcW w:w="1619" w:type="dxa"/>
          </w:tcPr>
          <w:p w14:paraId="1B34DD20" w14:textId="77777777" w:rsidR="00C42372" w:rsidRPr="00961C52" w:rsidRDefault="00C42372" w:rsidP="00984D86">
            <w:pPr>
              <w:jc w:val="right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</w:p>
        </w:tc>
      </w:tr>
      <w:tr w:rsidR="00C42372" w:rsidRPr="00CC3062" w14:paraId="70E52D44" w14:textId="77777777" w:rsidTr="00984D86">
        <w:trPr>
          <w:trHeight w:val="255"/>
        </w:trPr>
        <w:tc>
          <w:tcPr>
            <w:tcW w:w="1236" w:type="dxa"/>
          </w:tcPr>
          <w:p w14:paraId="532C39DF" w14:textId="77777777" w:rsidR="00C42372" w:rsidRDefault="00C42372" w:rsidP="00984D86">
            <w:pPr>
              <w:ind w:left="-59"/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</w:pPr>
          </w:p>
          <w:p w14:paraId="62B4FBCC" w14:textId="77777777" w:rsidR="00C42372" w:rsidRPr="00961C52" w:rsidRDefault="00C42372" w:rsidP="00984D86">
            <w:pPr>
              <w:ind w:left="-59"/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</w:pPr>
            <w:r w:rsidRPr="00961C52">
              <w:rPr>
                <w:rFonts w:ascii="Times New Roman" w:eastAsia="Times New Roman" w:hAnsi="Times New Roman"/>
                <w:bCs/>
                <w:szCs w:val="24"/>
                <w:lang w:val="en-US" w:eastAsia="fr-FR"/>
              </w:rPr>
              <w:t>Axis 2</w:t>
            </w:r>
          </w:p>
        </w:tc>
        <w:tc>
          <w:tcPr>
            <w:tcW w:w="784" w:type="dxa"/>
          </w:tcPr>
          <w:p w14:paraId="542CAE81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proofErr w:type="spellStart"/>
            <w:r w:rsidRPr="00961C52">
              <w:rPr>
                <w:rFonts w:ascii="Times New Roman" w:eastAsia="Times New Roman" w:hAnsi="Times New Roman"/>
                <w:szCs w:val="24"/>
                <w:lang w:val="en-US" w:eastAsia="fr-FR"/>
              </w:rPr>
              <w:t>d.f.</w:t>
            </w:r>
            <w:proofErr w:type="spellEnd"/>
          </w:p>
        </w:tc>
        <w:tc>
          <w:tcPr>
            <w:tcW w:w="1187" w:type="dxa"/>
          </w:tcPr>
          <w:p w14:paraId="512F6C32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szCs w:val="24"/>
                <w:lang w:eastAsia="fr-FR"/>
              </w:rPr>
              <w:t xml:space="preserve">Variance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fr-FR"/>
              </w:rPr>
              <w:t>e</w:t>
            </w:r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stimate</w:t>
            </w:r>
            <w:proofErr w:type="spellEnd"/>
          </w:p>
        </w:tc>
        <w:tc>
          <w:tcPr>
            <w:tcW w:w="1523" w:type="dxa"/>
          </w:tcPr>
          <w:p w14:paraId="23569222" w14:textId="77777777" w:rsidR="00C4237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 w:rsidRPr="00961C52">
              <w:rPr>
                <w:rFonts w:ascii="Times New Roman" w:eastAsia="Times New Roman" w:hAnsi="Times New Roman"/>
                <w:szCs w:val="24"/>
                <w:lang w:val="en-US" w:eastAsia="fr-FR"/>
              </w:rPr>
              <w:t>Bootstrap standard error</w:t>
            </w:r>
          </w:p>
          <w:p w14:paraId="4B30DF45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</w:p>
        </w:tc>
        <w:tc>
          <w:tcPr>
            <w:tcW w:w="1070" w:type="dxa"/>
          </w:tcPr>
          <w:p w14:paraId="2CF22765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r w:rsidRPr="00961C52">
              <w:rPr>
                <w:rFonts w:ascii="Times New Roman" w:eastAsia="Times New Roman" w:hAnsi="Times New Roman"/>
                <w:szCs w:val="24"/>
                <w:lang w:val="en-US" w:eastAsia="fr-FR"/>
              </w:rPr>
              <w:t>Wald c</w:t>
            </w:r>
            <w:proofErr w:type="spellStart"/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hisquare</w:t>
            </w:r>
            <w:proofErr w:type="spellEnd"/>
          </w:p>
        </w:tc>
        <w:tc>
          <w:tcPr>
            <w:tcW w:w="1232" w:type="dxa"/>
          </w:tcPr>
          <w:p w14:paraId="60DE128D" w14:textId="77777777" w:rsidR="00C42372" w:rsidRPr="003658B6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eastAsia="fr-FR"/>
              </w:rPr>
            </w:pPr>
            <w:r w:rsidRPr="003658B6">
              <w:rPr>
                <w:rFonts w:ascii="Times New Roman" w:eastAsia="Times New Roman" w:hAnsi="Times New Roman"/>
                <w:szCs w:val="24"/>
                <w:lang w:eastAsia="fr-FR"/>
              </w:rPr>
              <w:t>P-value</w:t>
            </w:r>
          </w:p>
        </w:tc>
        <w:tc>
          <w:tcPr>
            <w:tcW w:w="1619" w:type="dxa"/>
          </w:tcPr>
          <w:p w14:paraId="427A824A" w14:textId="77777777" w:rsidR="00C42372" w:rsidRPr="00961C52" w:rsidRDefault="00C42372" w:rsidP="00984D86">
            <w:pPr>
              <w:jc w:val="center"/>
              <w:rPr>
                <w:rFonts w:ascii="Times New Roman" w:eastAsia="Times New Roman" w:hAnsi="Times New Roman"/>
                <w:szCs w:val="24"/>
                <w:lang w:val="en-US" w:eastAsia="fr-FR"/>
              </w:rPr>
            </w:pPr>
            <w:r w:rsidRPr="00961C52">
              <w:rPr>
                <w:rFonts w:ascii="Times New Roman" w:eastAsia="Times New Roman" w:hAnsi="Times New Roman"/>
                <w:szCs w:val="24"/>
                <w:lang w:val="en-US" w:eastAsia="fr-FR"/>
              </w:rPr>
              <w:t>Part of the total variance</w:t>
            </w:r>
          </w:p>
        </w:tc>
      </w:tr>
      <w:tr w:rsidR="00C42372" w:rsidRPr="003658B6" w14:paraId="47DE3FE6" w14:textId="77777777" w:rsidTr="00984D86">
        <w:trPr>
          <w:trHeight w:val="255"/>
        </w:trPr>
        <w:tc>
          <w:tcPr>
            <w:tcW w:w="1236" w:type="dxa"/>
          </w:tcPr>
          <w:p w14:paraId="2306887C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H</w:t>
            </w:r>
          </w:p>
        </w:tc>
        <w:tc>
          <w:tcPr>
            <w:tcW w:w="784" w:type="dxa"/>
          </w:tcPr>
          <w:p w14:paraId="4CAEBD69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dxa"/>
            <w:noWrap/>
          </w:tcPr>
          <w:p w14:paraId="66A5401B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1.262</w:t>
            </w:r>
          </w:p>
        </w:tc>
        <w:tc>
          <w:tcPr>
            <w:tcW w:w="1523" w:type="dxa"/>
            <w:noWrap/>
          </w:tcPr>
          <w:p w14:paraId="6C993947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0.086</w:t>
            </w:r>
          </w:p>
        </w:tc>
        <w:tc>
          <w:tcPr>
            <w:tcW w:w="1070" w:type="dxa"/>
            <w:noWrap/>
          </w:tcPr>
          <w:p w14:paraId="4D374118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216.81</w:t>
            </w:r>
          </w:p>
        </w:tc>
        <w:tc>
          <w:tcPr>
            <w:tcW w:w="1232" w:type="dxa"/>
            <w:noWrap/>
          </w:tcPr>
          <w:p w14:paraId="5BC90990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1619" w:type="dxa"/>
          </w:tcPr>
          <w:p w14:paraId="4A80BCF8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48.50</w:t>
            </w:r>
            <w:r w:rsidRPr="003658B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42372" w:rsidRPr="003658B6" w14:paraId="11BB9900" w14:textId="77777777" w:rsidTr="00984D86">
        <w:trPr>
          <w:trHeight w:val="255"/>
        </w:trPr>
        <w:tc>
          <w:tcPr>
            <w:tcW w:w="1236" w:type="dxa"/>
          </w:tcPr>
          <w:p w14:paraId="3446312C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E</w:t>
            </w:r>
          </w:p>
        </w:tc>
        <w:tc>
          <w:tcPr>
            <w:tcW w:w="784" w:type="dxa"/>
          </w:tcPr>
          <w:p w14:paraId="03D93DEE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dxa"/>
            <w:noWrap/>
          </w:tcPr>
          <w:p w14:paraId="402977E0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0.323</w:t>
            </w:r>
          </w:p>
        </w:tc>
        <w:tc>
          <w:tcPr>
            <w:tcW w:w="1523" w:type="dxa"/>
            <w:noWrap/>
          </w:tcPr>
          <w:p w14:paraId="11E8B0DB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0.052</w:t>
            </w:r>
          </w:p>
        </w:tc>
        <w:tc>
          <w:tcPr>
            <w:tcW w:w="1070" w:type="dxa"/>
            <w:noWrap/>
          </w:tcPr>
          <w:p w14:paraId="26D58B4A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38.45</w:t>
            </w:r>
          </w:p>
        </w:tc>
        <w:tc>
          <w:tcPr>
            <w:tcW w:w="1232" w:type="dxa"/>
            <w:noWrap/>
          </w:tcPr>
          <w:p w14:paraId="694D6588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&lt; 0.0001</w:t>
            </w:r>
          </w:p>
        </w:tc>
        <w:tc>
          <w:tcPr>
            <w:tcW w:w="1619" w:type="dxa"/>
          </w:tcPr>
          <w:p w14:paraId="593CEF77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12.41</w:t>
            </w:r>
            <w:r w:rsidRPr="003658B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42372" w:rsidRPr="003658B6" w14:paraId="50064FC0" w14:textId="77777777" w:rsidTr="00984D86">
        <w:trPr>
          <w:trHeight w:val="255"/>
        </w:trPr>
        <w:tc>
          <w:tcPr>
            <w:tcW w:w="1236" w:type="dxa"/>
          </w:tcPr>
          <w:p w14:paraId="64E956A3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proofErr w:type="spellStart"/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Hx</w:t>
            </w:r>
            <w:r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E</w:t>
            </w:r>
            <w:proofErr w:type="spellEnd"/>
          </w:p>
        </w:tc>
        <w:tc>
          <w:tcPr>
            <w:tcW w:w="784" w:type="dxa"/>
          </w:tcPr>
          <w:p w14:paraId="66AD898C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dxa"/>
            <w:noWrap/>
          </w:tcPr>
          <w:p w14:paraId="2A82B400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23" w:type="dxa"/>
            <w:noWrap/>
          </w:tcPr>
          <w:p w14:paraId="73402C4E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0.006</w:t>
            </w:r>
          </w:p>
        </w:tc>
        <w:tc>
          <w:tcPr>
            <w:tcW w:w="1070" w:type="dxa"/>
            <w:noWrap/>
          </w:tcPr>
          <w:p w14:paraId="7FF09109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32" w:type="dxa"/>
            <w:noWrap/>
          </w:tcPr>
          <w:p w14:paraId="4AF90B44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19" w:type="dxa"/>
          </w:tcPr>
          <w:p w14:paraId="4F32196D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658B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42372" w:rsidRPr="003658B6" w14:paraId="4575DA69" w14:textId="77777777" w:rsidTr="00984D86">
        <w:trPr>
          <w:trHeight w:val="255"/>
        </w:trPr>
        <w:tc>
          <w:tcPr>
            <w:tcW w:w="1236" w:type="dxa"/>
            <w:noWrap/>
          </w:tcPr>
          <w:p w14:paraId="1D2E5AD5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proofErr w:type="gramStart"/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Pop</w:t>
            </w:r>
            <w:r>
              <w:rPr>
                <w:rFonts w:ascii="Times New Roman" w:eastAsia="Times New Roman" w:hAnsi="Times New Roman"/>
                <w:bCs/>
                <w:szCs w:val="24"/>
                <w:vertAlign w:val="subscript"/>
                <w:lang w:eastAsia="fr-FR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Cs w:val="24"/>
                <w:vertAlign w:val="subscript"/>
                <w:lang w:eastAsia="fr-FR"/>
              </w:rPr>
              <w:t>HxE</w:t>
            </w:r>
            <w:proofErr w:type="spellEnd"/>
            <w:r w:rsidRPr="003658B6">
              <w:rPr>
                <w:rFonts w:ascii="Times New Roman" w:eastAsia="Times New Roman" w:hAnsi="Times New Roman"/>
                <w:bCs/>
                <w:szCs w:val="24"/>
                <w:vertAlign w:val="subscript"/>
                <w:lang w:eastAsia="fr-FR"/>
              </w:rPr>
              <w:t>)</w:t>
            </w:r>
          </w:p>
        </w:tc>
        <w:tc>
          <w:tcPr>
            <w:tcW w:w="784" w:type="dxa"/>
          </w:tcPr>
          <w:p w14:paraId="165F6E4E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87" w:type="dxa"/>
            <w:noWrap/>
          </w:tcPr>
          <w:p w14:paraId="66176067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0.120</w:t>
            </w:r>
          </w:p>
        </w:tc>
        <w:tc>
          <w:tcPr>
            <w:tcW w:w="1523" w:type="dxa"/>
            <w:noWrap/>
          </w:tcPr>
          <w:p w14:paraId="29DA46DB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0.031</w:t>
            </w:r>
          </w:p>
        </w:tc>
        <w:tc>
          <w:tcPr>
            <w:tcW w:w="1070" w:type="dxa"/>
            <w:noWrap/>
          </w:tcPr>
          <w:p w14:paraId="35DD0791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15.09</w:t>
            </w:r>
          </w:p>
        </w:tc>
        <w:tc>
          <w:tcPr>
            <w:tcW w:w="1232" w:type="dxa"/>
            <w:noWrap/>
          </w:tcPr>
          <w:p w14:paraId="7B780E81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0.0001</w:t>
            </w:r>
          </w:p>
        </w:tc>
        <w:tc>
          <w:tcPr>
            <w:tcW w:w="1619" w:type="dxa"/>
          </w:tcPr>
          <w:p w14:paraId="47D159FB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4.59</w:t>
            </w:r>
            <w:r w:rsidRPr="003658B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42372" w:rsidRPr="003658B6" w14:paraId="6F077D61" w14:textId="77777777" w:rsidTr="00984D86">
        <w:trPr>
          <w:trHeight w:val="255"/>
        </w:trPr>
        <w:tc>
          <w:tcPr>
            <w:tcW w:w="1236" w:type="dxa"/>
            <w:noWrap/>
          </w:tcPr>
          <w:p w14:paraId="5548BB05" w14:textId="77777777" w:rsidR="00C42372" w:rsidRPr="003658B6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proofErr w:type="spellStart"/>
            <w:r w:rsidRPr="003658B6"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Error</w:t>
            </w:r>
            <w:proofErr w:type="spellEnd"/>
          </w:p>
        </w:tc>
        <w:tc>
          <w:tcPr>
            <w:tcW w:w="784" w:type="dxa"/>
          </w:tcPr>
          <w:p w14:paraId="623B9697" w14:textId="77777777" w:rsidR="00C42372" w:rsidRPr="003658B6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673</w:t>
            </w:r>
          </w:p>
        </w:tc>
        <w:tc>
          <w:tcPr>
            <w:tcW w:w="1187" w:type="dxa"/>
            <w:noWrap/>
          </w:tcPr>
          <w:p w14:paraId="230D0EA7" w14:textId="77777777" w:rsidR="00C42372" w:rsidRPr="003658B6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/>
                <w:szCs w:val="24"/>
              </w:rPr>
              <w:t>897</w:t>
            </w:r>
          </w:p>
        </w:tc>
        <w:tc>
          <w:tcPr>
            <w:tcW w:w="1523" w:type="dxa"/>
            <w:noWrap/>
          </w:tcPr>
          <w:p w14:paraId="46F7D071" w14:textId="77777777" w:rsidR="00C42372" w:rsidRPr="003658B6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0.051</w:t>
            </w:r>
          </w:p>
        </w:tc>
        <w:tc>
          <w:tcPr>
            <w:tcW w:w="1070" w:type="dxa"/>
            <w:noWrap/>
          </w:tcPr>
          <w:p w14:paraId="2C046C99" w14:textId="77777777" w:rsidR="00C42372" w:rsidRPr="003658B6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315.47</w:t>
            </w:r>
          </w:p>
        </w:tc>
        <w:tc>
          <w:tcPr>
            <w:tcW w:w="1232" w:type="dxa"/>
            <w:noWrap/>
          </w:tcPr>
          <w:p w14:paraId="40C6F27D" w14:textId="77777777" w:rsidR="00C42372" w:rsidRPr="003658B6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  <w:r w:rsidRPr="003658B6">
              <w:rPr>
                <w:rFonts w:ascii="Times New Roman" w:hAnsi="Times New Roman"/>
                <w:szCs w:val="24"/>
              </w:rPr>
              <w:t>&lt; 0.0001</w:t>
            </w:r>
          </w:p>
        </w:tc>
        <w:tc>
          <w:tcPr>
            <w:tcW w:w="1619" w:type="dxa"/>
          </w:tcPr>
          <w:p w14:paraId="2B517523" w14:textId="77777777" w:rsidR="00C42372" w:rsidRPr="003658B6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34.50</w:t>
            </w:r>
            <w:r w:rsidRPr="003658B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42372" w:rsidRPr="003658B6" w14:paraId="7AB9D1CA" w14:textId="77777777" w:rsidTr="00984D86">
        <w:trPr>
          <w:trHeight w:val="255"/>
        </w:trPr>
        <w:tc>
          <w:tcPr>
            <w:tcW w:w="1236" w:type="dxa"/>
            <w:noWrap/>
          </w:tcPr>
          <w:p w14:paraId="0D61DEE3" w14:textId="77777777" w:rsidR="00C42372" w:rsidRPr="00AD14C2" w:rsidRDefault="00C42372" w:rsidP="00984D86">
            <w:pPr>
              <w:rPr>
                <w:rFonts w:ascii="Times New Roman" w:eastAsia="Times New Roman" w:hAnsi="Times New Roman"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fr-FR"/>
              </w:rPr>
              <w:t>Total</w:t>
            </w:r>
          </w:p>
        </w:tc>
        <w:tc>
          <w:tcPr>
            <w:tcW w:w="784" w:type="dxa"/>
          </w:tcPr>
          <w:p w14:paraId="7EB06C9F" w14:textId="77777777" w:rsidR="00C42372" w:rsidRPr="00AD14C2" w:rsidRDefault="00C42372" w:rsidP="00984D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690</w:t>
            </w:r>
          </w:p>
        </w:tc>
        <w:tc>
          <w:tcPr>
            <w:tcW w:w="1187" w:type="dxa"/>
            <w:noWrap/>
          </w:tcPr>
          <w:p w14:paraId="51441EE0" w14:textId="77777777" w:rsidR="00C42372" w:rsidRPr="00AD14C2" w:rsidRDefault="00C42372" w:rsidP="00984D86">
            <w:pPr>
              <w:ind w:right="21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2.601</w:t>
            </w:r>
          </w:p>
        </w:tc>
        <w:tc>
          <w:tcPr>
            <w:tcW w:w="1523" w:type="dxa"/>
            <w:noWrap/>
          </w:tcPr>
          <w:p w14:paraId="3D614ED1" w14:textId="77777777" w:rsidR="00C42372" w:rsidRPr="00AD14C2" w:rsidRDefault="00C42372" w:rsidP="00984D86">
            <w:pPr>
              <w:ind w:right="30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0" w:type="dxa"/>
            <w:noWrap/>
          </w:tcPr>
          <w:p w14:paraId="591980CA" w14:textId="77777777" w:rsidR="00C42372" w:rsidRPr="00AD14C2" w:rsidRDefault="00C42372" w:rsidP="00984D86">
            <w:pPr>
              <w:ind w:right="11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  <w:noWrap/>
          </w:tcPr>
          <w:p w14:paraId="426EAF8E" w14:textId="77777777" w:rsidR="00C42372" w:rsidRPr="00AD14C2" w:rsidRDefault="00C42372" w:rsidP="00984D86">
            <w:pPr>
              <w:ind w:right="24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9" w:type="dxa"/>
          </w:tcPr>
          <w:p w14:paraId="2B51C330" w14:textId="77777777" w:rsidR="00C42372" w:rsidRPr="00AD14C2" w:rsidRDefault="00C42372" w:rsidP="00984D86">
            <w:pPr>
              <w:ind w:right="29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45B22BEB" w14:textId="77777777" w:rsidR="00C42372" w:rsidRDefault="00C42372" w:rsidP="003579C0">
      <w:pPr>
        <w:jc w:val="both"/>
        <w:rPr>
          <w:rFonts w:ascii="Times New Roman" w:hAnsi="Times New Roman"/>
          <w:szCs w:val="24"/>
          <w:lang w:val="en-US"/>
        </w:rPr>
      </w:pPr>
      <w:r w:rsidRPr="00961C52">
        <w:rPr>
          <w:rFonts w:ascii="Times New Roman" w:hAnsi="Times New Roman"/>
          <w:szCs w:val="24"/>
          <w:lang w:val="en-US"/>
        </w:rPr>
        <w:t>T</w:t>
      </w:r>
      <w:r w:rsidRPr="00961C52">
        <w:rPr>
          <w:rFonts w:ascii="Times New Roman" w:hAnsi="Times New Roman"/>
          <w:caps/>
          <w:szCs w:val="24"/>
          <w:lang w:val="en-US"/>
        </w:rPr>
        <w:t>a</w:t>
      </w:r>
      <w:r>
        <w:rPr>
          <w:rFonts w:ascii="Times New Roman" w:hAnsi="Times New Roman"/>
          <w:caps/>
          <w:szCs w:val="24"/>
          <w:lang w:val="en-US"/>
        </w:rPr>
        <w:t>ble</w:t>
      </w:r>
      <w:r w:rsidRPr="00961C52">
        <w:rPr>
          <w:rFonts w:ascii="Times New Roman" w:hAnsi="Times New Roman"/>
          <w:szCs w:val="24"/>
          <w:lang w:val="en-US"/>
        </w:rPr>
        <w:t xml:space="preserve"> </w:t>
      </w:r>
      <w:r w:rsidR="003579C0">
        <w:rPr>
          <w:rFonts w:ascii="Times New Roman" w:hAnsi="Times New Roman"/>
          <w:szCs w:val="24"/>
          <w:lang w:val="en-US"/>
        </w:rPr>
        <w:t>S</w:t>
      </w:r>
      <w:r w:rsidR="008E1EBB">
        <w:rPr>
          <w:rFonts w:ascii="Times New Roman" w:hAnsi="Times New Roman"/>
          <w:szCs w:val="24"/>
          <w:lang w:val="en-US"/>
        </w:rPr>
        <w:t>2</w:t>
      </w:r>
      <w:r w:rsidRPr="00961C52">
        <w:rPr>
          <w:rFonts w:ascii="Times New Roman" w:hAnsi="Times New Roman"/>
          <w:szCs w:val="24"/>
          <w:lang w:val="en-US"/>
        </w:rPr>
        <w:t xml:space="preserve">. Variance explained by </w:t>
      </w:r>
      <w:r>
        <w:rPr>
          <w:rFonts w:ascii="Times New Roman" w:hAnsi="Times New Roman"/>
          <w:szCs w:val="24"/>
          <w:lang w:val="en-US"/>
        </w:rPr>
        <w:t xml:space="preserve">historical </w:t>
      </w:r>
      <w:r w:rsidR="00AD57CA">
        <w:rPr>
          <w:rFonts w:ascii="Times New Roman" w:hAnsi="Times New Roman"/>
          <w:szCs w:val="24"/>
          <w:lang w:val="en-US"/>
        </w:rPr>
        <w:t>race</w:t>
      </w:r>
      <w:r w:rsidRPr="00961C52">
        <w:rPr>
          <w:rFonts w:ascii="Times New Roman" w:hAnsi="Times New Roman"/>
          <w:szCs w:val="24"/>
          <w:lang w:val="en-US"/>
        </w:rPr>
        <w:t xml:space="preserve"> and </w:t>
      </w:r>
      <w:r>
        <w:rPr>
          <w:rFonts w:ascii="Times New Roman" w:hAnsi="Times New Roman"/>
          <w:szCs w:val="24"/>
          <w:lang w:val="en-US"/>
        </w:rPr>
        <w:t>environment</w:t>
      </w:r>
      <w:r w:rsidRPr="00961C52">
        <w:rPr>
          <w:rFonts w:ascii="Times New Roman" w:hAnsi="Times New Roman"/>
          <w:szCs w:val="24"/>
          <w:lang w:val="en-US"/>
        </w:rPr>
        <w:t xml:space="preserve"> when </w:t>
      </w:r>
      <w:r>
        <w:rPr>
          <w:rFonts w:ascii="Times New Roman" w:hAnsi="Times New Roman"/>
          <w:szCs w:val="24"/>
          <w:lang w:val="en-US"/>
        </w:rPr>
        <w:t>smelt</w:t>
      </w:r>
      <w:r w:rsidRPr="00961C52">
        <w:rPr>
          <w:rFonts w:ascii="Times New Roman" w:hAnsi="Times New Roman"/>
          <w:szCs w:val="24"/>
          <w:lang w:val="en-US"/>
        </w:rPr>
        <w:t xml:space="preserve"> populations are subdivided in four groups in a DFA: Acadian and Atlantic </w:t>
      </w:r>
      <w:r>
        <w:rPr>
          <w:rFonts w:ascii="Times New Roman" w:hAnsi="Times New Roman"/>
          <w:szCs w:val="24"/>
          <w:lang w:val="en-US"/>
        </w:rPr>
        <w:t>lacustrine</w:t>
      </w:r>
      <w:r w:rsidRPr="00961C52">
        <w:rPr>
          <w:rFonts w:ascii="Times New Roman" w:hAnsi="Times New Roman"/>
          <w:szCs w:val="24"/>
          <w:lang w:val="en-US"/>
        </w:rPr>
        <w:t xml:space="preserve"> smelt and Acadian and </w:t>
      </w:r>
      <w:r w:rsidRPr="00961C52">
        <w:rPr>
          <w:rFonts w:ascii="Times New Roman" w:hAnsi="Times New Roman"/>
          <w:szCs w:val="24"/>
          <w:lang w:val="en-US"/>
        </w:rPr>
        <w:lastRenderedPageBreak/>
        <w:t xml:space="preserve">Atlantic </w:t>
      </w:r>
      <w:r>
        <w:rPr>
          <w:rFonts w:ascii="Times New Roman" w:hAnsi="Times New Roman"/>
          <w:szCs w:val="24"/>
          <w:lang w:val="en-US"/>
        </w:rPr>
        <w:t>estuarine</w:t>
      </w:r>
      <w:r w:rsidRPr="00961C52">
        <w:rPr>
          <w:rFonts w:ascii="Times New Roman" w:hAnsi="Times New Roman"/>
          <w:szCs w:val="24"/>
          <w:lang w:val="en-US"/>
        </w:rPr>
        <w:t xml:space="preserve"> smelt. The random ANOVA models (with crossed and nested factors) partitioned variance, on the two main canonical axes</w:t>
      </w:r>
      <w:r>
        <w:rPr>
          <w:rFonts w:ascii="Times New Roman" w:hAnsi="Times New Roman"/>
          <w:szCs w:val="24"/>
          <w:lang w:val="en-US"/>
        </w:rPr>
        <w:t xml:space="preserve"> (Axis 1 and Axis 2)</w:t>
      </w:r>
      <w:r w:rsidRPr="00961C52">
        <w:rPr>
          <w:rFonts w:ascii="Times New Roman" w:hAnsi="Times New Roman"/>
          <w:szCs w:val="24"/>
          <w:lang w:val="en-US"/>
        </w:rPr>
        <w:t xml:space="preserve"> of the DFA, among (1) historical </w:t>
      </w:r>
      <w:r w:rsidR="008E1EBB">
        <w:rPr>
          <w:rFonts w:ascii="Times New Roman" w:hAnsi="Times New Roman"/>
          <w:szCs w:val="24"/>
          <w:lang w:val="en-US"/>
        </w:rPr>
        <w:t>race</w:t>
      </w:r>
      <w:r w:rsidRPr="00961C52">
        <w:rPr>
          <w:rFonts w:ascii="Times New Roman" w:hAnsi="Times New Roman"/>
          <w:szCs w:val="24"/>
          <w:lang w:val="en-US"/>
        </w:rPr>
        <w:t xml:space="preserve"> “H”, (2) </w:t>
      </w:r>
      <w:r>
        <w:rPr>
          <w:rFonts w:ascii="Times New Roman" w:hAnsi="Times New Roman"/>
          <w:szCs w:val="24"/>
          <w:lang w:val="en-US"/>
        </w:rPr>
        <w:t>environment</w:t>
      </w:r>
      <w:r w:rsidRPr="00961C52">
        <w:rPr>
          <w:rFonts w:ascii="Times New Roman" w:hAnsi="Times New Roman"/>
          <w:szCs w:val="24"/>
          <w:lang w:val="en-US"/>
        </w:rPr>
        <w:t xml:space="preserve"> “</w:t>
      </w:r>
      <w:r>
        <w:rPr>
          <w:rFonts w:ascii="Times New Roman" w:hAnsi="Times New Roman"/>
          <w:szCs w:val="24"/>
          <w:lang w:val="en-US"/>
        </w:rPr>
        <w:t>E</w:t>
      </w:r>
      <w:r w:rsidRPr="00961C52">
        <w:rPr>
          <w:rFonts w:ascii="Times New Roman" w:hAnsi="Times New Roman"/>
          <w:szCs w:val="24"/>
          <w:lang w:val="en-US"/>
        </w:rPr>
        <w:t xml:space="preserve">”, (3) the interaction of historical </w:t>
      </w:r>
      <w:r w:rsidR="00AD57CA">
        <w:rPr>
          <w:rFonts w:ascii="Times New Roman" w:hAnsi="Times New Roman"/>
          <w:szCs w:val="24"/>
          <w:lang w:val="en-US"/>
        </w:rPr>
        <w:t>race</w:t>
      </w:r>
      <w:r w:rsidRPr="00961C52">
        <w:rPr>
          <w:rFonts w:ascii="Times New Roman" w:hAnsi="Times New Roman"/>
          <w:szCs w:val="24"/>
          <w:lang w:val="en-US"/>
        </w:rPr>
        <w:t xml:space="preserve"> and </w:t>
      </w:r>
      <w:r>
        <w:rPr>
          <w:rFonts w:ascii="Times New Roman" w:hAnsi="Times New Roman"/>
          <w:szCs w:val="24"/>
          <w:lang w:val="en-US"/>
        </w:rPr>
        <w:t>environment</w:t>
      </w:r>
      <w:r w:rsidRPr="00961C52">
        <w:rPr>
          <w:rFonts w:ascii="Times New Roman" w:hAnsi="Times New Roman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Cs w:val="24"/>
          <w:lang w:val="en-US"/>
        </w:rPr>
        <w:t>HxE</w:t>
      </w:r>
      <w:proofErr w:type="spellEnd"/>
      <w:proofErr w:type="gramStart"/>
      <w:r>
        <w:rPr>
          <w:rFonts w:ascii="Times New Roman" w:hAnsi="Times New Roman"/>
          <w:szCs w:val="24"/>
          <w:lang w:val="en-US"/>
        </w:rPr>
        <w:t>” ,</w:t>
      </w:r>
      <w:proofErr w:type="gramEnd"/>
      <w:r>
        <w:rPr>
          <w:rFonts w:ascii="Times New Roman" w:hAnsi="Times New Roman"/>
          <w:szCs w:val="24"/>
          <w:lang w:val="en-US"/>
        </w:rPr>
        <w:t xml:space="preserve"> (4) the remaining among-</w:t>
      </w:r>
      <w:r w:rsidRPr="00961C52">
        <w:rPr>
          <w:rFonts w:ascii="Times New Roman" w:hAnsi="Times New Roman"/>
          <w:szCs w:val="24"/>
          <w:lang w:val="en-US"/>
        </w:rPr>
        <w:t xml:space="preserve">populations variability nested within </w:t>
      </w:r>
      <w:r w:rsidR="00AD57CA">
        <w:rPr>
          <w:rFonts w:ascii="Times New Roman" w:hAnsi="Times New Roman"/>
          <w:szCs w:val="24"/>
          <w:lang w:val="en-US"/>
        </w:rPr>
        <w:t>race</w:t>
      </w:r>
      <w:r w:rsidRPr="00961C52">
        <w:rPr>
          <w:rFonts w:ascii="Times New Roman" w:hAnsi="Times New Roman"/>
          <w:szCs w:val="24"/>
          <w:lang w:val="en-US"/>
        </w:rPr>
        <w:t xml:space="preserve"> and </w:t>
      </w:r>
      <w:r>
        <w:rPr>
          <w:rFonts w:ascii="Times New Roman" w:hAnsi="Times New Roman"/>
          <w:szCs w:val="24"/>
          <w:lang w:val="en-US"/>
        </w:rPr>
        <w:t>environment</w:t>
      </w:r>
      <w:r w:rsidRPr="00961C52">
        <w:rPr>
          <w:rFonts w:ascii="Times New Roman" w:hAnsi="Times New Roman"/>
          <w:szCs w:val="24"/>
          <w:lang w:val="en-US"/>
        </w:rPr>
        <w:t xml:space="preserve"> “Pop</w:t>
      </w:r>
      <w:r>
        <w:rPr>
          <w:rFonts w:ascii="Times New Roman" w:hAnsi="Times New Roman"/>
          <w:szCs w:val="24"/>
          <w:vertAlign w:val="subscript"/>
          <w:lang w:val="en-US"/>
        </w:rPr>
        <w:t>(</w:t>
      </w:r>
      <w:proofErr w:type="spellStart"/>
      <w:r>
        <w:rPr>
          <w:rFonts w:ascii="Times New Roman" w:hAnsi="Times New Roman"/>
          <w:szCs w:val="24"/>
          <w:vertAlign w:val="subscript"/>
          <w:lang w:val="en-US"/>
        </w:rPr>
        <w:t>HxE</w:t>
      </w:r>
      <w:proofErr w:type="spellEnd"/>
      <w:r w:rsidRPr="00961C52">
        <w:rPr>
          <w:rFonts w:ascii="Times New Roman" w:hAnsi="Times New Roman"/>
          <w:szCs w:val="24"/>
          <w:vertAlign w:val="subscript"/>
          <w:lang w:val="en-US"/>
        </w:rPr>
        <w:t>)</w:t>
      </w:r>
      <w:r w:rsidRPr="00961C52">
        <w:rPr>
          <w:rFonts w:ascii="Times New Roman" w:hAnsi="Times New Roman"/>
          <w:szCs w:val="24"/>
          <w:lang w:val="en-US"/>
        </w:rPr>
        <w:t xml:space="preserve">”, and (5) the within population variability “Error”. </w:t>
      </w:r>
    </w:p>
    <w:p w14:paraId="5F4BA1D3" w14:textId="77777777" w:rsidR="00C42372" w:rsidRDefault="00C42372" w:rsidP="00C4237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8BF21E" w14:textId="77777777" w:rsidR="003579C0" w:rsidRDefault="00C42372" w:rsidP="003579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8D2101D" wp14:editId="7DC0D3EB">
            <wp:extent cx="3166332" cy="3162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99" cy="31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5A43" w14:textId="77777777" w:rsidR="003579C0" w:rsidRDefault="003579C0" w:rsidP="00357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21C3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1E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E21C3">
        <w:rPr>
          <w:rFonts w:ascii="Times New Roman" w:hAnsi="Times New Roman" w:cs="Times New Roman"/>
          <w:sz w:val="24"/>
          <w:szCs w:val="24"/>
          <w:lang w:val="en-US"/>
        </w:rPr>
        <w:t xml:space="preserve">. Discriminant function analysis significantly differentiating estuarine and lacustrine rainbow smelt derived from two historical </w:t>
      </w:r>
      <w:r w:rsidR="008E1EBB">
        <w:rPr>
          <w:rFonts w:ascii="Times New Roman" w:hAnsi="Times New Roman" w:cs="Times New Roman"/>
          <w:sz w:val="24"/>
          <w:szCs w:val="24"/>
          <w:lang w:val="en-US"/>
        </w:rPr>
        <w:t>races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Canonical axes have a relative discriminative power of 60.91% (axis 1; </w:t>
      </w:r>
      <w:r w:rsidRPr="004E21C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0.0001) and 26.04% (axis 2; </w:t>
      </w:r>
      <w:r w:rsidRPr="004E21C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 0.0001)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N= 691. Each point represents the mean group value. Horizontal and vertical bars show the 95% confidence intervals around the mean value. Circles denote groups of estuarine fish and triangles denote groups of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freshwater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fish. Filled symbols denote groups from the Atlantic historical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(clade B) and open symbols denote groups from the Acadian historical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(clade A). </w:t>
      </w:r>
    </w:p>
    <w:p w14:paraId="1F97B5CD" w14:textId="77777777" w:rsidR="00A81282" w:rsidRDefault="00A81282" w:rsidP="003579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263DCF" w14:textId="77777777" w:rsidR="00A81282" w:rsidRPr="00A81282" w:rsidRDefault="00A81282" w:rsidP="00C4237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1DFADA" w14:textId="77777777" w:rsidR="00C42372" w:rsidRDefault="00C42372" w:rsidP="00C4237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most important suite of correlated traits discriminated fish differing in historical </w:t>
      </w:r>
      <w:r w:rsidR="00AD57CA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(Fig. S2</w:t>
      </w:r>
      <w:r w:rsidR="00D019B5">
        <w:rPr>
          <w:rFonts w:ascii="Times New Roman" w:hAnsi="Times New Roman" w:cs="Times New Roman"/>
          <w:sz w:val="24"/>
          <w:szCs w:val="24"/>
          <w:lang w:val="en-US"/>
        </w:rPr>
        <w:t>-Axis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explaining 48.50% of the total variance associated with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</w:t>
      </w:r>
      <w:r w:rsidR="00D019B5">
        <w:rPr>
          <w:rFonts w:ascii="Times New Roman" w:hAnsi="Times New Roman" w:cs="Times New Roman"/>
          <w:sz w:val="24"/>
          <w:szCs w:val="24"/>
          <w:lang w:val="en-US"/>
        </w:rPr>
        <w:t xml:space="preserve">is discriminant </w:t>
      </w:r>
      <w:proofErr w:type="gramStart"/>
      <w:r w:rsidR="00D019B5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Environment explained a significant but less important part of the total variance of this axis (12.41%). There was no significant interaction between the two sources of 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 xml:space="preserve">variance (Table </w:t>
      </w:r>
      <w:r w:rsidR="00D019B5">
        <w:rPr>
          <w:rFonts w:ascii="Times New Roman" w:hAnsi="Times New Roman" w:cs="Times New Roman"/>
          <w:sz w:val="24"/>
          <w:szCs w:val="24"/>
          <w:lang w:val="en-US"/>
        </w:rPr>
        <w:t>S2-Axis 2</w:t>
      </w:r>
      <w:r w:rsidRPr="00272CC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412D5011" w14:textId="77777777" w:rsidR="00637F3D" w:rsidRDefault="00C42372" w:rsidP="00C4237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conclusion, there was a major effect of environment and historical </w:t>
      </w:r>
      <w:r w:rsidR="00AD57CA">
        <w:rPr>
          <w:rFonts w:ascii="Times New Roman" w:hAnsi="Times New Roman" w:cs="Times New Roman"/>
          <w:sz w:val="24"/>
          <w:szCs w:val="24"/>
          <w:lang w:val="en-GB"/>
        </w:rPr>
        <w:t>race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two effects however were manifest on two independent (orthogonal) discriminant functions involving different suites of correlated morphological traits.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absence of any significant interaction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AD57CA">
        <w:rPr>
          <w:rFonts w:ascii="Times New Roman" w:hAnsi="Times New Roman" w:cs="Times New Roman"/>
          <w:sz w:val="24"/>
          <w:szCs w:val="24"/>
          <w:lang w:val="en-GB"/>
        </w:rPr>
        <w:t>race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environmental setting on either of the two major axes indicates that the historical distinctiveness of the two </w:t>
      </w:r>
      <w:r w:rsidR="00AD57CA">
        <w:rPr>
          <w:rFonts w:ascii="Times New Roman" w:hAnsi="Times New Roman" w:cs="Times New Roman"/>
          <w:sz w:val="24"/>
          <w:szCs w:val="24"/>
          <w:lang w:val="en-GB"/>
        </w:rPr>
        <w:t>races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largely retained regardless of environmental setting. </w:t>
      </w:r>
      <w:r w:rsidRPr="00867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6571F9" w14:textId="77777777" w:rsidR="00C42372" w:rsidRPr="008F20BF" w:rsidRDefault="00C42372" w:rsidP="00085D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2372" w:rsidRPr="008F20B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7B5F" w14:textId="77777777" w:rsidR="003F005A" w:rsidRDefault="003F005A" w:rsidP="00C42372">
      <w:pPr>
        <w:spacing w:after="0" w:line="240" w:lineRule="auto"/>
      </w:pPr>
      <w:r>
        <w:separator/>
      </w:r>
    </w:p>
  </w:endnote>
  <w:endnote w:type="continuationSeparator" w:id="0">
    <w:p w14:paraId="1849F42D" w14:textId="77777777" w:rsidR="003F005A" w:rsidRDefault="003F005A" w:rsidP="00C4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85266"/>
      <w:docPartObj>
        <w:docPartGallery w:val="Page Numbers (Bottom of Page)"/>
        <w:docPartUnique/>
      </w:docPartObj>
    </w:sdtPr>
    <w:sdtEndPr/>
    <w:sdtContent>
      <w:p w14:paraId="0BD80A16" w14:textId="77777777" w:rsidR="00C42372" w:rsidRDefault="00C42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A8" w:rsidRPr="00E82EA8">
          <w:rPr>
            <w:noProof/>
            <w:lang w:val="fr-FR"/>
          </w:rPr>
          <w:t>1</w:t>
        </w:r>
        <w:r>
          <w:fldChar w:fldCharType="end"/>
        </w:r>
      </w:p>
    </w:sdtContent>
  </w:sdt>
  <w:p w14:paraId="7A07A06A" w14:textId="77777777" w:rsidR="00C42372" w:rsidRDefault="00C42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ED5B8" w14:textId="77777777" w:rsidR="003F005A" w:rsidRDefault="003F005A" w:rsidP="00C42372">
      <w:pPr>
        <w:spacing w:after="0" w:line="240" w:lineRule="auto"/>
      </w:pPr>
      <w:r>
        <w:separator/>
      </w:r>
    </w:p>
  </w:footnote>
  <w:footnote w:type="continuationSeparator" w:id="0">
    <w:p w14:paraId="3DC504E0" w14:textId="77777777" w:rsidR="003F005A" w:rsidRDefault="003F005A" w:rsidP="00C42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85DE3"/>
    <w:rsid w:val="00144ACE"/>
    <w:rsid w:val="002215E0"/>
    <w:rsid w:val="003579C0"/>
    <w:rsid w:val="003F005A"/>
    <w:rsid w:val="00474998"/>
    <w:rsid w:val="004A6AED"/>
    <w:rsid w:val="004E0867"/>
    <w:rsid w:val="005412A4"/>
    <w:rsid w:val="00637F3D"/>
    <w:rsid w:val="00697D89"/>
    <w:rsid w:val="00776DFA"/>
    <w:rsid w:val="0081653E"/>
    <w:rsid w:val="00825273"/>
    <w:rsid w:val="00827CEA"/>
    <w:rsid w:val="008E1EBB"/>
    <w:rsid w:val="008F20BF"/>
    <w:rsid w:val="009D7412"/>
    <w:rsid w:val="00A807C6"/>
    <w:rsid w:val="00A81282"/>
    <w:rsid w:val="00AD57CA"/>
    <w:rsid w:val="00BD0F54"/>
    <w:rsid w:val="00BD2A6F"/>
    <w:rsid w:val="00C42372"/>
    <w:rsid w:val="00C57489"/>
    <w:rsid w:val="00CB478F"/>
    <w:rsid w:val="00D019B5"/>
    <w:rsid w:val="00D324C7"/>
    <w:rsid w:val="00D43724"/>
    <w:rsid w:val="00DC5071"/>
    <w:rsid w:val="00E31B8B"/>
    <w:rsid w:val="00E82EA8"/>
    <w:rsid w:val="00F30DE1"/>
    <w:rsid w:val="00F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AA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3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72"/>
  </w:style>
  <w:style w:type="paragraph" w:styleId="Footer">
    <w:name w:val="footer"/>
    <w:basedOn w:val="Normal"/>
    <w:link w:val="FooterChar"/>
    <w:uiPriority w:val="99"/>
    <w:unhideWhenUsed/>
    <w:rsid w:val="00C423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72"/>
  </w:style>
  <w:style w:type="table" w:styleId="TableGrid">
    <w:name w:val="Table Grid"/>
    <w:basedOn w:val="TableNormal"/>
    <w:uiPriority w:val="59"/>
    <w:rsid w:val="00C42372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3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72"/>
  </w:style>
  <w:style w:type="paragraph" w:styleId="Footer">
    <w:name w:val="footer"/>
    <w:basedOn w:val="Normal"/>
    <w:link w:val="FooterChar"/>
    <w:uiPriority w:val="99"/>
    <w:unhideWhenUsed/>
    <w:rsid w:val="00C423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72"/>
  </w:style>
  <w:style w:type="table" w:styleId="TableGrid">
    <w:name w:val="Table Grid"/>
    <w:basedOn w:val="TableNormal"/>
    <w:uiPriority w:val="59"/>
    <w:rsid w:val="00C42372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FF1C8A-BFEB-004E-95B6-CD3B472B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J. Dodson</dc:creator>
  <cp:lastModifiedBy>Julian Dodson</cp:lastModifiedBy>
  <cp:revision>4</cp:revision>
  <dcterms:created xsi:type="dcterms:W3CDTF">2015-03-07T11:22:00Z</dcterms:created>
  <dcterms:modified xsi:type="dcterms:W3CDTF">2015-03-11T00:16:00Z</dcterms:modified>
</cp:coreProperties>
</file>