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27" w:rsidRPr="00D166E4" w:rsidRDefault="00CC3E27" w:rsidP="00D166E4">
      <w:pPr>
        <w:pStyle w:val="1"/>
        <w:spacing w:line="480" w:lineRule="auto"/>
        <w:rPr>
          <w:rFonts w:ascii="Times New Roman" w:hAnsi="Times New Roman" w:cs="Times New Roman"/>
          <w:sz w:val="32"/>
          <w:szCs w:val="32"/>
          <w:lang w:eastAsia="zh-CN"/>
        </w:rPr>
      </w:pPr>
      <w:bookmarkStart w:id="0" w:name="OLE_LINK138"/>
      <w:bookmarkStart w:id="1" w:name="OLE_LINK139"/>
      <w:r w:rsidRPr="00D166E4">
        <w:rPr>
          <w:rFonts w:ascii="Times New Roman" w:hAnsi="Times New Roman" w:cs="Times New Roman"/>
          <w:sz w:val="32"/>
          <w:szCs w:val="32"/>
          <w:lang w:eastAsia="zh-CN"/>
        </w:rPr>
        <w:t>Determination and v</w:t>
      </w:r>
      <w:r w:rsidRPr="00D166E4">
        <w:rPr>
          <w:rFonts w:ascii="Times New Roman" w:hAnsi="Times New Roman" w:cs="Times New Roman"/>
          <w:sz w:val="32"/>
          <w:szCs w:val="32"/>
        </w:rPr>
        <w:t xml:space="preserve">alidation of </w:t>
      </w:r>
      <w:r w:rsidRPr="00D166E4">
        <w:rPr>
          <w:rFonts w:ascii="Times New Roman" w:hAnsi="Times New Roman" w:cs="Times New Roman"/>
          <w:sz w:val="32"/>
          <w:szCs w:val="32"/>
          <w:lang w:eastAsia="zh-CN"/>
        </w:rPr>
        <w:t>a</w:t>
      </w:r>
      <w:r w:rsidRPr="00D166E4">
        <w:rPr>
          <w:rFonts w:ascii="Times New Roman" w:hAnsi="Times New Roman" w:cs="Times New Roman"/>
          <w:sz w:val="32"/>
          <w:szCs w:val="32"/>
        </w:rPr>
        <w:t xml:space="preserve">cute </w:t>
      </w:r>
      <w:r w:rsidRPr="00D166E4">
        <w:rPr>
          <w:rFonts w:ascii="Times New Roman" w:hAnsi="Times New Roman" w:cs="Times New Roman"/>
          <w:sz w:val="32"/>
          <w:szCs w:val="32"/>
          <w:lang w:eastAsia="zh-CN"/>
        </w:rPr>
        <w:t>m</w:t>
      </w:r>
      <w:r w:rsidRPr="00D166E4">
        <w:rPr>
          <w:rFonts w:ascii="Times New Roman" w:hAnsi="Times New Roman" w:cs="Times New Roman"/>
          <w:sz w:val="32"/>
          <w:szCs w:val="32"/>
        </w:rPr>
        <w:t xml:space="preserve">yocardial </w:t>
      </w:r>
      <w:r w:rsidRPr="00D166E4">
        <w:rPr>
          <w:rFonts w:ascii="Times New Roman" w:hAnsi="Times New Roman" w:cs="Times New Roman"/>
          <w:sz w:val="32"/>
          <w:szCs w:val="32"/>
          <w:lang w:eastAsia="zh-CN"/>
        </w:rPr>
        <w:t>i</w:t>
      </w:r>
      <w:r w:rsidRPr="00D166E4">
        <w:rPr>
          <w:rFonts w:ascii="Times New Roman" w:hAnsi="Times New Roman" w:cs="Times New Roman"/>
          <w:sz w:val="32"/>
          <w:szCs w:val="32"/>
        </w:rPr>
        <w:t xml:space="preserve">nfarction (AMI) </w:t>
      </w:r>
      <w:r w:rsidRPr="00D166E4">
        <w:rPr>
          <w:rFonts w:ascii="Times New Roman" w:hAnsi="Times New Roman" w:cs="Times New Roman"/>
          <w:sz w:val="32"/>
          <w:szCs w:val="32"/>
          <w:lang w:eastAsia="zh-CN"/>
        </w:rPr>
        <w:t>t</w:t>
      </w:r>
      <w:r w:rsidRPr="00D166E4">
        <w:rPr>
          <w:rFonts w:ascii="Times New Roman" w:hAnsi="Times New Roman" w:cs="Times New Roman"/>
          <w:sz w:val="32"/>
          <w:szCs w:val="32"/>
        </w:rPr>
        <w:t>ype (ST-segment elevation myocardial infarction or non ST-segment elevation myocardial infarction)</w:t>
      </w:r>
      <w:bookmarkStart w:id="2" w:name="_GoBack"/>
      <w:bookmarkEnd w:id="2"/>
    </w:p>
    <w:bookmarkEnd w:id="0"/>
    <w:bookmarkEnd w:id="1"/>
    <w:p w:rsidR="00CC3E27" w:rsidRPr="00CC3E27" w:rsidRDefault="00CC3E27" w:rsidP="00CC3E27">
      <w:pPr>
        <w:tabs>
          <w:tab w:val="left" w:pos="5743"/>
        </w:tabs>
        <w:spacing w:before="100" w:beforeAutospacing="1" w:after="100" w:afterAutospacing="1"/>
        <w:contextualSpacing/>
        <w:rPr>
          <w:rFonts w:ascii="Times New Roman" w:hAnsi="Times New Roman" w:cs="Times New Roman"/>
          <w:iCs/>
          <w:sz w:val="22"/>
          <w:szCs w:val="22"/>
          <w:lang w:eastAsia="zh-CN"/>
        </w:rPr>
      </w:pPr>
    </w:p>
    <w:p w:rsidR="00CC3E27" w:rsidRPr="00CC3E27" w:rsidRDefault="00CC3E27" w:rsidP="00CC3E27">
      <w:pPr>
        <w:adjustRightInd w:val="0"/>
        <w:spacing w:beforeLines="100" w:before="312" w:line="480" w:lineRule="auto"/>
        <w:ind w:firstLineChars="200" w:firstLine="440"/>
        <w:contextualSpacing/>
        <w:rPr>
          <w:rFonts w:ascii="Times New Roman" w:hAnsi="Times New Roman" w:cs="Times New Roman"/>
          <w:color w:val="000000" w:themeColor="text1"/>
          <w:sz w:val="22"/>
        </w:rPr>
      </w:pPr>
      <w:bookmarkStart w:id="3" w:name="OLE_LINK136"/>
      <w:bookmarkStart w:id="4" w:name="OLE_LINK137"/>
      <w:r w:rsidRPr="00CC3E27">
        <w:rPr>
          <w:rFonts w:ascii="Times New Roman" w:hAnsi="Times New Roman" w:cs="Times New Roman"/>
          <w:color w:val="000000" w:themeColor="text1"/>
          <w:sz w:val="22"/>
        </w:rPr>
        <w:t>AMI type (ST-segment elevation myocardial infarction or non ST-segment elevation myocardial infarction</w:t>
      </w:r>
      <w:r w:rsidRPr="00CC3E27">
        <w:rPr>
          <w:rFonts w:ascii="Times New Roman" w:hAnsi="Times New Roman" w:cs="Times New Roman"/>
          <w:color w:val="000000" w:themeColor="text1"/>
          <w:sz w:val="22"/>
          <w:lang w:eastAsia="zh-CN"/>
        </w:rPr>
        <w:t>, STEMI and NSTEMI</w:t>
      </w:r>
      <w:r w:rsidRPr="00CC3E27">
        <w:rPr>
          <w:rFonts w:ascii="Times New Roman" w:hAnsi="Times New Roman" w:cs="Times New Roman"/>
          <w:color w:val="000000" w:themeColor="text1"/>
          <w:sz w:val="22"/>
        </w:rPr>
        <w:t>) was determined by the combination of clinical discharge diagnosis terms and electrocardiogram results. If the local diagnosis was not definitive, cardiologists at the coordinating cente</w:t>
      </w:r>
      <w:r w:rsidR="0076681C">
        <w:rPr>
          <w:rFonts w:ascii="Times New Roman" w:hAnsi="Times New Roman" w:cs="Times New Roman" w:hint="eastAsia"/>
          <w:color w:val="000000" w:themeColor="text1"/>
          <w:sz w:val="22"/>
          <w:lang w:eastAsia="zh-CN"/>
        </w:rPr>
        <w:t>r</w:t>
      </w:r>
      <w:r w:rsidRPr="00CC3E27">
        <w:rPr>
          <w:rFonts w:ascii="Times New Roman" w:hAnsi="Times New Roman" w:cs="Times New Roman"/>
          <w:color w:val="000000" w:themeColor="text1"/>
          <w:sz w:val="22"/>
        </w:rPr>
        <w:t xml:space="preserve"> reviewed the medical record and electrocardiogram to determine. We considered left bundle branch block (LBBB) as a STEMI equivalent. </w:t>
      </w:r>
    </w:p>
    <w:bookmarkEnd w:id="3"/>
    <w:bookmarkEnd w:id="4"/>
    <w:p w:rsidR="00CC3E27" w:rsidRPr="00CC3E27" w:rsidRDefault="00CC3E27" w:rsidP="00CC3E27">
      <w:pPr>
        <w:adjustRightInd w:val="0"/>
        <w:spacing w:beforeLines="100" w:before="312" w:line="480" w:lineRule="auto"/>
        <w:ind w:firstLineChars="200" w:firstLine="440"/>
        <w:contextualSpacing/>
        <w:rPr>
          <w:rFonts w:ascii="Times New Roman" w:hAnsi="Times New Roman" w:cs="Times New Roman"/>
          <w:color w:val="000000" w:themeColor="text1"/>
          <w:sz w:val="22"/>
        </w:rPr>
      </w:pPr>
      <w:r w:rsidRPr="00CC3E27">
        <w:rPr>
          <w:rFonts w:ascii="Times New Roman" w:hAnsi="Times New Roman" w:cs="Times New Roman"/>
          <w:color w:val="000000" w:themeColor="text1"/>
          <w:sz w:val="22"/>
        </w:rPr>
        <w:t>A total of 300 medical records were randomly selected and examined by a senior cardiologist from the Yale Center for Outcomes Research and Evaluation. The review aimed at determining the concordance between the abstracted results of AMI types and the first available electrocardiogram (ECG) or ECG description in medical records. For the ECG review, we considered left bundle branch block (LBBB) as a STEMI equivalent. Our review showed that there was a 94.7% concordance in the selected cases. Details of the results are shown in the following table.</w:t>
      </w:r>
    </w:p>
    <w:p w:rsidR="00CC3E27" w:rsidRPr="00CC3E27" w:rsidRDefault="00CC3E27" w:rsidP="00CC3E27">
      <w:pPr>
        <w:adjustRightInd w:val="0"/>
        <w:spacing w:beforeLines="100" w:before="312" w:line="480" w:lineRule="auto"/>
        <w:ind w:firstLineChars="200" w:firstLine="440"/>
        <w:contextualSpacing/>
        <w:rPr>
          <w:rFonts w:ascii="Times New Roman" w:hAnsi="Times New Roman" w:cs="Times New Roman"/>
          <w:color w:val="000000" w:themeColor="text1"/>
          <w:sz w:val="22"/>
        </w:rPr>
      </w:pPr>
    </w:p>
    <w:tbl>
      <w:tblPr>
        <w:tblStyle w:val="a5"/>
        <w:tblW w:w="0" w:type="auto"/>
        <w:tblLook w:val="04A0" w:firstRow="1" w:lastRow="0" w:firstColumn="1" w:lastColumn="0" w:noHBand="0" w:noVBand="1"/>
      </w:tblPr>
      <w:tblGrid>
        <w:gridCol w:w="7054"/>
        <w:gridCol w:w="2126"/>
      </w:tblGrid>
      <w:tr w:rsidR="00CC3E27" w:rsidRPr="00CC3E27" w:rsidTr="00241FDE">
        <w:tc>
          <w:tcPr>
            <w:tcW w:w="7054" w:type="dxa"/>
          </w:tcPr>
          <w:p w:rsidR="00CC3E27" w:rsidRPr="00CC3E27" w:rsidRDefault="00CC3E27" w:rsidP="00241FDE">
            <w:pPr>
              <w:tabs>
                <w:tab w:val="left" w:pos="5743"/>
              </w:tabs>
              <w:spacing w:before="100" w:beforeAutospacing="1" w:after="100" w:afterAutospacing="1"/>
              <w:contextualSpacing/>
              <w:rPr>
                <w:rFonts w:ascii="Times New Roman" w:hAnsi="Times New Roman" w:cs="Times New Roman"/>
                <w:iCs/>
                <w:sz w:val="22"/>
                <w:lang w:eastAsia="zh-CN"/>
              </w:rPr>
            </w:pPr>
            <w:r w:rsidRPr="00CC3E27">
              <w:rPr>
                <w:rFonts w:ascii="Times New Roman" w:hAnsi="Times New Roman" w:cs="Times New Roman"/>
                <w:b/>
                <w:sz w:val="22"/>
                <w:szCs w:val="22"/>
              </w:rPr>
              <w:t xml:space="preserve">Review Results of AMI </w:t>
            </w:r>
            <w:r w:rsidRPr="00CC3E27">
              <w:rPr>
                <w:rFonts w:ascii="Times New Roman" w:hAnsi="Times New Roman" w:cs="Times New Roman"/>
                <w:b/>
                <w:sz w:val="22"/>
                <w:szCs w:val="22"/>
                <w:lang w:eastAsia="zh-CN"/>
              </w:rPr>
              <w:t>T</w:t>
            </w:r>
            <w:r w:rsidRPr="00CC3E27">
              <w:rPr>
                <w:rFonts w:ascii="Times New Roman" w:hAnsi="Times New Roman" w:cs="Times New Roman"/>
                <w:b/>
                <w:sz w:val="22"/>
                <w:szCs w:val="22"/>
              </w:rPr>
              <w:t>ypes</w:t>
            </w:r>
          </w:p>
        </w:tc>
        <w:tc>
          <w:tcPr>
            <w:tcW w:w="2126" w:type="dxa"/>
          </w:tcPr>
          <w:p w:rsidR="00CC3E27" w:rsidRPr="00CC3E27" w:rsidRDefault="00CC3E27" w:rsidP="00241FDE">
            <w:pPr>
              <w:tabs>
                <w:tab w:val="left" w:pos="5743"/>
              </w:tabs>
              <w:spacing w:before="100" w:beforeAutospacing="1" w:after="100" w:afterAutospacing="1"/>
              <w:contextualSpacing/>
              <w:jc w:val="center"/>
              <w:rPr>
                <w:rFonts w:ascii="Times New Roman" w:hAnsi="Times New Roman" w:cs="Times New Roman"/>
                <w:iCs/>
                <w:sz w:val="22"/>
                <w:lang w:eastAsia="zh-CN"/>
              </w:rPr>
            </w:pPr>
            <w:r w:rsidRPr="00CC3E27">
              <w:rPr>
                <w:rFonts w:ascii="Times New Roman" w:hAnsi="Times New Roman" w:cs="Times New Roman"/>
                <w:b/>
                <w:sz w:val="22"/>
                <w:szCs w:val="22"/>
              </w:rPr>
              <w:t>N (%)</w:t>
            </w:r>
          </w:p>
        </w:tc>
      </w:tr>
      <w:tr w:rsidR="00CC3E27" w:rsidRPr="00CC3E27" w:rsidTr="00241FDE">
        <w:tc>
          <w:tcPr>
            <w:tcW w:w="7054" w:type="dxa"/>
          </w:tcPr>
          <w:p w:rsidR="00CC3E27" w:rsidRPr="00CC3E27" w:rsidRDefault="00CC3E27" w:rsidP="00241FDE">
            <w:pPr>
              <w:tabs>
                <w:tab w:val="left" w:pos="5743"/>
              </w:tabs>
              <w:spacing w:before="100" w:beforeAutospacing="1" w:after="100" w:afterAutospacing="1"/>
              <w:contextualSpacing/>
              <w:rPr>
                <w:rFonts w:ascii="Times New Roman" w:hAnsi="Times New Roman" w:cs="Times New Roman"/>
                <w:iCs/>
                <w:sz w:val="22"/>
                <w:lang w:eastAsia="zh-CN"/>
              </w:rPr>
            </w:pPr>
            <w:r w:rsidRPr="00CC3E27">
              <w:rPr>
                <w:rFonts w:ascii="Times New Roman" w:hAnsi="Times New Roman" w:cs="Times New Roman"/>
                <w:sz w:val="22"/>
                <w:szCs w:val="22"/>
              </w:rPr>
              <w:t>Consistent</w:t>
            </w:r>
          </w:p>
        </w:tc>
        <w:tc>
          <w:tcPr>
            <w:tcW w:w="2126" w:type="dxa"/>
          </w:tcPr>
          <w:p w:rsidR="00CC3E27" w:rsidRPr="00CC3E27" w:rsidRDefault="00CC3E27" w:rsidP="00241FDE">
            <w:pPr>
              <w:tabs>
                <w:tab w:val="left" w:pos="5743"/>
              </w:tabs>
              <w:spacing w:before="100" w:beforeAutospacing="1" w:after="100" w:afterAutospacing="1"/>
              <w:contextualSpacing/>
              <w:jc w:val="center"/>
              <w:rPr>
                <w:rFonts w:ascii="Times New Roman" w:hAnsi="Times New Roman" w:cs="Times New Roman"/>
                <w:iCs/>
                <w:sz w:val="22"/>
                <w:lang w:eastAsia="zh-CN"/>
              </w:rPr>
            </w:pPr>
            <w:r w:rsidRPr="00CC3E27">
              <w:rPr>
                <w:rFonts w:ascii="Times New Roman" w:hAnsi="Times New Roman" w:cs="Times New Roman"/>
                <w:sz w:val="22"/>
                <w:szCs w:val="22"/>
              </w:rPr>
              <w:t>284 (94</w:t>
            </w:r>
            <w:r w:rsidRPr="00CC3E27">
              <w:rPr>
                <w:rFonts w:ascii="Times New Roman" w:hAnsi="Times New Roman" w:cs="Times New Roman"/>
                <w:sz w:val="22"/>
                <w:szCs w:val="22"/>
                <w:lang w:eastAsia="zh-CN"/>
              </w:rPr>
              <w:t>.</w:t>
            </w:r>
            <w:r w:rsidRPr="00CC3E27">
              <w:rPr>
                <w:rFonts w:ascii="Times New Roman" w:hAnsi="Times New Roman" w:cs="Times New Roman"/>
                <w:sz w:val="22"/>
                <w:szCs w:val="22"/>
              </w:rPr>
              <w:t>7%)</w:t>
            </w:r>
          </w:p>
        </w:tc>
      </w:tr>
      <w:tr w:rsidR="00CC3E27" w:rsidRPr="00CC3E27" w:rsidTr="00241FDE">
        <w:tc>
          <w:tcPr>
            <w:tcW w:w="7054" w:type="dxa"/>
          </w:tcPr>
          <w:p w:rsidR="00CC3E27" w:rsidRPr="00CC3E27" w:rsidRDefault="00CC3E27" w:rsidP="00241FDE">
            <w:pPr>
              <w:tabs>
                <w:tab w:val="left" w:pos="5743"/>
              </w:tabs>
              <w:spacing w:before="100" w:beforeAutospacing="1" w:after="100" w:afterAutospacing="1"/>
              <w:ind w:firstLineChars="64" w:firstLine="141"/>
              <w:contextualSpacing/>
              <w:rPr>
                <w:rFonts w:ascii="Times New Roman" w:hAnsi="Times New Roman" w:cs="Times New Roman"/>
                <w:iCs/>
                <w:sz w:val="22"/>
                <w:lang w:eastAsia="zh-CN"/>
              </w:rPr>
            </w:pPr>
            <w:r w:rsidRPr="00CC3E27">
              <w:rPr>
                <w:rFonts w:ascii="Times New Roman" w:eastAsia="微软雅黑" w:hAnsi="Times New Roman" w:cs="Times New Roman"/>
                <w:sz w:val="22"/>
                <w:szCs w:val="22"/>
              </w:rPr>
              <w:t>Consistent with ECG graph</w:t>
            </w:r>
          </w:p>
        </w:tc>
        <w:tc>
          <w:tcPr>
            <w:tcW w:w="2126" w:type="dxa"/>
          </w:tcPr>
          <w:p w:rsidR="00CC3E27" w:rsidRPr="00CC3E27" w:rsidRDefault="00CC3E27" w:rsidP="00241FDE">
            <w:pPr>
              <w:tabs>
                <w:tab w:val="left" w:pos="5743"/>
              </w:tabs>
              <w:spacing w:before="100" w:beforeAutospacing="1" w:after="100" w:afterAutospacing="1"/>
              <w:contextualSpacing/>
              <w:jc w:val="center"/>
              <w:rPr>
                <w:rFonts w:ascii="Times New Roman" w:hAnsi="Times New Roman" w:cs="Times New Roman"/>
                <w:iCs/>
                <w:sz w:val="22"/>
                <w:lang w:eastAsia="zh-CN"/>
              </w:rPr>
            </w:pPr>
            <w:r w:rsidRPr="00CC3E27">
              <w:rPr>
                <w:rFonts w:ascii="Times New Roman" w:hAnsi="Times New Roman" w:cs="Times New Roman"/>
                <w:sz w:val="22"/>
                <w:szCs w:val="22"/>
              </w:rPr>
              <w:t>246 (82</w:t>
            </w:r>
            <w:r w:rsidRPr="00CC3E27">
              <w:rPr>
                <w:rFonts w:ascii="Times New Roman" w:hAnsi="Times New Roman" w:cs="Times New Roman"/>
                <w:sz w:val="22"/>
                <w:szCs w:val="22"/>
                <w:lang w:eastAsia="zh-CN"/>
              </w:rPr>
              <w:t>.</w:t>
            </w:r>
            <w:r w:rsidRPr="00CC3E27">
              <w:rPr>
                <w:rFonts w:ascii="Times New Roman" w:hAnsi="Times New Roman" w:cs="Times New Roman"/>
                <w:sz w:val="22"/>
                <w:szCs w:val="22"/>
              </w:rPr>
              <w:t>0%)</w:t>
            </w:r>
          </w:p>
        </w:tc>
      </w:tr>
      <w:tr w:rsidR="00CC3E27" w:rsidRPr="00CC3E27" w:rsidTr="00241FDE">
        <w:tc>
          <w:tcPr>
            <w:tcW w:w="7054" w:type="dxa"/>
          </w:tcPr>
          <w:p w:rsidR="00CC3E27" w:rsidRPr="00CC3E27" w:rsidRDefault="00CC3E27" w:rsidP="00241FDE">
            <w:pPr>
              <w:tabs>
                <w:tab w:val="left" w:pos="5743"/>
              </w:tabs>
              <w:spacing w:before="100" w:beforeAutospacing="1" w:after="100" w:afterAutospacing="1"/>
              <w:ind w:firstLineChars="64" w:firstLine="141"/>
              <w:contextualSpacing/>
              <w:rPr>
                <w:rFonts w:ascii="Times New Roman" w:eastAsia="微软雅黑" w:hAnsi="Times New Roman" w:cs="Times New Roman"/>
                <w:sz w:val="22"/>
              </w:rPr>
            </w:pPr>
            <w:r w:rsidRPr="00CC3E27">
              <w:rPr>
                <w:rFonts w:ascii="Times New Roman" w:eastAsia="微软雅黑" w:hAnsi="Times New Roman" w:cs="Times New Roman"/>
                <w:sz w:val="22"/>
                <w:szCs w:val="22"/>
              </w:rPr>
              <w:t>Consistent with ECG description in records</w:t>
            </w:r>
          </w:p>
        </w:tc>
        <w:tc>
          <w:tcPr>
            <w:tcW w:w="2126" w:type="dxa"/>
          </w:tcPr>
          <w:p w:rsidR="00CC3E27" w:rsidRPr="00CC3E27" w:rsidRDefault="00CC3E27" w:rsidP="00241FDE">
            <w:pPr>
              <w:tabs>
                <w:tab w:val="left" w:pos="5743"/>
              </w:tabs>
              <w:spacing w:before="100" w:beforeAutospacing="1" w:after="100" w:afterAutospacing="1"/>
              <w:contextualSpacing/>
              <w:jc w:val="center"/>
              <w:rPr>
                <w:rFonts w:ascii="Times New Roman" w:hAnsi="Times New Roman" w:cs="Times New Roman"/>
                <w:iCs/>
                <w:sz w:val="22"/>
                <w:lang w:eastAsia="zh-CN"/>
              </w:rPr>
            </w:pPr>
            <w:r w:rsidRPr="00CC3E27">
              <w:rPr>
                <w:rFonts w:ascii="Times New Roman" w:hAnsi="Times New Roman" w:cs="Times New Roman"/>
                <w:sz w:val="22"/>
                <w:szCs w:val="22"/>
              </w:rPr>
              <w:t>38 (12</w:t>
            </w:r>
            <w:r w:rsidRPr="00CC3E27">
              <w:rPr>
                <w:rFonts w:ascii="Times New Roman" w:hAnsi="Times New Roman" w:cs="Times New Roman"/>
                <w:sz w:val="22"/>
                <w:szCs w:val="22"/>
                <w:lang w:eastAsia="zh-CN"/>
              </w:rPr>
              <w:t>.</w:t>
            </w:r>
            <w:r w:rsidRPr="00CC3E27">
              <w:rPr>
                <w:rFonts w:ascii="Times New Roman" w:hAnsi="Times New Roman" w:cs="Times New Roman"/>
                <w:sz w:val="22"/>
                <w:szCs w:val="22"/>
              </w:rPr>
              <w:t>7%)</w:t>
            </w:r>
          </w:p>
        </w:tc>
      </w:tr>
      <w:tr w:rsidR="00CC3E27" w:rsidRPr="00CC3E27" w:rsidTr="00241FDE">
        <w:tc>
          <w:tcPr>
            <w:tcW w:w="7054" w:type="dxa"/>
          </w:tcPr>
          <w:p w:rsidR="00CC3E27" w:rsidRPr="00CC3E27" w:rsidRDefault="00CC3E27" w:rsidP="00241FDE">
            <w:pPr>
              <w:tabs>
                <w:tab w:val="left" w:pos="5743"/>
              </w:tabs>
              <w:spacing w:before="100" w:beforeAutospacing="1" w:after="100" w:afterAutospacing="1"/>
              <w:contextualSpacing/>
              <w:rPr>
                <w:rFonts w:ascii="Times New Roman" w:hAnsi="Times New Roman" w:cs="Times New Roman"/>
                <w:iCs/>
                <w:sz w:val="22"/>
                <w:lang w:eastAsia="zh-CN"/>
              </w:rPr>
            </w:pPr>
            <w:r w:rsidRPr="00CC3E27">
              <w:rPr>
                <w:rFonts w:ascii="Times New Roman" w:hAnsi="Times New Roman" w:cs="Times New Roman"/>
                <w:sz w:val="22"/>
                <w:szCs w:val="22"/>
              </w:rPr>
              <w:t>Inconsistent</w:t>
            </w:r>
          </w:p>
        </w:tc>
        <w:tc>
          <w:tcPr>
            <w:tcW w:w="2126" w:type="dxa"/>
          </w:tcPr>
          <w:p w:rsidR="00CC3E27" w:rsidRPr="00CC3E27" w:rsidRDefault="00CC3E27" w:rsidP="00241FDE">
            <w:pPr>
              <w:tabs>
                <w:tab w:val="left" w:pos="5743"/>
              </w:tabs>
              <w:spacing w:before="100" w:beforeAutospacing="1" w:after="100" w:afterAutospacing="1"/>
              <w:contextualSpacing/>
              <w:jc w:val="center"/>
              <w:rPr>
                <w:rFonts w:ascii="Times New Roman" w:hAnsi="Times New Roman" w:cs="Times New Roman"/>
                <w:iCs/>
                <w:sz w:val="22"/>
                <w:lang w:eastAsia="zh-CN"/>
              </w:rPr>
            </w:pPr>
            <w:r w:rsidRPr="00CC3E27">
              <w:rPr>
                <w:rFonts w:ascii="Times New Roman" w:hAnsi="Times New Roman" w:cs="Times New Roman"/>
                <w:sz w:val="22"/>
                <w:szCs w:val="22"/>
              </w:rPr>
              <w:t>12 (4</w:t>
            </w:r>
            <w:r w:rsidRPr="00CC3E27">
              <w:rPr>
                <w:rFonts w:ascii="Times New Roman" w:hAnsi="Times New Roman" w:cs="Times New Roman"/>
                <w:sz w:val="22"/>
                <w:szCs w:val="22"/>
                <w:lang w:eastAsia="zh-CN"/>
              </w:rPr>
              <w:t>.</w:t>
            </w:r>
            <w:r w:rsidRPr="00CC3E27">
              <w:rPr>
                <w:rFonts w:ascii="Times New Roman" w:hAnsi="Times New Roman" w:cs="Times New Roman"/>
                <w:sz w:val="22"/>
                <w:szCs w:val="22"/>
              </w:rPr>
              <w:t>0%)</w:t>
            </w:r>
          </w:p>
        </w:tc>
      </w:tr>
      <w:tr w:rsidR="00CC3E27" w:rsidRPr="00CC3E27" w:rsidTr="00241FDE">
        <w:tc>
          <w:tcPr>
            <w:tcW w:w="7054" w:type="dxa"/>
          </w:tcPr>
          <w:p w:rsidR="00CC3E27" w:rsidRPr="00CC3E27" w:rsidRDefault="00CC3E27" w:rsidP="00241FDE">
            <w:pPr>
              <w:tabs>
                <w:tab w:val="left" w:pos="5743"/>
              </w:tabs>
              <w:spacing w:before="100" w:beforeAutospacing="1" w:after="100" w:afterAutospacing="1"/>
              <w:contextualSpacing/>
              <w:rPr>
                <w:rFonts w:ascii="Times New Roman" w:hAnsi="Times New Roman" w:cs="Times New Roman"/>
                <w:iCs/>
                <w:sz w:val="22"/>
                <w:lang w:eastAsia="zh-CN"/>
              </w:rPr>
            </w:pPr>
            <w:r w:rsidRPr="00CC3E27">
              <w:rPr>
                <w:rFonts w:ascii="Times New Roman" w:hAnsi="Times New Roman" w:cs="Times New Roman"/>
                <w:sz w:val="22"/>
                <w:szCs w:val="22"/>
              </w:rPr>
              <w:t xml:space="preserve">Unavailable </w:t>
            </w:r>
            <w:r w:rsidRPr="00CC3E27">
              <w:rPr>
                <w:rFonts w:ascii="Times New Roman" w:eastAsia="微软雅黑" w:hAnsi="Times New Roman" w:cs="Times New Roman"/>
                <w:sz w:val="22"/>
                <w:szCs w:val="22"/>
              </w:rPr>
              <w:t xml:space="preserve">(either ECG graph or ECG description in </w:t>
            </w:r>
            <w:r w:rsidRPr="00CC3E27">
              <w:rPr>
                <w:rFonts w:ascii="Times New Roman" w:hAnsi="Times New Roman" w:cs="Times New Roman"/>
                <w:sz w:val="22"/>
                <w:szCs w:val="22"/>
                <w:lang w:eastAsia="zh-CN"/>
              </w:rPr>
              <w:t xml:space="preserve">medical </w:t>
            </w:r>
            <w:r w:rsidRPr="00CC3E27">
              <w:rPr>
                <w:rFonts w:ascii="Times New Roman" w:eastAsia="微软雅黑" w:hAnsi="Times New Roman" w:cs="Times New Roman"/>
                <w:sz w:val="22"/>
                <w:szCs w:val="22"/>
              </w:rPr>
              <w:t>records)</w:t>
            </w:r>
          </w:p>
        </w:tc>
        <w:tc>
          <w:tcPr>
            <w:tcW w:w="2126" w:type="dxa"/>
          </w:tcPr>
          <w:p w:rsidR="00CC3E27" w:rsidRPr="00CC3E27" w:rsidRDefault="00CC3E27" w:rsidP="00241FDE">
            <w:pPr>
              <w:tabs>
                <w:tab w:val="left" w:pos="5743"/>
              </w:tabs>
              <w:spacing w:before="100" w:beforeAutospacing="1" w:after="100" w:afterAutospacing="1"/>
              <w:contextualSpacing/>
              <w:jc w:val="center"/>
              <w:rPr>
                <w:rFonts w:ascii="Times New Roman" w:hAnsi="Times New Roman" w:cs="Times New Roman"/>
                <w:iCs/>
                <w:sz w:val="22"/>
                <w:lang w:eastAsia="zh-CN"/>
              </w:rPr>
            </w:pPr>
            <w:r w:rsidRPr="00CC3E27">
              <w:rPr>
                <w:rFonts w:ascii="Times New Roman" w:hAnsi="Times New Roman" w:cs="Times New Roman"/>
                <w:sz w:val="22"/>
              </w:rPr>
              <w:t>4 (1</w:t>
            </w:r>
            <w:r w:rsidRPr="00CC3E27">
              <w:rPr>
                <w:rFonts w:ascii="Times New Roman" w:hAnsi="Times New Roman" w:cs="Times New Roman"/>
                <w:sz w:val="22"/>
                <w:lang w:eastAsia="zh-CN"/>
              </w:rPr>
              <w:t>.</w:t>
            </w:r>
            <w:r w:rsidRPr="00CC3E27">
              <w:rPr>
                <w:rFonts w:ascii="Times New Roman" w:hAnsi="Times New Roman" w:cs="Times New Roman"/>
                <w:sz w:val="22"/>
              </w:rPr>
              <w:t>3 %)</w:t>
            </w:r>
          </w:p>
        </w:tc>
      </w:tr>
    </w:tbl>
    <w:p w:rsidR="00CC3E27" w:rsidRPr="00CC3E27" w:rsidRDefault="00CC3E27" w:rsidP="00CC3E27">
      <w:pPr>
        <w:tabs>
          <w:tab w:val="left" w:pos="5743"/>
        </w:tabs>
        <w:spacing w:before="100" w:beforeAutospacing="1" w:after="100" w:afterAutospacing="1"/>
        <w:contextualSpacing/>
        <w:rPr>
          <w:rFonts w:ascii="Times New Roman" w:hAnsi="Times New Roman" w:cs="Times New Roman"/>
          <w:iCs/>
          <w:sz w:val="22"/>
          <w:szCs w:val="22"/>
          <w:lang w:eastAsia="zh-CN"/>
        </w:rPr>
      </w:pPr>
    </w:p>
    <w:p w:rsidR="00CC3E27" w:rsidRPr="00CC3E27" w:rsidRDefault="00CC3E27" w:rsidP="00CC3E27">
      <w:pPr>
        <w:spacing w:line="480" w:lineRule="auto"/>
        <w:rPr>
          <w:rFonts w:ascii="Times New Roman" w:hAnsi="Times New Roman" w:cs="Times New Roman"/>
          <w:lang w:eastAsia="zh-CN"/>
        </w:rPr>
      </w:pPr>
    </w:p>
    <w:p w:rsidR="0000142E" w:rsidRPr="00CC3E27" w:rsidRDefault="0000142E">
      <w:pPr>
        <w:rPr>
          <w:rFonts w:ascii="Times New Roman" w:hAnsi="Times New Roman" w:cs="Times New Roman"/>
        </w:rPr>
      </w:pPr>
    </w:p>
    <w:sectPr w:rsidR="0000142E" w:rsidRPr="00CC3E27" w:rsidSect="00F14300">
      <w:footerReference w:type="default" r:id="rId7"/>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E27" w:rsidRDefault="00CC3E27" w:rsidP="00CC3E27">
      <w:r>
        <w:separator/>
      </w:r>
    </w:p>
  </w:endnote>
  <w:endnote w:type="continuationSeparator" w:id="0">
    <w:p w:rsidR="00CC3E27" w:rsidRDefault="00CC3E27" w:rsidP="00CC3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911187"/>
      <w:docPartObj>
        <w:docPartGallery w:val="Page Numbers (Bottom of Page)"/>
        <w:docPartUnique/>
      </w:docPartObj>
    </w:sdtPr>
    <w:sdtEndPr/>
    <w:sdtContent>
      <w:p w:rsidR="00855263" w:rsidRDefault="0076681C">
        <w:pPr>
          <w:pStyle w:val="a4"/>
          <w:jc w:val="right"/>
        </w:pPr>
        <w:r>
          <w:fldChar w:fldCharType="begin"/>
        </w:r>
        <w:r>
          <w:instrText xml:space="preserve"> PAGE   \* MERGEFORMAT </w:instrText>
        </w:r>
        <w:r>
          <w:fldChar w:fldCharType="separate"/>
        </w:r>
        <w:r w:rsidR="00D166E4" w:rsidRPr="00D166E4">
          <w:rPr>
            <w:noProof/>
            <w:lang w:val="zh-CN"/>
          </w:rPr>
          <w:t>1</w:t>
        </w:r>
        <w:r>
          <w:rPr>
            <w:noProof/>
            <w:lang w:val="zh-CN"/>
          </w:rPr>
          <w:fldChar w:fldCharType="end"/>
        </w:r>
      </w:p>
    </w:sdtContent>
  </w:sdt>
  <w:p w:rsidR="00855263" w:rsidRDefault="00D166E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E27" w:rsidRDefault="00CC3E27" w:rsidP="00CC3E27">
      <w:r>
        <w:separator/>
      </w:r>
    </w:p>
  </w:footnote>
  <w:footnote w:type="continuationSeparator" w:id="0">
    <w:p w:rsidR="00CC3E27" w:rsidRDefault="00CC3E27" w:rsidP="00CC3E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9B3"/>
    <w:rsid w:val="0000142E"/>
    <w:rsid w:val="0076681C"/>
    <w:rsid w:val="00BE19B3"/>
    <w:rsid w:val="00CC3E27"/>
    <w:rsid w:val="00D166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27"/>
    <w:rPr>
      <w:kern w:val="0"/>
      <w:sz w:val="24"/>
      <w:szCs w:val="24"/>
      <w:lang w:eastAsia="ja-JP"/>
    </w:rPr>
  </w:style>
  <w:style w:type="paragraph" w:styleId="1">
    <w:name w:val="heading 1"/>
    <w:basedOn w:val="a"/>
    <w:next w:val="a"/>
    <w:link w:val="1Char"/>
    <w:uiPriority w:val="9"/>
    <w:qFormat/>
    <w:rsid w:val="00D166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E27"/>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Char">
    <w:name w:val="页眉 Char"/>
    <w:basedOn w:val="a0"/>
    <w:link w:val="a3"/>
    <w:uiPriority w:val="99"/>
    <w:rsid w:val="00CC3E27"/>
    <w:rPr>
      <w:sz w:val="18"/>
      <w:szCs w:val="18"/>
    </w:rPr>
  </w:style>
  <w:style w:type="paragraph" w:styleId="a4">
    <w:name w:val="footer"/>
    <w:basedOn w:val="a"/>
    <w:link w:val="Char0"/>
    <w:uiPriority w:val="99"/>
    <w:unhideWhenUsed/>
    <w:rsid w:val="00CC3E27"/>
    <w:pPr>
      <w:widowControl w:val="0"/>
      <w:tabs>
        <w:tab w:val="center" w:pos="4153"/>
        <w:tab w:val="right" w:pos="8306"/>
      </w:tabs>
      <w:snapToGrid w:val="0"/>
    </w:pPr>
    <w:rPr>
      <w:kern w:val="2"/>
      <w:sz w:val="18"/>
      <w:szCs w:val="18"/>
      <w:lang w:eastAsia="zh-CN"/>
    </w:rPr>
  </w:style>
  <w:style w:type="character" w:customStyle="1" w:styleId="Char0">
    <w:name w:val="页脚 Char"/>
    <w:basedOn w:val="a0"/>
    <w:link w:val="a4"/>
    <w:uiPriority w:val="99"/>
    <w:rsid w:val="00CC3E27"/>
    <w:rPr>
      <w:sz w:val="18"/>
      <w:szCs w:val="18"/>
    </w:rPr>
  </w:style>
  <w:style w:type="table" w:styleId="a5">
    <w:name w:val="Table Grid"/>
    <w:basedOn w:val="a1"/>
    <w:uiPriority w:val="59"/>
    <w:rsid w:val="00CC3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166E4"/>
    <w:rPr>
      <w:b/>
      <w:bCs/>
      <w:kern w:val="44"/>
      <w:sz w:val="44"/>
      <w:szCs w:val="4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E27"/>
    <w:rPr>
      <w:kern w:val="0"/>
      <w:sz w:val="24"/>
      <w:szCs w:val="24"/>
      <w:lang w:eastAsia="ja-JP"/>
    </w:rPr>
  </w:style>
  <w:style w:type="paragraph" w:styleId="1">
    <w:name w:val="heading 1"/>
    <w:basedOn w:val="a"/>
    <w:next w:val="a"/>
    <w:link w:val="1Char"/>
    <w:uiPriority w:val="9"/>
    <w:qFormat/>
    <w:rsid w:val="00D166E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C3E27"/>
    <w:pPr>
      <w:widowControl w:val="0"/>
      <w:pBdr>
        <w:bottom w:val="single" w:sz="6" w:space="1" w:color="auto"/>
      </w:pBdr>
      <w:tabs>
        <w:tab w:val="center" w:pos="4153"/>
        <w:tab w:val="right" w:pos="8306"/>
      </w:tabs>
      <w:snapToGrid w:val="0"/>
      <w:jc w:val="center"/>
    </w:pPr>
    <w:rPr>
      <w:kern w:val="2"/>
      <w:sz w:val="18"/>
      <w:szCs w:val="18"/>
      <w:lang w:eastAsia="zh-CN"/>
    </w:rPr>
  </w:style>
  <w:style w:type="character" w:customStyle="1" w:styleId="Char">
    <w:name w:val="页眉 Char"/>
    <w:basedOn w:val="a0"/>
    <w:link w:val="a3"/>
    <w:uiPriority w:val="99"/>
    <w:rsid w:val="00CC3E27"/>
    <w:rPr>
      <w:sz w:val="18"/>
      <w:szCs w:val="18"/>
    </w:rPr>
  </w:style>
  <w:style w:type="paragraph" w:styleId="a4">
    <w:name w:val="footer"/>
    <w:basedOn w:val="a"/>
    <w:link w:val="Char0"/>
    <w:uiPriority w:val="99"/>
    <w:unhideWhenUsed/>
    <w:rsid w:val="00CC3E27"/>
    <w:pPr>
      <w:widowControl w:val="0"/>
      <w:tabs>
        <w:tab w:val="center" w:pos="4153"/>
        <w:tab w:val="right" w:pos="8306"/>
      </w:tabs>
      <w:snapToGrid w:val="0"/>
    </w:pPr>
    <w:rPr>
      <w:kern w:val="2"/>
      <w:sz w:val="18"/>
      <w:szCs w:val="18"/>
      <w:lang w:eastAsia="zh-CN"/>
    </w:rPr>
  </w:style>
  <w:style w:type="character" w:customStyle="1" w:styleId="Char0">
    <w:name w:val="页脚 Char"/>
    <w:basedOn w:val="a0"/>
    <w:link w:val="a4"/>
    <w:uiPriority w:val="99"/>
    <w:rsid w:val="00CC3E27"/>
    <w:rPr>
      <w:sz w:val="18"/>
      <w:szCs w:val="18"/>
    </w:rPr>
  </w:style>
  <w:style w:type="table" w:styleId="a5">
    <w:name w:val="Table Grid"/>
    <w:basedOn w:val="a1"/>
    <w:uiPriority w:val="59"/>
    <w:rsid w:val="00CC3E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rsid w:val="00D166E4"/>
    <w:rPr>
      <w:b/>
      <w:bCs/>
      <w:kern w:val="44"/>
      <w:sz w:val="44"/>
      <w:szCs w:val="4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dc:creator>
  <cp:keywords/>
  <dc:description/>
  <cp:lastModifiedBy>Juan</cp:lastModifiedBy>
  <cp:revision>3</cp:revision>
  <dcterms:created xsi:type="dcterms:W3CDTF">2015-01-24T09:36:00Z</dcterms:created>
  <dcterms:modified xsi:type="dcterms:W3CDTF">2015-01-24T13:01:00Z</dcterms:modified>
</cp:coreProperties>
</file>