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B8" w:rsidRDefault="00F24BE5" w:rsidP="00AA3395">
      <w:pPr>
        <w:pStyle w:val="NoSpacing"/>
        <w:contextualSpacing/>
        <w:rPr>
          <w:rFonts w:ascii="Times New Roman" w:hAnsi="Times New Roman" w:cs="Times New Roman"/>
          <w:b/>
          <w:sz w:val="24"/>
          <w:szCs w:val="24"/>
        </w:rPr>
      </w:pPr>
      <w:r w:rsidRPr="00F24BE5">
        <w:rPr>
          <w:rFonts w:ascii="Times New Roman" w:hAnsi="Times New Roman" w:cs="Times New Roman"/>
          <w:b/>
          <w:sz w:val="24"/>
          <w:szCs w:val="24"/>
        </w:rPr>
        <w:t xml:space="preserve">Supporting Information </w:t>
      </w:r>
      <w:r w:rsidR="00462CE1">
        <w:rPr>
          <w:rFonts w:ascii="Times New Roman" w:hAnsi="Times New Roman" w:cs="Times New Roman"/>
          <w:b/>
          <w:sz w:val="24"/>
          <w:szCs w:val="24"/>
        </w:rPr>
        <w:t xml:space="preserve">File </w:t>
      </w:r>
      <w:bookmarkStart w:id="0" w:name="_GoBack"/>
      <w:bookmarkEnd w:id="0"/>
      <w:r w:rsidRPr="00F24BE5">
        <w:rPr>
          <w:rFonts w:ascii="Times New Roman" w:hAnsi="Times New Roman" w:cs="Times New Roman"/>
          <w:b/>
          <w:sz w:val="24"/>
          <w:szCs w:val="24"/>
        </w:rPr>
        <w:t xml:space="preserve">S1: Description of methods and data used to estimate seedling recruitment for </w:t>
      </w:r>
      <w:r w:rsidRPr="00F24BE5">
        <w:rPr>
          <w:rFonts w:ascii="Times New Roman" w:hAnsi="Times New Roman" w:cs="Times New Roman"/>
          <w:b/>
          <w:i/>
          <w:sz w:val="24"/>
          <w:szCs w:val="24"/>
        </w:rPr>
        <w:t>Lupinus tidestromii</w:t>
      </w:r>
      <w:r w:rsidRPr="00F24BE5">
        <w:rPr>
          <w:rFonts w:ascii="Times New Roman" w:hAnsi="Times New Roman" w:cs="Times New Roman"/>
          <w:b/>
          <w:sz w:val="24"/>
          <w:szCs w:val="24"/>
        </w:rPr>
        <w:t>.</w:t>
      </w:r>
    </w:p>
    <w:p w:rsidR="00F24BE5" w:rsidRPr="00056EB8" w:rsidRDefault="00F24BE5" w:rsidP="00AA3395">
      <w:pPr>
        <w:pStyle w:val="NoSpacing"/>
        <w:contextualSpacing/>
        <w:rPr>
          <w:rFonts w:ascii="Times New Roman" w:hAnsi="Times New Roman" w:cs="Times New Roman"/>
          <w:b/>
          <w:sz w:val="24"/>
          <w:szCs w:val="24"/>
        </w:rPr>
      </w:pPr>
    </w:p>
    <w:p w:rsidR="004B62EA" w:rsidRPr="00056EB8" w:rsidRDefault="004B62EA" w:rsidP="00AA3395">
      <w:pPr>
        <w:pStyle w:val="NoSpacing"/>
        <w:contextualSpacing/>
        <w:rPr>
          <w:rFonts w:ascii="Times New Roman" w:hAnsi="Times New Roman" w:cs="Times New Roman"/>
          <w:b/>
          <w:sz w:val="24"/>
          <w:szCs w:val="24"/>
        </w:rPr>
      </w:pPr>
      <w:r w:rsidRPr="00056EB8">
        <w:rPr>
          <w:rFonts w:ascii="Times New Roman" w:hAnsi="Times New Roman" w:cs="Times New Roman"/>
          <w:b/>
          <w:sz w:val="24"/>
          <w:szCs w:val="24"/>
        </w:rPr>
        <w:t xml:space="preserve">Seedling </w:t>
      </w:r>
      <w:r w:rsidR="001C46A0" w:rsidRPr="00056EB8">
        <w:rPr>
          <w:rFonts w:ascii="Times New Roman" w:hAnsi="Times New Roman" w:cs="Times New Roman"/>
          <w:b/>
          <w:sz w:val="24"/>
          <w:szCs w:val="24"/>
        </w:rPr>
        <w:t>recruitment</w:t>
      </w:r>
    </w:p>
    <w:p w:rsidR="004B62EA" w:rsidRPr="00056EB8" w:rsidRDefault="004B62EA" w:rsidP="00AA3395">
      <w:pPr>
        <w:pStyle w:val="NoSpacing"/>
        <w:contextualSpacing/>
        <w:rPr>
          <w:rFonts w:ascii="Times New Roman" w:hAnsi="Times New Roman" w:cs="Times New Roman"/>
          <w:b/>
          <w:sz w:val="24"/>
          <w:szCs w:val="24"/>
        </w:rPr>
      </w:pPr>
    </w:p>
    <w:p w:rsidR="004B62EA" w:rsidRPr="00056EB8" w:rsidRDefault="004B62EA" w:rsidP="00AA3395">
      <w:pPr>
        <w:pStyle w:val="NoSpacing"/>
        <w:contextualSpacing/>
        <w:rPr>
          <w:rFonts w:ascii="Times New Roman" w:hAnsi="Times New Roman" w:cs="Times New Roman"/>
          <w:sz w:val="24"/>
          <w:szCs w:val="24"/>
        </w:rPr>
      </w:pPr>
      <w:r w:rsidRPr="00056EB8">
        <w:rPr>
          <w:rFonts w:ascii="Times New Roman" w:hAnsi="Times New Roman" w:cs="Times New Roman"/>
          <w:sz w:val="24"/>
          <w:szCs w:val="24"/>
        </w:rPr>
        <w:t xml:space="preserve">Our model requires understanding how microhabitats affect recruitment and how recruitment changes over time for seeds in the seed bank. We estimated the former from a set of paired seedling </w:t>
      </w:r>
      <w:r w:rsidR="00EC313D" w:rsidRPr="00056EB8">
        <w:rPr>
          <w:rFonts w:ascii="Times New Roman" w:hAnsi="Times New Roman" w:cs="Times New Roman"/>
          <w:sz w:val="24"/>
          <w:szCs w:val="24"/>
        </w:rPr>
        <w:t>plot</w:t>
      </w:r>
      <w:r w:rsidRPr="00056EB8">
        <w:rPr>
          <w:rFonts w:ascii="Times New Roman" w:hAnsi="Times New Roman" w:cs="Times New Roman"/>
          <w:sz w:val="24"/>
          <w:szCs w:val="24"/>
        </w:rPr>
        <w:t xml:space="preserve">s that were established in early and late microhabitats in </w:t>
      </w:r>
      <w:r w:rsidR="00512C86" w:rsidRPr="00056EB8">
        <w:rPr>
          <w:rFonts w:ascii="Times New Roman" w:hAnsi="Times New Roman" w:cs="Times New Roman"/>
          <w:sz w:val="24"/>
          <w:szCs w:val="24"/>
        </w:rPr>
        <w:t>2011-2012</w:t>
      </w:r>
      <w:r w:rsidRPr="00056EB8">
        <w:rPr>
          <w:rFonts w:ascii="Times New Roman" w:hAnsi="Times New Roman" w:cs="Times New Roman"/>
          <w:sz w:val="24"/>
          <w:szCs w:val="24"/>
        </w:rPr>
        <w:t>. We estimated the latter from seed baskets that were established in 2008 and from which recruit</w:t>
      </w:r>
      <w:r w:rsidR="00512C86" w:rsidRPr="00056EB8">
        <w:rPr>
          <w:rFonts w:ascii="Times New Roman" w:hAnsi="Times New Roman" w:cs="Times New Roman"/>
          <w:sz w:val="24"/>
          <w:szCs w:val="24"/>
        </w:rPr>
        <w:t>m</w:t>
      </w:r>
      <w:r w:rsidRPr="00056EB8">
        <w:rPr>
          <w:rFonts w:ascii="Times New Roman" w:hAnsi="Times New Roman" w:cs="Times New Roman"/>
          <w:sz w:val="24"/>
          <w:szCs w:val="24"/>
        </w:rPr>
        <w:t>ent was observed in 2009-2011. Details of each of these experiments and results are provided below.</w:t>
      </w:r>
    </w:p>
    <w:p w:rsidR="004B62EA" w:rsidRPr="00056EB8" w:rsidRDefault="004B62EA" w:rsidP="00AA3395">
      <w:pPr>
        <w:pStyle w:val="NoSpacing"/>
        <w:contextualSpacing/>
        <w:rPr>
          <w:rFonts w:ascii="Times New Roman" w:hAnsi="Times New Roman" w:cs="Times New Roman"/>
          <w:b/>
          <w:sz w:val="24"/>
          <w:szCs w:val="24"/>
        </w:rPr>
      </w:pPr>
    </w:p>
    <w:p w:rsidR="00DC6E8A" w:rsidRPr="00056EB8" w:rsidRDefault="00DC6E8A" w:rsidP="00AA3395">
      <w:pPr>
        <w:pStyle w:val="NoSpacing"/>
        <w:contextualSpacing/>
        <w:rPr>
          <w:rFonts w:ascii="Times New Roman" w:hAnsi="Times New Roman" w:cs="Times New Roman"/>
          <w:b/>
          <w:i/>
          <w:sz w:val="24"/>
          <w:szCs w:val="24"/>
        </w:rPr>
      </w:pPr>
      <w:r w:rsidRPr="00056EB8">
        <w:rPr>
          <w:rFonts w:ascii="Times New Roman" w:hAnsi="Times New Roman" w:cs="Times New Roman"/>
          <w:b/>
          <w:i/>
          <w:sz w:val="24"/>
          <w:szCs w:val="24"/>
        </w:rPr>
        <w:t>Establishment of seedlings in early versus late successional microhabitats</w:t>
      </w:r>
    </w:p>
    <w:p w:rsidR="00DC6E8A" w:rsidRPr="00056EB8" w:rsidRDefault="00DC6E8A" w:rsidP="00AA3395">
      <w:pPr>
        <w:pStyle w:val="NoSpacing"/>
        <w:contextualSpacing/>
        <w:rPr>
          <w:rFonts w:ascii="Times New Roman" w:hAnsi="Times New Roman" w:cs="Times New Roman"/>
          <w:sz w:val="24"/>
          <w:szCs w:val="24"/>
        </w:rPr>
      </w:pPr>
    </w:p>
    <w:p w:rsidR="00660D11" w:rsidRPr="00056EB8" w:rsidRDefault="00787786" w:rsidP="00AA3395">
      <w:pPr>
        <w:pStyle w:val="NoSpacing"/>
        <w:contextualSpacing/>
        <w:rPr>
          <w:rFonts w:ascii="Times New Roman" w:hAnsi="Times New Roman" w:cs="Times New Roman"/>
          <w:sz w:val="24"/>
          <w:szCs w:val="24"/>
        </w:rPr>
      </w:pPr>
      <w:r w:rsidRPr="00056EB8">
        <w:rPr>
          <w:rFonts w:ascii="Times New Roman" w:hAnsi="Times New Roman" w:cs="Times New Roman"/>
          <w:sz w:val="24"/>
          <w:szCs w:val="24"/>
        </w:rPr>
        <w:t xml:space="preserve">To measure differences in seedling recruitment rates we established seedling vegetation </w:t>
      </w:r>
      <w:r w:rsidR="00EC313D" w:rsidRPr="00056EB8">
        <w:rPr>
          <w:rFonts w:ascii="Times New Roman" w:hAnsi="Times New Roman" w:cs="Times New Roman"/>
          <w:sz w:val="24"/>
          <w:szCs w:val="24"/>
        </w:rPr>
        <w:t>plot</w:t>
      </w:r>
      <w:r w:rsidRPr="00056EB8">
        <w:rPr>
          <w:rFonts w:ascii="Times New Roman" w:hAnsi="Times New Roman" w:cs="Times New Roman"/>
          <w:sz w:val="24"/>
          <w:szCs w:val="24"/>
        </w:rPr>
        <w:t>s</w:t>
      </w:r>
      <w:r w:rsidR="001C46A0" w:rsidRPr="00056EB8">
        <w:rPr>
          <w:rFonts w:ascii="Times New Roman" w:hAnsi="Times New Roman" w:cs="Times New Roman"/>
          <w:sz w:val="24"/>
          <w:szCs w:val="24"/>
        </w:rPr>
        <w:t xml:space="preserve"> in early and late successional microhabitats</w:t>
      </w:r>
      <w:r w:rsidRPr="00056EB8">
        <w:rPr>
          <w:rFonts w:ascii="Times New Roman" w:hAnsi="Times New Roman" w:cs="Times New Roman"/>
          <w:sz w:val="24"/>
          <w:szCs w:val="24"/>
        </w:rPr>
        <w:t xml:space="preserve">. </w:t>
      </w:r>
      <w:r w:rsidR="00512901" w:rsidRPr="00056EB8">
        <w:rPr>
          <w:rFonts w:ascii="Times New Roman" w:hAnsi="Times New Roman" w:cs="Times New Roman"/>
          <w:sz w:val="24"/>
          <w:szCs w:val="24"/>
        </w:rPr>
        <w:t>On July 18, 2011</w:t>
      </w:r>
      <w:r w:rsidRPr="00056EB8">
        <w:rPr>
          <w:rFonts w:ascii="Times New Roman" w:hAnsi="Times New Roman" w:cs="Times New Roman"/>
          <w:sz w:val="24"/>
          <w:szCs w:val="24"/>
        </w:rPr>
        <w:t xml:space="preserve"> we established 10 pairs o</w:t>
      </w:r>
      <w:r w:rsidR="00D944BF" w:rsidRPr="00056EB8">
        <w:rPr>
          <w:rFonts w:ascii="Times New Roman" w:hAnsi="Times New Roman" w:cs="Times New Roman"/>
          <w:sz w:val="24"/>
          <w:szCs w:val="24"/>
        </w:rPr>
        <w:t>f 2</w:t>
      </w:r>
      <w:r w:rsidR="00AA3395">
        <w:rPr>
          <w:rFonts w:ascii="Times New Roman" w:hAnsi="Times New Roman" w:cs="Times New Roman"/>
          <w:sz w:val="24"/>
          <w:szCs w:val="24"/>
        </w:rPr>
        <w:t xml:space="preserve"> </w:t>
      </w:r>
      <w:r w:rsidR="00D944BF" w:rsidRPr="00056EB8">
        <w:rPr>
          <w:rFonts w:ascii="Times New Roman" w:hAnsi="Times New Roman" w:cs="Times New Roman"/>
          <w:sz w:val="24"/>
          <w:szCs w:val="24"/>
        </w:rPr>
        <w:t>m</w:t>
      </w:r>
      <w:r w:rsidR="00D944BF" w:rsidRPr="00056EB8">
        <w:rPr>
          <w:rFonts w:ascii="Times New Roman" w:hAnsi="Times New Roman" w:cs="Times New Roman"/>
          <w:sz w:val="24"/>
          <w:szCs w:val="24"/>
          <w:vertAlign w:val="superscript"/>
        </w:rPr>
        <w:t>2</w:t>
      </w:r>
      <w:r w:rsidR="00D944BF" w:rsidRPr="00056EB8">
        <w:rPr>
          <w:rFonts w:ascii="Times New Roman" w:hAnsi="Times New Roman" w:cs="Times New Roman"/>
          <w:sz w:val="24"/>
          <w:szCs w:val="24"/>
        </w:rPr>
        <w:t xml:space="preserve"> </w:t>
      </w:r>
      <w:r w:rsidR="00154060" w:rsidRPr="00056EB8">
        <w:rPr>
          <w:rFonts w:ascii="Times New Roman" w:hAnsi="Times New Roman" w:cs="Times New Roman"/>
          <w:sz w:val="24"/>
          <w:szCs w:val="24"/>
        </w:rPr>
        <w:t xml:space="preserve">plots </w:t>
      </w:r>
      <w:r w:rsidR="00D944BF" w:rsidRPr="00056EB8">
        <w:rPr>
          <w:rFonts w:ascii="Times New Roman" w:hAnsi="Times New Roman" w:cs="Times New Roman"/>
          <w:sz w:val="24"/>
          <w:szCs w:val="24"/>
        </w:rPr>
        <w:t xml:space="preserve">spaced out across the entire </w:t>
      </w:r>
      <w:r w:rsidR="00AA3395">
        <w:rPr>
          <w:rFonts w:ascii="Times New Roman" w:hAnsi="Times New Roman" w:cs="Times New Roman"/>
          <w:sz w:val="24"/>
          <w:szCs w:val="24"/>
        </w:rPr>
        <w:t xml:space="preserve">north to south </w:t>
      </w:r>
      <w:r w:rsidR="00D944BF" w:rsidRPr="00056EB8">
        <w:rPr>
          <w:rFonts w:ascii="Times New Roman" w:hAnsi="Times New Roman" w:cs="Times New Roman"/>
          <w:sz w:val="24"/>
          <w:szCs w:val="24"/>
        </w:rPr>
        <w:t xml:space="preserve">extent of the Abbotts Lagoon dune area. Each pair </w:t>
      </w:r>
      <w:r w:rsidR="00512C86" w:rsidRPr="00056EB8">
        <w:rPr>
          <w:rFonts w:ascii="Times New Roman" w:hAnsi="Times New Roman" w:cs="Times New Roman"/>
          <w:sz w:val="24"/>
          <w:szCs w:val="24"/>
        </w:rPr>
        <w:t xml:space="preserve">contained </w:t>
      </w:r>
      <w:r w:rsidRPr="00056EB8">
        <w:rPr>
          <w:rFonts w:ascii="Times New Roman" w:hAnsi="Times New Roman" w:cs="Times New Roman"/>
          <w:sz w:val="24"/>
          <w:szCs w:val="24"/>
        </w:rPr>
        <w:t xml:space="preserve">two adjacent plots, with one in early and </w:t>
      </w:r>
      <w:r w:rsidR="00AA3395">
        <w:rPr>
          <w:rFonts w:ascii="Times New Roman" w:hAnsi="Times New Roman" w:cs="Times New Roman"/>
          <w:sz w:val="24"/>
          <w:szCs w:val="24"/>
        </w:rPr>
        <w:t xml:space="preserve">one in </w:t>
      </w:r>
      <w:r w:rsidRPr="00056EB8">
        <w:rPr>
          <w:rFonts w:ascii="Times New Roman" w:hAnsi="Times New Roman" w:cs="Times New Roman"/>
          <w:sz w:val="24"/>
          <w:szCs w:val="24"/>
        </w:rPr>
        <w:t>late successional microhabitat. Early</w:t>
      </w:r>
      <w:r w:rsidR="00AA3395">
        <w:rPr>
          <w:rFonts w:ascii="Times New Roman" w:hAnsi="Times New Roman" w:cs="Times New Roman"/>
          <w:sz w:val="24"/>
          <w:szCs w:val="24"/>
        </w:rPr>
        <w:t xml:space="preserve"> habitat plots </w:t>
      </w:r>
      <w:r w:rsidR="001C46A0" w:rsidRPr="00056EB8">
        <w:rPr>
          <w:rFonts w:ascii="Times New Roman" w:hAnsi="Times New Roman" w:cs="Times New Roman"/>
          <w:sz w:val="24"/>
          <w:szCs w:val="24"/>
        </w:rPr>
        <w:t xml:space="preserve">contained </w:t>
      </w:r>
      <w:r w:rsidRPr="00056EB8">
        <w:rPr>
          <w:rFonts w:ascii="Times New Roman" w:hAnsi="Times New Roman" w:cs="Times New Roman"/>
          <w:sz w:val="24"/>
          <w:szCs w:val="24"/>
        </w:rPr>
        <w:t xml:space="preserve">&gt;90% bare sand </w:t>
      </w:r>
      <w:r w:rsidR="00512901" w:rsidRPr="00056EB8">
        <w:rPr>
          <w:rFonts w:ascii="Times New Roman" w:hAnsi="Times New Roman" w:cs="Times New Roman"/>
          <w:sz w:val="24"/>
          <w:szCs w:val="24"/>
        </w:rPr>
        <w:t xml:space="preserve">with sparse vegetation </w:t>
      </w:r>
      <w:r w:rsidRPr="00056EB8">
        <w:rPr>
          <w:rFonts w:ascii="Times New Roman" w:hAnsi="Times New Roman" w:cs="Times New Roman"/>
          <w:sz w:val="24"/>
          <w:szCs w:val="24"/>
        </w:rPr>
        <w:t>and late microhabitat</w:t>
      </w:r>
      <w:r w:rsidR="00AA3395">
        <w:rPr>
          <w:rFonts w:ascii="Times New Roman" w:hAnsi="Times New Roman" w:cs="Times New Roman"/>
          <w:sz w:val="24"/>
          <w:szCs w:val="24"/>
        </w:rPr>
        <w:t xml:space="preserve"> plots</w:t>
      </w:r>
      <w:r w:rsidRPr="00056EB8">
        <w:rPr>
          <w:rFonts w:ascii="Times New Roman" w:hAnsi="Times New Roman" w:cs="Times New Roman"/>
          <w:sz w:val="24"/>
          <w:szCs w:val="24"/>
        </w:rPr>
        <w:t xml:space="preserve"> </w:t>
      </w:r>
      <w:r w:rsidR="001C46A0" w:rsidRPr="00056EB8">
        <w:rPr>
          <w:rFonts w:ascii="Times New Roman" w:hAnsi="Times New Roman" w:cs="Times New Roman"/>
          <w:sz w:val="24"/>
          <w:szCs w:val="24"/>
        </w:rPr>
        <w:t xml:space="preserve">contained </w:t>
      </w:r>
      <w:r w:rsidRPr="00056EB8">
        <w:rPr>
          <w:rFonts w:ascii="Times New Roman" w:hAnsi="Times New Roman" w:cs="Times New Roman"/>
          <w:sz w:val="24"/>
          <w:szCs w:val="24"/>
        </w:rPr>
        <w:t xml:space="preserve">15-50% bare </w:t>
      </w:r>
      <w:r w:rsidR="00512901" w:rsidRPr="00056EB8">
        <w:rPr>
          <w:rFonts w:ascii="Times New Roman" w:hAnsi="Times New Roman" w:cs="Times New Roman"/>
          <w:sz w:val="24"/>
          <w:szCs w:val="24"/>
        </w:rPr>
        <w:t>sand</w:t>
      </w:r>
      <w:r w:rsidRPr="00056EB8">
        <w:rPr>
          <w:rFonts w:ascii="Times New Roman" w:hAnsi="Times New Roman" w:cs="Times New Roman"/>
          <w:sz w:val="24"/>
          <w:szCs w:val="24"/>
        </w:rPr>
        <w:t xml:space="preserve"> and </w:t>
      </w:r>
      <w:r w:rsidR="00512901" w:rsidRPr="00056EB8">
        <w:rPr>
          <w:rFonts w:ascii="Times New Roman" w:hAnsi="Times New Roman" w:cs="Times New Roman"/>
          <w:sz w:val="24"/>
          <w:szCs w:val="24"/>
        </w:rPr>
        <w:t xml:space="preserve">stabilizing vegetation such as </w:t>
      </w:r>
      <w:r w:rsidR="006E16D7" w:rsidRPr="00056EB8">
        <w:rPr>
          <w:rFonts w:ascii="Times New Roman" w:hAnsi="Times New Roman" w:cs="Times New Roman"/>
          <w:i/>
          <w:sz w:val="24"/>
          <w:szCs w:val="24"/>
        </w:rPr>
        <w:t>Poa douglasii</w:t>
      </w:r>
      <w:r w:rsidRPr="00056EB8">
        <w:rPr>
          <w:rFonts w:ascii="Times New Roman" w:hAnsi="Times New Roman" w:cs="Times New Roman"/>
          <w:sz w:val="24"/>
          <w:szCs w:val="24"/>
        </w:rPr>
        <w:t xml:space="preserve">, </w:t>
      </w:r>
      <w:r w:rsidR="006E16D7" w:rsidRPr="00056EB8">
        <w:rPr>
          <w:rFonts w:ascii="Times New Roman" w:hAnsi="Times New Roman" w:cs="Times New Roman"/>
          <w:i/>
          <w:sz w:val="24"/>
          <w:szCs w:val="24"/>
        </w:rPr>
        <w:t>Lathyrus latifolius</w:t>
      </w:r>
      <w:r w:rsidRPr="00056EB8">
        <w:rPr>
          <w:rFonts w:ascii="Times New Roman" w:hAnsi="Times New Roman" w:cs="Times New Roman"/>
          <w:sz w:val="24"/>
          <w:szCs w:val="24"/>
        </w:rPr>
        <w:t xml:space="preserve">, and </w:t>
      </w:r>
      <w:r w:rsidR="006E16D7" w:rsidRPr="00056EB8">
        <w:rPr>
          <w:rFonts w:ascii="Times New Roman" w:hAnsi="Times New Roman" w:cs="Times New Roman"/>
          <w:i/>
          <w:sz w:val="24"/>
          <w:szCs w:val="24"/>
        </w:rPr>
        <w:t>Abronia latifolia</w:t>
      </w:r>
      <w:r w:rsidR="00512901" w:rsidRPr="00056EB8">
        <w:rPr>
          <w:rFonts w:ascii="Times New Roman" w:hAnsi="Times New Roman" w:cs="Times New Roman"/>
          <w:sz w:val="24"/>
          <w:szCs w:val="24"/>
        </w:rPr>
        <w:t>.</w:t>
      </w:r>
      <w:r w:rsidRPr="00056EB8">
        <w:rPr>
          <w:rFonts w:ascii="Times New Roman" w:hAnsi="Times New Roman" w:cs="Times New Roman"/>
          <w:sz w:val="24"/>
          <w:szCs w:val="24"/>
        </w:rPr>
        <w:t xml:space="preserve"> </w:t>
      </w:r>
      <w:r w:rsidR="001C46A0" w:rsidRPr="00056EB8">
        <w:rPr>
          <w:rFonts w:ascii="Times New Roman" w:hAnsi="Times New Roman" w:cs="Times New Roman"/>
          <w:sz w:val="24"/>
          <w:szCs w:val="24"/>
        </w:rPr>
        <w:t xml:space="preserve">We selected plot areas that contained </w:t>
      </w:r>
      <w:r w:rsidR="00AA3395">
        <w:rPr>
          <w:rFonts w:ascii="Times New Roman" w:hAnsi="Times New Roman" w:cs="Times New Roman"/>
          <w:sz w:val="24"/>
          <w:szCs w:val="24"/>
        </w:rPr>
        <w:t xml:space="preserve">several </w:t>
      </w:r>
      <w:r w:rsidR="001C46A0" w:rsidRPr="00056EB8">
        <w:rPr>
          <w:rFonts w:ascii="Times New Roman" w:hAnsi="Times New Roman" w:cs="Times New Roman"/>
          <w:sz w:val="24"/>
          <w:szCs w:val="24"/>
        </w:rPr>
        <w:t xml:space="preserve">reproductive plants that would contribute to seedling recruitment the following year, but </w:t>
      </w:r>
      <w:r w:rsidR="00AA3395">
        <w:rPr>
          <w:rFonts w:ascii="Times New Roman" w:hAnsi="Times New Roman" w:cs="Times New Roman"/>
          <w:sz w:val="24"/>
          <w:szCs w:val="24"/>
        </w:rPr>
        <w:t xml:space="preserve">that had </w:t>
      </w:r>
      <w:r w:rsidR="001C46A0" w:rsidRPr="00056EB8">
        <w:rPr>
          <w:rFonts w:ascii="Times New Roman" w:hAnsi="Times New Roman" w:cs="Times New Roman"/>
          <w:sz w:val="24"/>
          <w:szCs w:val="24"/>
        </w:rPr>
        <w:t>few reproductive plants immediately a</w:t>
      </w:r>
      <w:r w:rsidR="00AA3395">
        <w:rPr>
          <w:rFonts w:ascii="Times New Roman" w:hAnsi="Times New Roman" w:cs="Times New Roman"/>
          <w:sz w:val="24"/>
          <w:szCs w:val="24"/>
        </w:rPr>
        <w:t>djacent to but outside the plot boundaries</w:t>
      </w:r>
      <w:r w:rsidR="001C46A0" w:rsidRPr="00056EB8">
        <w:rPr>
          <w:rFonts w:ascii="Times New Roman" w:hAnsi="Times New Roman" w:cs="Times New Roman"/>
          <w:sz w:val="24"/>
          <w:szCs w:val="24"/>
        </w:rPr>
        <w:t xml:space="preserve">. </w:t>
      </w:r>
      <w:r w:rsidRPr="00056EB8">
        <w:rPr>
          <w:rFonts w:ascii="Times New Roman" w:hAnsi="Times New Roman" w:cs="Times New Roman"/>
          <w:sz w:val="24"/>
          <w:szCs w:val="24"/>
        </w:rPr>
        <w:t xml:space="preserve">In each plot we counted the number of </w:t>
      </w:r>
      <w:r w:rsidR="001C46A0" w:rsidRPr="00056EB8">
        <w:rPr>
          <w:rFonts w:ascii="Times New Roman" w:hAnsi="Times New Roman" w:cs="Times New Roman"/>
          <w:sz w:val="24"/>
          <w:szCs w:val="24"/>
        </w:rPr>
        <w:t xml:space="preserve">reproductive </w:t>
      </w:r>
      <w:r w:rsidR="006E16D7" w:rsidRPr="00056EB8">
        <w:rPr>
          <w:rFonts w:ascii="Times New Roman" w:hAnsi="Times New Roman" w:cs="Times New Roman"/>
          <w:i/>
          <w:sz w:val="24"/>
          <w:szCs w:val="24"/>
        </w:rPr>
        <w:t>L. tidestromii</w:t>
      </w:r>
      <w:r w:rsidR="00512901" w:rsidRPr="00056EB8">
        <w:rPr>
          <w:rFonts w:ascii="Times New Roman" w:hAnsi="Times New Roman" w:cs="Times New Roman"/>
          <w:sz w:val="24"/>
          <w:szCs w:val="24"/>
        </w:rPr>
        <w:t>, including any plant whose basal stem was located within the plot margins</w:t>
      </w:r>
      <w:r w:rsidRPr="00056EB8">
        <w:rPr>
          <w:rFonts w:ascii="Times New Roman" w:hAnsi="Times New Roman" w:cs="Times New Roman"/>
          <w:sz w:val="24"/>
          <w:szCs w:val="24"/>
        </w:rPr>
        <w:t xml:space="preserve">. We assumed </w:t>
      </w:r>
      <w:r w:rsidR="001C46A0" w:rsidRPr="00056EB8">
        <w:rPr>
          <w:rFonts w:ascii="Times New Roman" w:hAnsi="Times New Roman" w:cs="Times New Roman"/>
          <w:sz w:val="24"/>
          <w:szCs w:val="24"/>
        </w:rPr>
        <w:t>equivalent densities of seeds in the seedbank and recruitment of seeds from the seedbank in both early and late microhabitats</w:t>
      </w:r>
      <w:r w:rsidRPr="00056EB8">
        <w:rPr>
          <w:rFonts w:ascii="Times New Roman" w:hAnsi="Times New Roman" w:cs="Times New Roman"/>
          <w:sz w:val="24"/>
          <w:szCs w:val="24"/>
        </w:rPr>
        <w:t xml:space="preserve">. </w:t>
      </w:r>
    </w:p>
    <w:p w:rsidR="00787786" w:rsidRPr="00056EB8" w:rsidRDefault="00787786" w:rsidP="00AA3395">
      <w:pPr>
        <w:pStyle w:val="NoSpacing"/>
        <w:contextualSpacing/>
        <w:rPr>
          <w:rFonts w:ascii="Times New Roman" w:hAnsi="Times New Roman" w:cs="Times New Roman"/>
          <w:sz w:val="24"/>
          <w:szCs w:val="24"/>
        </w:rPr>
      </w:pPr>
    </w:p>
    <w:p w:rsidR="00787786" w:rsidRPr="00056EB8" w:rsidRDefault="003F1E15" w:rsidP="00AA3395">
      <w:pPr>
        <w:pStyle w:val="NoSpacing"/>
        <w:contextualSpacing/>
        <w:rPr>
          <w:rFonts w:ascii="Times New Roman" w:hAnsi="Times New Roman" w:cs="Times New Roman"/>
          <w:sz w:val="24"/>
          <w:szCs w:val="24"/>
        </w:rPr>
      </w:pPr>
      <w:r w:rsidRPr="00056EB8">
        <w:rPr>
          <w:rFonts w:ascii="Times New Roman" w:hAnsi="Times New Roman" w:cs="Times New Roman"/>
          <w:sz w:val="24"/>
          <w:szCs w:val="24"/>
        </w:rPr>
        <w:t xml:space="preserve">On June 14, 2012, we returned to seedling </w:t>
      </w:r>
      <w:r w:rsidR="00EC313D" w:rsidRPr="00056EB8">
        <w:rPr>
          <w:rFonts w:ascii="Times New Roman" w:hAnsi="Times New Roman" w:cs="Times New Roman"/>
          <w:sz w:val="24"/>
          <w:szCs w:val="24"/>
        </w:rPr>
        <w:t>plot</w:t>
      </w:r>
      <w:r w:rsidRPr="00056EB8">
        <w:rPr>
          <w:rFonts w:ascii="Times New Roman" w:hAnsi="Times New Roman" w:cs="Times New Roman"/>
          <w:sz w:val="24"/>
          <w:szCs w:val="24"/>
        </w:rPr>
        <w:t xml:space="preserve">s and searched </w:t>
      </w:r>
      <w:r w:rsidR="00AA3395">
        <w:rPr>
          <w:rFonts w:ascii="Times New Roman" w:hAnsi="Times New Roman" w:cs="Times New Roman"/>
          <w:sz w:val="24"/>
          <w:szCs w:val="24"/>
        </w:rPr>
        <w:t xml:space="preserve">them </w:t>
      </w:r>
      <w:r w:rsidRPr="00056EB8">
        <w:rPr>
          <w:rFonts w:ascii="Times New Roman" w:hAnsi="Times New Roman" w:cs="Times New Roman"/>
          <w:sz w:val="24"/>
          <w:szCs w:val="24"/>
        </w:rPr>
        <w:t xml:space="preserve">exhaustively to count the number of new seedlings in the plot. </w:t>
      </w:r>
      <w:r w:rsidR="00D944BF" w:rsidRPr="00056EB8">
        <w:rPr>
          <w:rFonts w:ascii="Times New Roman" w:hAnsi="Times New Roman" w:cs="Times New Roman"/>
          <w:sz w:val="24"/>
          <w:szCs w:val="24"/>
        </w:rPr>
        <w:t xml:space="preserve">Establishment measured </w:t>
      </w:r>
      <w:r w:rsidRPr="00056EB8">
        <w:rPr>
          <w:rFonts w:ascii="Times New Roman" w:hAnsi="Times New Roman" w:cs="Times New Roman"/>
          <w:sz w:val="24"/>
          <w:szCs w:val="24"/>
        </w:rPr>
        <w:t>at this point</w:t>
      </w:r>
      <w:r w:rsidR="00D944BF" w:rsidRPr="00056EB8">
        <w:rPr>
          <w:rFonts w:ascii="Times New Roman" w:hAnsi="Times New Roman" w:cs="Times New Roman"/>
          <w:sz w:val="24"/>
          <w:szCs w:val="24"/>
        </w:rPr>
        <w:t xml:space="preserve"> </w:t>
      </w:r>
      <w:r w:rsidR="00AA3395">
        <w:rPr>
          <w:rFonts w:ascii="Times New Roman" w:hAnsi="Times New Roman" w:cs="Times New Roman"/>
          <w:sz w:val="24"/>
          <w:szCs w:val="24"/>
        </w:rPr>
        <w:t xml:space="preserve">in time </w:t>
      </w:r>
      <w:r w:rsidR="00D944BF" w:rsidRPr="00056EB8">
        <w:rPr>
          <w:rFonts w:ascii="Times New Roman" w:hAnsi="Times New Roman" w:cs="Times New Roman"/>
          <w:sz w:val="24"/>
          <w:szCs w:val="24"/>
        </w:rPr>
        <w:t>include</w:t>
      </w:r>
      <w:r w:rsidRPr="00056EB8">
        <w:rPr>
          <w:rFonts w:ascii="Times New Roman" w:hAnsi="Times New Roman" w:cs="Times New Roman"/>
          <w:sz w:val="24"/>
          <w:szCs w:val="24"/>
        </w:rPr>
        <w:t>d</w:t>
      </w:r>
      <w:r w:rsidR="00D944BF" w:rsidRPr="00056EB8">
        <w:rPr>
          <w:rFonts w:ascii="Times New Roman" w:hAnsi="Times New Roman" w:cs="Times New Roman"/>
          <w:sz w:val="24"/>
          <w:szCs w:val="24"/>
        </w:rPr>
        <w:t xml:space="preserve"> seedlings that germinated and survived to the census </w:t>
      </w:r>
      <w:r w:rsidRPr="00056EB8">
        <w:rPr>
          <w:rFonts w:ascii="Times New Roman" w:hAnsi="Times New Roman" w:cs="Times New Roman"/>
          <w:sz w:val="24"/>
          <w:szCs w:val="24"/>
        </w:rPr>
        <w:t>point</w:t>
      </w:r>
      <w:r w:rsidR="00D944BF" w:rsidRPr="00056EB8">
        <w:rPr>
          <w:rFonts w:ascii="Times New Roman" w:hAnsi="Times New Roman" w:cs="Times New Roman"/>
          <w:sz w:val="24"/>
          <w:szCs w:val="24"/>
        </w:rPr>
        <w:t xml:space="preserve">. To estimate the rate of establishment for the two types of plots, we first estimated seed rain within the plot based on the number of reproductive plants </w:t>
      </w:r>
      <w:r w:rsidR="00154060" w:rsidRPr="00056EB8">
        <w:rPr>
          <w:rFonts w:ascii="Times New Roman" w:hAnsi="Times New Roman" w:cs="Times New Roman"/>
          <w:sz w:val="24"/>
          <w:szCs w:val="24"/>
        </w:rPr>
        <w:t xml:space="preserve">in the plot </w:t>
      </w:r>
      <w:r w:rsidR="00D944BF" w:rsidRPr="00056EB8">
        <w:rPr>
          <w:rFonts w:ascii="Times New Roman" w:hAnsi="Times New Roman" w:cs="Times New Roman"/>
          <w:sz w:val="24"/>
          <w:szCs w:val="24"/>
        </w:rPr>
        <w:t xml:space="preserve">in 2011. </w:t>
      </w:r>
      <w:r w:rsidRPr="00056EB8">
        <w:rPr>
          <w:rFonts w:ascii="Times New Roman" w:hAnsi="Times New Roman" w:cs="Times New Roman"/>
          <w:sz w:val="24"/>
          <w:szCs w:val="24"/>
        </w:rPr>
        <w:t xml:space="preserve">Total seed rain was estimated as the product of </w:t>
      </w:r>
      <w:r w:rsidR="00D944BF" w:rsidRPr="00056EB8">
        <w:rPr>
          <w:rFonts w:ascii="Times New Roman" w:hAnsi="Times New Roman" w:cs="Times New Roman"/>
          <w:sz w:val="24"/>
          <w:szCs w:val="24"/>
        </w:rPr>
        <w:t xml:space="preserve">the number of reproductive plants </w:t>
      </w:r>
      <w:r w:rsidRPr="00056EB8">
        <w:rPr>
          <w:rFonts w:ascii="Times New Roman" w:hAnsi="Times New Roman" w:cs="Times New Roman"/>
          <w:sz w:val="24"/>
          <w:szCs w:val="24"/>
        </w:rPr>
        <w:t>and the average number of seeds per plant (i.e. [(number of reproductive plants)</w:t>
      </w:r>
      <w:r w:rsidRPr="00AA3395">
        <w:rPr>
          <w:rFonts w:ascii="Times New Roman" w:hAnsi="Times New Roman" w:cs="Times New Roman"/>
          <w:i/>
          <w:sz w:val="24"/>
          <w:szCs w:val="24"/>
        </w:rPr>
        <w:t>rfs</w:t>
      </w:r>
      <w:r w:rsidRPr="00056EB8">
        <w:rPr>
          <w:rFonts w:ascii="Times New Roman" w:hAnsi="Times New Roman" w:cs="Times New Roman"/>
          <w:sz w:val="24"/>
          <w:szCs w:val="24"/>
        </w:rPr>
        <w:t>(1-</w:t>
      </w:r>
      <w:r w:rsidRPr="00AA3395">
        <w:rPr>
          <w:rFonts w:ascii="Times New Roman" w:hAnsi="Times New Roman" w:cs="Times New Roman"/>
          <w:i/>
          <w:sz w:val="24"/>
          <w:szCs w:val="24"/>
        </w:rPr>
        <w:t>c</w:t>
      </w:r>
      <w:r w:rsidRPr="00056EB8">
        <w:rPr>
          <w:rFonts w:ascii="Times New Roman" w:hAnsi="Times New Roman" w:cs="Times New Roman"/>
          <w:sz w:val="24"/>
          <w:szCs w:val="24"/>
        </w:rPr>
        <w:t>)(1-</w:t>
      </w:r>
      <w:r w:rsidRPr="00AA3395">
        <w:rPr>
          <w:rFonts w:ascii="Times New Roman" w:hAnsi="Times New Roman" w:cs="Times New Roman"/>
          <w:i/>
          <w:sz w:val="24"/>
          <w:szCs w:val="24"/>
        </w:rPr>
        <w:t>a</w:t>
      </w:r>
      <w:r w:rsidRPr="00056EB8">
        <w:rPr>
          <w:rFonts w:ascii="Times New Roman" w:hAnsi="Times New Roman" w:cs="Times New Roman"/>
          <w:sz w:val="24"/>
          <w:szCs w:val="24"/>
        </w:rPr>
        <w:t>)]) (Table A1)</w:t>
      </w:r>
      <w:r w:rsidR="00D944BF" w:rsidRPr="00056EB8">
        <w:rPr>
          <w:rFonts w:ascii="Times New Roman" w:hAnsi="Times New Roman" w:cs="Times New Roman"/>
          <w:sz w:val="24"/>
          <w:szCs w:val="24"/>
        </w:rPr>
        <w:t xml:space="preserve">. To estimate establishment rates, </w:t>
      </w:r>
      <w:r w:rsidR="00171F21" w:rsidRPr="00056EB8">
        <w:rPr>
          <w:rFonts w:ascii="Times New Roman" w:hAnsi="Times New Roman" w:cs="Times New Roman"/>
          <w:i/>
          <w:sz w:val="24"/>
          <w:szCs w:val="24"/>
        </w:rPr>
        <w:t>e</w:t>
      </w:r>
      <w:r w:rsidR="00171F21" w:rsidRPr="00AA3395">
        <w:rPr>
          <w:rFonts w:ascii="Times New Roman" w:hAnsi="Times New Roman" w:cs="Times New Roman"/>
          <w:sz w:val="24"/>
          <w:szCs w:val="24"/>
          <w:vertAlign w:val="subscript"/>
        </w:rPr>
        <w:t>1</w:t>
      </w:r>
      <w:r w:rsidR="00171F21" w:rsidRPr="00056EB8">
        <w:rPr>
          <w:rFonts w:ascii="Times New Roman" w:hAnsi="Times New Roman" w:cs="Times New Roman"/>
          <w:sz w:val="24"/>
          <w:szCs w:val="24"/>
        </w:rPr>
        <w:t xml:space="preserve">, </w:t>
      </w:r>
      <w:r w:rsidR="00D944BF" w:rsidRPr="00056EB8">
        <w:rPr>
          <w:rFonts w:ascii="Times New Roman" w:hAnsi="Times New Roman" w:cs="Times New Roman"/>
          <w:sz w:val="24"/>
          <w:szCs w:val="24"/>
        </w:rPr>
        <w:t>we divided the number of seedlings observed in June 2012 by the estimated seed rain for each plot</w:t>
      </w:r>
      <w:r w:rsidR="00EC313D" w:rsidRPr="00056EB8">
        <w:rPr>
          <w:rFonts w:ascii="Times New Roman" w:hAnsi="Times New Roman" w:cs="Times New Roman"/>
          <w:sz w:val="24"/>
          <w:szCs w:val="24"/>
        </w:rPr>
        <w:t xml:space="preserve"> (Table A2)</w:t>
      </w:r>
      <w:r w:rsidR="00D944BF" w:rsidRPr="00056EB8">
        <w:rPr>
          <w:rFonts w:ascii="Times New Roman" w:hAnsi="Times New Roman" w:cs="Times New Roman"/>
          <w:sz w:val="24"/>
          <w:szCs w:val="24"/>
        </w:rPr>
        <w:t>.</w:t>
      </w:r>
      <w:r w:rsidR="00DC6E8A" w:rsidRPr="00056EB8">
        <w:rPr>
          <w:rFonts w:ascii="Times New Roman" w:hAnsi="Times New Roman" w:cs="Times New Roman"/>
          <w:sz w:val="24"/>
          <w:szCs w:val="24"/>
        </w:rPr>
        <w:t xml:space="preserve"> </w:t>
      </w:r>
      <w:r w:rsidR="00EC313D" w:rsidRPr="00056EB8">
        <w:rPr>
          <w:rFonts w:ascii="Times New Roman" w:hAnsi="Times New Roman" w:cs="Times New Roman"/>
          <w:sz w:val="24"/>
          <w:szCs w:val="24"/>
        </w:rPr>
        <w:t>Mean e</w:t>
      </w:r>
      <w:r w:rsidR="00DC6E8A" w:rsidRPr="00056EB8">
        <w:rPr>
          <w:rFonts w:ascii="Times New Roman" w:hAnsi="Times New Roman" w:cs="Times New Roman"/>
          <w:sz w:val="24"/>
          <w:szCs w:val="24"/>
        </w:rPr>
        <w:t xml:space="preserve">stablishment </w:t>
      </w:r>
      <w:r w:rsidR="00847F64">
        <w:rPr>
          <w:rFonts w:ascii="Times New Roman" w:hAnsi="Times New Roman" w:cs="Times New Roman"/>
          <w:sz w:val="24"/>
          <w:szCs w:val="24"/>
        </w:rPr>
        <w:t>(</w:t>
      </w:r>
      <w:r w:rsidR="00847F64" w:rsidRPr="00056EB8">
        <w:rPr>
          <w:rFonts w:ascii="Times New Roman" w:hAnsi="Times New Roman" w:cs="Times New Roman"/>
          <w:i/>
          <w:sz w:val="24"/>
          <w:szCs w:val="24"/>
        </w:rPr>
        <w:t>e</w:t>
      </w:r>
      <w:r w:rsidR="00847F64" w:rsidRPr="00AA3395">
        <w:rPr>
          <w:rFonts w:ascii="Times New Roman" w:hAnsi="Times New Roman" w:cs="Times New Roman"/>
          <w:sz w:val="24"/>
          <w:szCs w:val="24"/>
          <w:vertAlign w:val="subscript"/>
        </w:rPr>
        <w:t>1</w:t>
      </w:r>
      <w:r w:rsidR="00847F64" w:rsidRPr="00847F64">
        <w:rPr>
          <w:rFonts w:ascii="Times New Roman" w:hAnsi="Times New Roman" w:cs="Times New Roman"/>
          <w:sz w:val="24"/>
          <w:szCs w:val="24"/>
        </w:rPr>
        <w:t>)</w:t>
      </w:r>
      <w:r w:rsidR="00847F64">
        <w:rPr>
          <w:rFonts w:ascii="Times New Roman" w:hAnsi="Times New Roman" w:cs="Times New Roman"/>
          <w:sz w:val="24"/>
          <w:szCs w:val="24"/>
          <w:vertAlign w:val="subscript"/>
        </w:rPr>
        <w:t xml:space="preserve"> </w:t>
      </w:r>
      <w:r w:rsidR="00EC313D" w:rsidRPr="00056EB8">
        <w:rPr>
          <w:rFonts w:ascii="Times New Roman" w:hAnsi="Times New Roman" w:cs="Times New Roman"/>
          <w:sz w:val="24"/>
          <w:szCs w:val="24"/>
        </w:rPr>
        <w:t xml:space="preserve">across plots </w:t>
      </w:r>
      <w:r w:rsidR="00DC6E8A" w:rsidRPr="00056EB8">
        <w:rPr>
          <w:rFonts w:ascii="Times New Roman" w:hAnsi="Times New Roman" w:cs="Times New Roman"/>
          <w:sz w:val="24"/>
          <w:szCs w:val="24"/>
        </w:rPr>
        <w:t>was 0.0101 for early plots and 0.0013 for late plots.</w:t>
      </w:r>
    </w:p>
    <w:p w:rsidR="00DC6E8A" w:rsidRPr="00056EB8" w:rsidRDefault="00DC6E8A" w:rsidP="00AA3395">
      <w:pPr>
        <w:pStyle w:val="NoSpacing"/>
        <w:contextualSpacing/>
        <w:rPr>
          <w:rFonts w:ascii="Times New Roman" w:hAnsi="Times New Roman" w:cs="Times New Roman"/>
          <w:sz w:val="24"/>
          <w:szCs w:val="24"/>
        </w:rPr>
      </w:pPr>
    </w:p>
    <w:p w:rsidR="00DC6E8A" w:rsidRPr="00162735" w:rsidRDefault="003F1E15" w:rsidP="00AA3395">
      <w:pPr>
        <w:pStyle w:val="NoSpacing"/>
        <w:contextualSpacing/>
        <w:rPr>
          <w:rFonts w:ascii="Times New Roman" w:hAnsi="Times New Roman" w:cs="Times New Roman"/>
          <w:b/>
          <w:sz w:val="24"/>
          <w:szCs w:val="24"/>
        </w:rPr>
      </w:pPr>
      <w:r w:rsidRPr="00162735">
        <w:rPr>
          <w:rFonts w:ascii="Times New Roman" w:hAnsi="Times New Roman" w:cs="Times New Roman"/>
          <w:b/>
          <w:sz w:val="24"/>
          <w:szCs w:val="24"/>
        </w:rPr>
        <w:t xml:space="preserve">Table </w:t>
      </w:r>
      <w:r w:rsidR="00162735" w:rsidRPr="00162735">
        <w:rPr>
          <w:rFonts w:ascii="Times New Roman" w:hAnsi="Times New Roman" w:cs="Times New Roman"/>
          <w:b/>
          <w:sz w:val="24"/>
          <w:szCs w:val="24"/>
        </w:rPr>
        <w:t>S</w:t>
      </w:r>
      <w:r w:rsidRPr="00162735">
        <w:rPr>
          <w:rFonts w:ascii="Times New Roman" w:hAnsi="Times New Roman" w:cs="Times New Roman"/>
          <w:b/>
          <w:sz w:val="24"/>
          <w:szCs w:val="24"/>
        </w:rPr>
        <w:t xml:space="preserve">1. </w:t>
      </w:r>
      <w:r w:rsidR="00865375" w:rsidRPr="00162735">
        <w:rPr>
          <w:rFonts w:ascii="Times New Roman" w:hAnsi="Times New Roman" w:cs="Times New Roman"/>
          <w:b/>
          <w:sz w:val="24"/>
          <w:szCs w:val="24"/>
        </w:rPr>
        <w:t>Parameters and data sources for estimates of 2011 seed rain</w:t>
      </w:r>
      <w:r w:rsidR="00AA3395" w:rsidRPr="00162735">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
        <w:gridCol w:w="2059"/>
        <w:gridCol w:w="1791"/>
        <w:gridCol w:w="4483"/>
      </w:tblGrid>
      <w:tr w:rsidR="00AA3395" w:rsidRPr="00AA3395" w:rsidTr="00AA3395">
        <w:tc>
          <w:tcPr>
            <w:tcW w:w="0" w:type="auto"/>
            <w:tcBorders>
              <w:top w:val="single" w:sz="12" w:space="0" w:color="auto"/>
              <w:bottom w:val="single" w:sz="4" w:space="0" w:color="auto"/>
            </w:tcBorders>
          </w:tcPr>
          <w:p w:rsidR="00AA3395" w:rsidRPr="00AA3395" w:rsidRDefault="00AA3395"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Parameter</w:t>
            </w:r>
          </w:p>
        </w:tc>
        <w:tc>
          <w:tcPr>
            <w:tcW w:w="2069" w:type="dxa"/>
            <w:tcBorders>
              <w:top w:val="single" w:sz="12" w:space="0" w:color="auto"/>
              <w:bottom w:val="single" w:sz="4" w:space="0" w:color="auto"/>
            </w:tcBorders>
          </w:tcPr>
          <w:p w:rsidR="00AA3395" w:rsidRPr="00AA3395" w:rsidRDefault="00AA3395"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Description</w:t>
            </w:r>
          </w:p>
        </w:tc>
        <w:tc>
          <w:tcPr>
            <w:tcW w:w="1800" w:type="dxa"/>
            <w:tcBorders>
              <w:top w:val="single" w:sz="12" w:space="0" w:color="auto"/>
              <w:bottom w:val="single" w:sz="4" w:space="0" w:color="auto"/>
            </w:tcBorders>
          </w:tcPr>
          <w:p w:rsidR="00AA3395" w:rsidRPr="00AA3395" w:rsidRDefault="00AA3395"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Estimate</w:t>
            </w:r>
          </w:p>
        </w:tc>
        <w:tc>
          <w:tcPr>
            <w:tcW w:w="4518" w:type="dxa"/>
            <w:tcBorders>
              <w:top w:val="single" w:sz="12" w:space="0" w:color="auto"/>
              <w:bottom w:val="single" w:sz="4" w:space="0" w:color="auto"/>
            </w:tcBorders>
          </w:tcPr>
          <w:p w:rsidR="00AA3395" w:rsidRPr="00AA3395" w:rsidRDefault="00AA3395"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Data source</w:t>
            </w:r>
          </w:p>
        </w:tc>
      </w:tr>
      <w:tr w:rsidR="00DC6E8A" w:rsidRPr="00AA3395" w:rsidTr="00AA3395">
        <w:tc>
          <w:tcPr>
            <w:tcW w:w="0" w:type="auto"/>
            <w:tcBorders>
              <w:top w:val="single" w:sz="4" w:space="0" w:color="auto"/>
            </w:tcBorders>
          </w:tcPr>
          <w:p w:rsidR="00DC6E8A" w:rsidRPr="00AA3395" w:rsidRDefault="003F1E15" w:rsidP="00AA3395">
            <w:pPr>
              <w:pStyle w:val="NoSpacing"/>
              <w:contextualSpacing/>
              <w:rPr>
                <w:rFonts w:ascii="Times New Roman" w:hAnsi="Times New Roman" w:cs="Times New Roman"/>
                <w:i/>
                <w:sz w:val="20"/>
                <w:szCs w:val="20"/>
              </w:rPr>
            </w:pPr>
            <w:r w:rsidRPr="00AA3395">
              <w:rPr>
                <w:rFonts w:ascii="Times New Roman" w:hAnsi="Times New Roman" w:cs="Times New Roman"/>
                <w:i/>
                <w:sz w:val="20"/>
                <w:szCs w:val="20"/>
              </w:rPr>
              <w:t>r</w:t>
            </w:r>
          </w:p>
        </w:tc>
        <w:tc>
          <w:tcPr>
            <w:tcW w:w="2069" w:type="dxa"/>
            <w:tcBorders>
              <w:top w:val="single" w:sz="4" w:space="0" w:color="auto"/>
            </w:tcBorders>
          </w:tcPr>
          <w:p w:rsidR="00DC6E8A" w:rsidRPr="00AA3395" w:rsidRDefault="00DC6E8A"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mean number of racemes</w:t>
            </w:r>
          </w:p>
        </w:tc>
        <w:tc>
          <w:tcPr>
            <w:tcW w:w="1800" w:type="dxa"/>
            <w:tcBorders>
              <w:top w:val="single" w:sz="4" w:space="0" w:color="auto"/>
            </w:tcBorders>
          </w:tcPr>
          <w:p w:rsidR="00701C86" w:rsidRPr="00AA3395" w:rsidRDefault="00DC6E8A"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8.43</w:t>
            </w:r>
            <w:r w:rsidR="00701C86" w:rsidRPr="00AA3395">
              <w:rPr>
                <w:rFonts w:ascii="Times New Roman" w:hAnsi="Times New Roman" w:cs="Times New Roman"/>
                <w:sz w:val="20"/>
                <w:szCs w:val="20"/>
              </w:rPr>
              <w:t>68</w:t>
            </w:r>
            <w:r w:rsidRPr="00AA3395">
              <w:rPr>
                <w:rFonts w:ascii="Times New Roman" w:hAnsi="Times New Roman" w:cs="Times New Roman"/>
                <w:sz w:val="20"/>
                <w:szCs w:val="20"/>
              </w:rPr>
              <w:t xml:space="preserve"> for early</w:t>
            </w:r>
          </w:p>
          <w:p w:rsidR="00DC6E8A" w:rsidRPr="00AA3395" w:rsidRDefault="00DC6E8A"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9.5432 for late</w:t>
            </w:r>
          </w:p>
        </w:tc>
        <w:tc>
          <w:tcPr>
            <w:tcW w:w="4518" w:type="dxa"/>
            <w:tcBorders>
              <w:top w:val="single" w:sz="4" w:space="0" w:color="auto"/>
            </w:tcBorders>
          </w:tcPr>
          <w:p w:rsidR="00DC6E8A" w:rsidRPr="00AA3395" w:rsidRDefault="006C679F"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Mean across all plants in the demographic census in 2011</w:t>
            </w:r>
          </w:p>
        </w:tc>
      </w:tr>
      <w:tr w:rsidR="00DC6E8A" w:rsidRPr="00AA3395" w:rsidTr="00AA3395">
        <w:tc>
          <w:tcPr>
            <w:tcW w:w="0" w:type="auto"/>
          </w:tcPr>
          <w:p w:rsidR="00DC6E8A" w:rsidRPr="00AA3395" w:rsidRDefault="003F1E15" w:rsidP="00AA3395">
            <w:pPr>
              <w:pStyle w:val="NoSpacing"/>
              <w:contextualSpacing/>
              <w:rPr>
                <w:rFonts w:ascii="Times New Roman" w:hAnsi="Times New Roman" w:cs="Times New Roman"/>
                <w:i/>
                <w:sz w:val="20"/>
                <w:szCs w:val="20"/>
              </w:rPr>
            </w:pPr>
            <w:r w:rsidRPr="00AA3395">
              <w:rPr>
                <w:rFonts w:ascii="Times New Roman" w:hAnsi="Times New Roman" w:cs="Times New Roman"/>
                <w:i/>
                <w:sz w:val="20"/>
                <w:szCs w:val="20"/>
              </w:rPr>
              <w:t>f</w:t>
            </w:r>
          </w:p>
        </w:tc>
        <w:tc>
          <w:tcPr>
            <w:tcW w:w="2069" w:type="dxa"/>
          </w:tcPr>
          <w:p w:rsidR="00DC6E8A" w:rsidRPr="00AA3395" w:rsidRDefault="00DC6E8A"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mean number of fruits per raceme</w:t>
            </w:r>
          </w:p>
        </w:tc>
        <w:tc>
          <w:tcPr>
            <w:tcW w:w="1800" w:type="dxa"/>
          </w:tcPr>
          <w:p w:rsidR="00DC6E8A" w:rsidRPr="00AA3395" w:rsidRDefault="00DC6E8A"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5.185</w:t>
            </w:r>
          </w:p>
        </w:tc>
        <w:tc>
          <w:tcPr>
            <w:tcW w:w="4518" w:type="dxa"/>
          </w:tcPr>
          <w:p w:rsidR="00DC6E8A" w:rsidRPr="00AA3395" w:rsidRDefault="000E3E0F"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Yarned racemes on 1</w:t>
            </w:r>
            <w:r w:rsidR="00363AE1" w:rsidRPr="00AA3395">
              <w:rPr>
                <w:rFonts w:ascii="Times New Roman" w:hAnsi="Times New Roman" w:cs="Times New Roman"/>
                <w:sz w:val="20"/>
                <w:szCs w:val="20"/>
              </w:rPr>
              <w:t xml:space="preserve">35 </w:t>
            </w:r>
            <w:r w:rsidRPr="00AA3395">
              <w:rPr>
                <w:rFonts w:ascii="Times New Roman" w:hAnsi="Times New Roman" w:cs="Times New Roman"/>
                <w:sz w:val="20"/>
                <w:szCs w:val="20"/>
              </w:rPr>
              <w:t xml:space="preserve">reproductive plants </w:t>
            </w:r>
            <w:r w:rsidR="00363AE1" w:rsidRPr="00AA3395">
              <w:rPr>
                <w:rFonts w:ascii="Times New Roman" w:hAnsi="Times New Roman" w:cs="Times New Roman"/>
                <w:sz w:val="20"/>
                <w:szCs w:val="20"/>
              </w:rPr>
              <w:t xml:space="preserve">that produced dehisced fruits </w:t>
            </w:r>
            <w:r w:rsidRPr="00AA3395">
              <w:rPr>
                <w:rFonts w:ascii="Times New Roman" w:hAnsi="Times New Roman" w:cs="Times New Roman"/>
                <w:sz w:val="20"/>
                <w:szCs w:val="20"/>
              </w:rPr>
              <w:t>in 2011</w:t>
            </w:r>
          </w:p>
        </w:tc>
      </w:tr>
      <w:tr w:rsidR="00DC6E8A" w:rsidRPr="00AA3395" w:rsidTr="00AA3395">
        <w:tc>
          <w:tcPr>
            <w:tcW w:w="0" w:type="auto"/>
          </w:tcPr>
          <w:p w:rsidR="00DC6E8A" w:rsidRPr="00AA3395" w:rsidRDefault="003F1E15" w:rsidP="00AA3395">
            <w:pPr>
              <w:pStyle w:val="NoSpacing"/>
              <w:contextualSpacing/>
              <w:rPr>
                <w:rFonts w:ascii="Times New Roman" w:hAnsi="Times New Roman" w:cs="Times New Roman"/>
                <w:i/>
                <w:sz w:val="20"/>
                <w:szCs w:val="20"/>
              </w:rPr>
            </w:pPr>
            <w:r w:rsidRPr="00AA3395">
              <w:rPr>
                <w:rFonts w:ascii="Times New Roman" w:hAnsi="Times New Roman" w:cs="Times New Roman"/>
                <w:i/>
                <w:sz w:val="20"/>
                <w:szCs w:val="20"/>
              </w:rPr>
              <w:t>s</w:t>
            </w:r>
          </w:p>
        </w:tc>
        <w:tc>
          <w:tcPr>
            <w:tcW w:w="2069" w:type="dxa"/>
          </w:tcPr>
          <w:p w:rsidR="00DC6E8A" w:rsidRPr="00AA3395" w:rsidRDefault="00DC6E8A"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mean number of seeds per fruit</w:t>
            </w:r>
          </w:p>
        </w:tc>
        <w:tc>
          <w:tcPr>
            <w:tcW w:w="1800" w:type="dxa"/>
          </w:tcPr>
          <w:p w:rsidR="00DC6E8A" w:rsidRPr="00AA3395" w:rsidRDefault="00DC6E8A"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3.376</w:t>
            </w:r>
          </w:p>
        </w:tc>
        <w:tc>
          <w:tcPr>
            <w:tcW w:w="4518" w:type="dxa"/>
          </w:tcPr>
          <w:p w:rsidR="00DC6E8A" w:rsidRPr="00AA3395" w:rsidRDefault="006C679F"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Mean seeds per fruit from 23, 3, 15, and 39 fruits collected in 2005, 2008, 2009, and 2010</w:t>
            </w:r>
          </w:p>
        </w:tc>
      </w:tr>
      <w:tr w:rsidR="00DC6E8A" w:rsidRPr="00AA3395" w:rsidTr="00AA3395">
        <w:tc>
          <w:tcPr>
            <w:tcW w:w="0" w:type="auto"/>
          </w:tcPr>
          <w:p w:rsidR="00DC6E8A" w:rsidRPr="00AA3395" w:rsidRDefault="003F1E15" w:rsidP="00AA3395">
            <w:pPr>
              <w:pStyle w:val="NoSpacing"/>
              <w:contextualSpacing/>
              <w:rPr>
                <w:rFonts w:ascii="Times New Roman" w:hAnsi="Times New Roman" w:cs="Times New Roman"/>
                <w:i/>
                <w:sz w:val="20"/>
                <w:szCs w:val="20"/>
              </w:rPr>
            </w:pPr>
            <w:r w:rsidRPr="00AA3395">
              <w:rPr>
                <w:rFonts w:ascii="Times New Roman" w:hAnsi="Times New Roman" w:cs="Times New Roman"/>
                <w:i/>
                <w:sz w:val="20"/>
                <w:szCs w:val="20"/>
              </w:rPr>
              <w:t>c</w:t>
            </w:r>
          </w:p>
        </w:tc>
        <w:tc>
          <w:tcPr>
            <w:tcW w:w="2069" w:type="dxa"/>
          </w:tcPr>
          <w:p w:rsidR="00DC6E8A" w:rsidRPr="00AA3395" w:rsidRDefault="00DC6E8A"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proportion of racemes consumed</w:t>
            </w:r>
          </w:p>
        </w:tc>
        <w:tc>
          <w:tcPr>
            <w:tcW w:w="1800" w:type="dxa"/>
          </w:tcPr>
          <w:p w:rsidR="00DC6E8A" w:rsidRPr="00AA3395" w:rsidRDefault="00DC6E8A"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0.0973</w:t>
            </w:r>
          </w:p>
        </w:tc>
        <w:tc>
          <w:tcPr>
            <w:tcW w:w="4518" w:type="dxa"/>
          </w:tcPr>
          <w:p w:rsidR="00DC6E8A" w:rsidRPr="00AA3395" w:rsidRDefault="000E3E0F"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Yarned racemes on 1</w:t>
            </w:r>
            <w:r w:rsidR="00BB1069" w:rsidRPr="00AA3395">
              <w:rPr>
                <w:rFonts w:ascii="Times New Roman" w:hAnsi="Times New Roman" w:cs="Times New Roman"/>
                <w:sz w:val="20"/>
                <w:szCs w:val="20"/>
              </w:rPr>
              <w:t>48</w:t>
            </w:r>
            <w:r w:rsidRPr="00AA3395">
              <w:rPr>
                <w:rFonts w:ascii="Times New Roman" w:hAnsi="Times New Roman" w:cs="Times New Roman"/>
                <w:sz w:val="20"/>
                <w:szCs w:val="20"/>
              </w:rPr>
              <w:t xml:space="preserve"> reproductive plants in 2011</w:t>
            </w:r>
          </w:p>
        </w:tc>
      </w:tr>
      <w:tr w:rsidR="00DC6E8A" w:rsidRPr="00AA3395" w:rsidTr="00AA3395">
        <w:tc>
          <w:tcPr>
            <w:tcW w:w="0" w:type="auto"/>
          </w:tcPr>
          <w:p w:rsidR="00DC6E8A" w:rsidRPr="00AA3395" w:rsidRDefault="003F1E15" w:rsidP="00AA3395">
            <w:pPr>
              <w:pStyle w:val="NoSpacing"/>
              <w:contextualSpacing/>
              <w:rPr>
                <w:rFonts w:ascii="Times New Roman" w:hAnsi="Times New Roman" w:cs="Times New Roman"/>
                <w:i/>
                <w:sz w:val="20"/>
                <w:szCs w:val="20"/>
              </w:rPr>
            </w:pPr>
            <w:r w:rsidRPr="00AA3395">
              <w:rPr>
                <w:rFonts w:ascii="Times New Roman" w:hAnsi="Times New Roman" w:cs="Times New Roman"/>
                <w:i/>
                <w:sz w:val="20"/>
                <w:szCs w:val="20"/>
              </w:rPr>
              <w:t>a</w:t>
            </w:r>
          </w:p>
        </w:tc>
        <w:tc>
          <w:tcPr>
            <w:tcW w:w="2069" w:type="dxa"/>
          </w:tcPr>
          <w:p w:rsidR="00DC6E8A" w:rsidRPr="00AA3395" w:rsidRDefault="00DC6E8A"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 xml:space="preserve">proportion of racemes aborted </w:t>
            </w:r>
          </w:p>
        </w:tc>
        <w:tc>
          <w:tcPr>
            <w:tcW w:w="1800" w:type="dxa"/>
          </w:tcPr>
          <w:p w:rsidR="00DC6E8A" w:rsidRPr="00AA3395" w:rsidRDefault="00DC6E8A"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0.1431</w:t>
            </w:r>
          </w:p>
        </w:tc>
        <w:tc>
          <w:tcPr>
            <w:tcW w:w="4518" w:type="dxa"/>
          </w:tcPr>
          <w:p w:rsidR="00DC6E8A" w:rsidRPr="00AA3395" w:rsidRDefault="00701C86" w:rsidP="00AA3395">
            <w:pPr>
              <w:pStyle w:val="NoSpacing"/>
              <w:contextualSpacing/>
              <w:rPr>
                <w:rFonts w:ascii="Times New Roman" w:hAnsi="Times New Roman" w:cs="Times New Roman"/>
                <w:sz w:val="20"/>
                <w:szCs w:val="20"/>
              </w:rPr>
            </w:pPr>
            <w:r w:rsidRPr="00AA3395">
              <w:rPr>
                <w:rFonts w:ascii="Times New Roman" w:hAnsi="Times New Roman" w:cs="Times New Roman"/>
                <w:sz w:val="20"/>
                <w:szCs w:val="20"/>
              </w:rPr>
              <w:t xml:space="preserve">Yarned racemes </w:t>
            </w:r>
            <w:r w:rsidR="000E3E0F" w:rsidRPr="00AA3395">
              <w:rPr>
                <w:rFonts w:ascii="Times New Roman" w:hAnsi="Times New Roman" w:cs="Times New Roman"/>
                <w:sz w:val="20"/>
                <w:szCs w:val="20"/>
              </w:rPr>
              <w:t>on 1</w:t>
            </w:r>
            <w:r w:rsidR="00BB1069" w:rsidRPr="00AA3395">
              <w:rPr>
                <w:rFonts w:ascii="Times New Roman" w:hAnsi="Times New Roman" w:cs="Times New Roman"/>
                <w:sz w:val="20"/>
                <w:szCs w:val="20"/>
              </w:rPr>
              <w:t>48</w:t>
            </w:r>
            <w:r w:rsidR="000E3E0F" w:rsidRPr="00AA3395">
              <w:rPr>
                <w:rFonts w:ascii="Times New Roman" w:hAnsi="Times New Roman" w:cs="Times New Roman"/>
                <w:sz w:val="20"/>
                <w:szCs w:val="20"/>
              </w:rPr>
              <w:t xml:space="preserve"> reproductive plants </w:t>
            </w:r>
            <w:r w:rsidRPr="00AA3395">
              <w:rPr>
                <w:rFonts w:ascii="Times New Roman" w:hAnsi="Times New Roman" w:cs="Times New Roman"/>
                <w:sz w:val="20"/>
                <w:szCs w:val="20"/>
              </w:rPr>
              <w:t>in 2011</w:t>
            </w:r>
          </w:p>
        </w:tc>
      </w:tr>
    </w:tbl>
    <w:p w:rsidR="00D944BF" w:rsidRPr="00056EB8" w:rsidRDefault="00D944BF" w:rsidP="00AA3395">
      <w:pPr>
        <w:pStyle w:val="NoSpacing"/>
        <w:contextualSpacing/>
        <w:rPr>
          <w:rFonts w:ascii="Times New Roman" w:hAnsi="Times New Roman" w:cs="Times New Roman"/>
          <w:sz w:val="24"/>
          <w:szCs w:val="24"/>
        </w:rPr>
      </w:pPr>
    </w:p>
    <w:p w:rsidR="00DC6E8A" w:rsidRPr="00162735" w:rsidRDefault="003F1E15" w:rsidP="00AA3395">
      <w:pPr>
        <w:spacing w:after="0" w:line="240" w:lineRule="auto"/>
        <w:contextualSpacing/>
        <w:rPr>
          <w:rFonts w:ascii="Times New Roman" w:hAnsi="Times New Roman" w:cs="Times New Roman"/>
          <w:b/>
          <w:sz w:val="24"/>
          <w:szCs w:val="24"/>
        </w:rPr>
      </w:pPr>
      <w:r w:rsidRPr="00162735">
        <w:rPr>
          <w:rFonts w:ascii="Times New Roman" w:hAnsi="Times New Roman" w:cs="Times New Roman"/>
          <w:b/>
          <w:sz w:val="24"/>
          <w:szCs w:val="24"/>
        </w:rPr>
        <w:t xml:space="preserve">Table </w:t>
      </w:r>
      <w:r w:rsidR="00162735" w:rsidRPr="00162735">
        <w:rPr>
          <w:rFonts w:ascii="Times New Roman" w:hAnsi="Times New Roman" w:cs="Times New Roman"/>
          <w:b/>
          <w:sz w:val="24"/>
          <w:szCs w:val="24"/>
        </w:rPr>
        <w:t>S</w:t>
      </w:r>
      <w:r w:rsidRPr="00162735">
        <w:rPr>
          <w:rFonts w:ascii="Times New Roman" w:hAnsi="Times New Roman" w:cs="Times New Roman"/>
          <w:b/>
          <w:sz w:val="24"/>
          <w:szCs w:val="24"/>
        </w:rPr>
        <w:t xml:space="preserve">2. </w:t>
      </w:r>
      <w:r w:rsidR="00865375" w:rsidRPr="00162735">
        <w:rPr>
          <w:rFonts w:ascii="Times New Roman" w:hAnsi="Times New Roman" w:cs="Times New Roman"/>
          <w:b/>
          <w:sz w:val="24"/>
          <w:szCs w:val="24"/>
        </w:rPr>
        <w:t>Seedling establishment in 2012</w:t>
      </w:r>
      <w:r w:rsidRPr="00162735">
        <w:rPr>
          <w:rFonts w:ascii="Times New Roman" w:hAnsi="Times New Roman" w:cs="Times New Roman"/>
          <w:b/>
          <w:sz w:val="24"/>
          <w:szCs w:val="24"/>
        </w:rPr>
        <w:t xml:space="preserve"> in </w:t>
      </w:r>
      <w:r w:rsidR="00EC313D" w:rsidRPr="00162735">
        <w:rPr>
          <w:rFonts w:ascii="Times New Roman" w:hAnsi="Times New Roman" w:cs="Times New Roman"/>
          <w:b/>
          <w:sz w:val="24"/>
          <w:szCs w:val="24"/>
        </w:rPr>
        <w:t>plot</w:t>
      </w:r>
      <w:r w:rsidRPr="00162735">
        <w:rPr>
          <w:rFonts w:ascii="Times New Roman" w:hAnsi="Times New Roman" w:cs="Times New Roman"/>
          <w:b/>
          <w:sz w:val="24"/>
          <w:szCs w:val="24"/>
        </w:rPr>
        <w:t>s in early (E) and late (L) successional microhabitat.</w:t>
      </w:r>
      <w:r w:rsidR="00EC313D" w:rsidRPr="00162735">
        <w:rPr>
          <w:rFonts w:ascii="Times New Roman" w:hAnsi="Times New Roman" w:cs="Times New Roman"/>
          <w:b/>
          <w:sz w:val="24"/>
          <w:szCs w:val="24"/>
        </w:rPr>
        <w:t xml:space="preserve"> </w:t>
      </w:r>
    </w:p>
    <w:tbl>
      <w:tblPr>
        <w:tblW w:w="5000" w:type="pct"/>
        <w:jc w:val="center"/>
        <w:tblLook w:val="04A0" w:firstRow="1" w:lastRow="0" w:firstColumn="1" w:lastColumn="0" w:noHBand="0" w:noVBand="1"/>
      </w:tblPr>
      <w:tblGrid>
        <w:gridCol w:w="1205"/>
        <w:gridCol w:w="1161"/>
        <w:gridCol w:w="1992"/>
        <w:gridCol w:w="1552"/>
        <w:gridCol w:w="1484"/>
        <w:gridCol w:w="1966"/>
      </w:tblGrid>
      <w:tr w:rsidR="00EC313D" w:rsidRPr="00AA3395" w:rsidTr="00AA3395">
        <w:trPr>
          <w:trHeight w:val="255"/>
          <w:jc w:val="center"/>
        </w:trPr>
        <w:tc>
          <w:tcPr>
            <w:tcW w:w="644" w:type="pct"/>
            <w:tcBorders>
              <w:top w:val="single" w:sz="12" w:space="0" w:color="auto"/>
              <w:bottom w:val="single" w:sz="4" w:space="0" w:color="auto"/>
            </w:tcBorders>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Plot</w:t>
            </w:r>
          </w:p>
        </w:tc>
        <w:tc>
          <w:tcPr>
            <w:tcW w:w="620" w:type="pct"/>
            <w:tcBorders>
              <w:top w:val="single" w:sz="12" w:space="0" w:color="auto"/>
              <w:bottom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Habitat</w:t>
            </w:r>
          </w:p>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type</w:t>
            </w:r>
          </w:p>
        </w:tc>
        <w:tc>
          <w:tcPr>
            <w:tcW w:w="1064" w:type="pct"/>
            <w:tcBorders>
              <w:top w:val="single" w:sz="12" w:space="0" w:color="auto"/>
              <w:bottom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(1)</w:t>
            </w:r>
          </w:p>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Number of</w:t>
            </w:r>
          </w:p>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reproductive</w:t>
            </w:r>
          </w:p>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plants in 2011</w:t>
            </w:r>
          </w:p>
        </w:tc>
        <w:tc>
          <w:tcPr>
            <w:tcW w:w="829" w:type="pct"/>
            <w:tcBorders>
              <w:top w:val="single" w:sz="12" w:space="0" w:color="auto"/>
              <w:bottom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w:t>
            </w:r>
          </w:p>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Number of</w:t>
            </w:r>
          </w:p>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seedlings</w:t>
            </w:r>
          </w:p>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in 2012</w:t>
            </w:r>
          </w:p>
        </w:tc>
        <w:tc>
          <w:tcPr>
            <w:tcW w:w="793" w:type="pct"/>
            <w:tcBorders>
              <w:top w:val="single" w:sz="12" w:space="0" w:color="auto"/>
              <w:bottom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(3)</w:t>
            </w:r>
          </w:p>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Estimated</w:t>
            </w:r>
          </w:p>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seed rain</w:t>
            </w:r>
          </w:p>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in 2011</w:t>
            </w:r>
            <w:r w:rsidRPr="00AA3395">
              <w:rPr>
                <w:rFonts w:ascii="Times New Roman" w:eastAsia="Times New Roman" w:hAnsi="Times New Roman" w:cs="Times New Roman"/>
                <w:sz w:val="20"/>
                <w:szCs w:val="20"/>
                <w:vertAlign w:val="superscript"/>
              </w:rPr>
              <w:t>$</w:t>
            </w:r>
          </w:p>
        </w:tc>
        <w:tc>
          <w:tcPr>
            <w:tcW w:w="1050" w:type="pct"/>
            <w:tcBorders>
              <w:top w:val="single" w:sz="12" w:space="0" w:color="auto"/>
              <w:bottom w:val="single" w:sz="4" w:space="0" w:color="auto"/>
            </w:tcBorders>
            <w:shd w:val="clear" w:color="auto" w:fill="auto"/>
            <w:noWrap/>
            <w:vAlign w:val="bottom"/>
          </w:tcPr>
          <w:p w:rsidR="003F1E15"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(4)</w:t>
            </w:r>
          </w:p>
          <w:p w:rsidR="003F1E15" w:rsidRPr="00AA3395" w:rsidRDefault="003F1E15"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Seedling</w:t>
            </w:r>
          </w:p>
          <w:p w:rsidR="00DC6E8A" w:rsidRPr="00AA3395" w:rsidRDefault="003F1E15"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establishment</w:t>
            </w:r>
          </w:p>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=(2)/(3)</w:t>
            </w:r>
          </w:p>
        </w:tc>
      </w:tr>
      <w:tr w:rsidR="00EC313D" w:rsidRPr="00AA3395" w:rsidTr="00AA3395">
        <w:trPr>
          <w:trHeight w:val="255"/>
          <w:jc w:val="center"/>
        </w:trPr>
        <w:tc>
          <w:tcPr>
            <w:tcW w:w="644" w:type="pct"/>
            <w:tcBorders>
              <w:top w:val="single" w:sz="4" w:space="0" w:color="auto"/>
            </w:tcBorders>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SL-01</w:t>
            </w:r>
          </w:p>
        </w:tc>
        <w:tc>
          <w:tcPr>
            <w:tcW w:w="620" w:type="pct"/>
            <w:tcBorders>
              <w:top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E</w:t>
            </w:r>
          </w:p>
        </w:tc>
        <w:tc>
          <w:tcPr>
            <w:tcW w:w="1064" w:type="pct"/>
            <w:tcBorders>
              <w:top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4</w:t>
            </w:r>
          </w:p>
        </w:tc>
        <w:tc>
          <w:tcPr>
            <w:tcW w:w="829" w:type="pct"/>
            <w:tcBorders>
              <w:top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c>
          <w:tcPr>
            <w:tcW w:w="793" w:type="pct"/>
            <w:tcBorders>
              <w:top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456.863</w:t>
            </w:r>
          </w:p>
        </w:tc>
        <w:tc>
          <w:tcPr>
            <w:tcW w:w="1050" w:type="pct"/>
            <w:tcBorders>
              <w:top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SL-03</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E</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5</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571.0787</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SL-05*</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E</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1</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114.2157</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0.017511</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SL-07</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E</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5</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4</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571.0787</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0.007004</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SL-09</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E</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3</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7</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342.6472</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0.020429</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SL-11</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E</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6</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228.4315</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0.026266</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SL-13</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E</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228.4315</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0.008755</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SL-15</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E</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7</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799.5102</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0.002502</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SL-17</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E</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8</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4</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913.7259</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0.004378</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SL-19</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E</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6</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10</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685.2944</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0.014592</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SL-02</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L</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258.3879</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SL-04</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L</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8</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1033.552</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SL-06*</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L</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5</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1</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645.9698</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0.001548</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SL-08*</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L</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6</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3</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775.1638</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0.00387</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SL-10**</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L</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4</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NA</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516.7759</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SL-12</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L</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3</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387.5819</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SL-14*</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L</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6</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775.1638</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0.00258</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SL-16</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L</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258.3879</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r>
      <w:tr w:rsidR="00EC313D" w:rsidRPr="00AA3395" w:rsidTr="00AA3395">
        <w:trPr>
          <w:trHeight w:val="255"/>
          <w:jc w:val="center"/>
        </w:trPr>
        <w:tc>
          <w:tcPr>
            <w:tcW w:w="644" w:type="pct"/>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SL-18</w:t>
            </w:r>
          </w:p>
        </w:tc>
        <w:tc>
          <w:tcPr>
            <w:tcW w:w="62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L</w:t>
            </w:r>
          </w:p>
        </w:tc>
        <w:tc>
          <w:tcPr>
            <w:tcW w:w="1064"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4</w:t>
            </w:r>
          </w:p>
        </w:tc>
        <w:tc>
          <w:tcPr>
            <w:tcW w:w="829"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2</w:t>
            </w:r>
          </w:p>
        </w:tc>
        <w:tc>
          <w:tcPr>
            <w:tcW w:w="793"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516.7759</w:t>
            </w:r>
          </w:p>
        </w:tc>
        <w:tc>
          <w:tcPr>
            <w:tcW w:w="1050" w:type="pct"/>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0.00387</w:t>
            </w:r>
          </w:p>
        </w:tc>
      </w:tr>
      <w:tr w:rsidR="00EC313D" w:rsidRPr="00AA3395" w:rsidTr="00AA3395">
        <w:trPr>
          <w:trHeight w:val="255"/>
          <w:jc w:val="center"/>
        </w:trPr>
        <w:tc>
          <w:tcPr>
            <w:tcW w:w="644" w:type="pct"/>
            <w:tcBorders>
              <w:bottom w:val="single" w:sz="4" w:space="0" w:color="auto"/>
            </w:tcBorders>
            <w:shd w:val="clear" w:color="auto" w:fill="auto"/>
            <w:noWrap/>
            <w:vAlign w:val="bottom"/>
          </w:tcPr>
          <w:p w:rsidR="00DC6E8A" w:rsidRPr="00AA3395" w:rsidRDefault="00DC6E8A" w:rsidP="00AA3395">
            <w:pPr>
              <w:pStyle w:val="NoSpacing"/>
              <w:contextualSpacing/>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SL-20</w:t>
            </w:r>
          </w:p>
        </w:tc>
        <w:tc>
          <w:tcPr>
            <w:tcW w:w="620" w:type="pct"/>
            <w:tcBorders>
              <w:bottom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L</w:t>
            </w:r>
          </w:p>
        </w:tc>
        <w:tc>
          <w:tcPr>
            <w:tcW w:w="1064" w:type="pct"/>
            <w:tcBorders>
              <w:bottom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7</w:t>
            </w:r>
          </w:p>
        </w:tc>
        <w:tc>
          <w:tcPr>
            <w:tcW w:w="829" w:type="pct"/>
            <w:tcBorders>
              <w:bottom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c>
          <w:tcPr>
            <w:tcW w:w="793" w:type="pct"/>
            <w:tcBorders>
              <w:bottom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904.3577</w:t>
            </w:r>
          </w:p>
        </w:tc>
        <w:tc>
          <w:tcPr>
            <w:tcW w:w="1050" w:type="pct"/>
            <w:tcBorders>
              <w:bottom w:val="single" w:sz="4" w:space="0" w:color="auto"/>
            </w:tcBorders>
            <w:shd w:val="clear" w:color="auto" w:fill="auto"/>
            <w:noWrap/>
            <w:vAlign w:val="bottom"/>
          </w:tcPr>
          <w:p w:rsidR="00DC6E8A" w:rsidRPr="00AA3395" w:rsidRDefault="00DC6E8A" w:rsidP="00AA3395">
            <w:pPr>
              <w:pStyle w:val="NoSpacing"/>
              <w:contextualSpacing/>
              <w:jc w:val="center"/>
              <w:rPr>
                <w:rFonts w:ascii="Times New Roman" w:eastAsia="Times New Roman" w:hAnsi="Times New Roman" w:cs="Times New Roman"/>
                <w:sz w:val="20"/>
                <w:szCs w:val="20"/>
              </w:rPr>
            </w:pPr>
            <w:r w:rsidRPr="00AA3395">
              <w:rPr>
                <w:rFonts w:ascii="Times New Roman" w:eastAsia="Times New Roman" w:hAnsi="Times New Roman" w:cs="Times New Roman"/>
                <w:sz w:val="20"/>
                <w:szCs w:val="20"/>
              </w:rPr>
              <w:t>0</w:t>
            </w:r>
          </w:p>
        </w:tc>
      </w:tr>
    </w:tbl>
    <w:p w:rsidR="00AA3395" w:rsidRPr="003735F2" w:rsidRDefault="00AA3395" w:rsidP="00AA3395">
      <w:pPr>
        <w:pStyle w:val="NoSpacing"/>
        <w:contextualSpacing/>
        <w:rPr>
          <w:rFonts w:ascii="Times New Roman" w:hAnsi="Times New Roman" w:cs="Times New Roman"/>
          <w:i/>
          <w:sz w:val="20"/>
          <w:szCs w:val="20"/>
        </w:rPr>
      </w:pPr>
      <w:r w:rsidRPr="003735F2">
        <w:rPr>
          <w:rFonts w:ascii="Times New Roman" w:hAnsi="Times New Roman" w:cs="Times New Roman"/>
          <w:i/>
          <w:sz w:val="20"/>
          <w:szCs w:val="20"/>
        </w:rPr>
        <w:t>$   Seed rain = (number of reproductive plants)</w:t>
      </w:r>
      <w:proofErr w:type="spellStart"/>
      <w:r w:rsidRPr="003735F2">
        <w:rPr>
          <w:rFonts w:ascii="Times New Roman" w:hAnsi="Times New Roman" w:cs="Times New Roman"/>
          <w:i/>
          <w:sz w:val="20"/>
          <w:szCs w:val="20"/>
        </w:rPr>
        <w:t>rfs</w:t>
      </w:r>
      <w:proofErr w:type="spellEnd"/>
      <w:r w:rsidRPr="003735F2">
        <w:rPr>
          <w:rFonts w:ascii="Times New Roman" w:hAnsi="Times New Roman" w:cs="Times New Roman"/>
          <w:i/>
          <w:sz w:val="20"/>
          <w:szCs w:val="20"/>
        </w:rPr>
        <w:t>(1-c)(1-a)</w:t>
      </w:r>
    </w:p>
    <w:p w:rsidR="00BB1069" w:rsidRPr="003735F2" w:rsidRDefault="00DC6E8A" w:rsidP="00AA3395">
      <w:pPr>
        <w:pStyle w:val="NoSpacing"/>
        <w:contextualSpacing/>
        <w:rPr>
          <w:rFonts w:ascii="Times New Roman" w:hAnsi="Times New Roman" w:cs="Times New Roman"/>
          <w:i/>
          <w:sz w:val="20"/>
          <w:szCs w:val="20"/>
        </w:rPr>
      </w:pPr>
      <w:r w:rsidRPr="003735F2">
        <w:rPr>
          <w:rFonts w:ascii="Times New Roman" w:hAnsi="Times New Roman" w:cs="Times New Roman"/>
          <w:i/>
          <w:sz w:val="20"/>
          <w:szCs w:val="20"/>
        </w:rPr>
        <w:t>*</w:t>
      </w:r>
      <w:r w:rsidR="00AA3395" w:rsidRPr="003735F2">
        <w:rPr>
          <w:rFonts w:ascii="Times New Roman" w:hAnsi="Times New Roman" w:cs="Times New Roman"/>
          <w:i/>
          <w:sz w:val="20"/>
          <w:szCs w:val="20"/>
        </w:rPr>
        <w:t xml:space="preserve">   </w:t>
      </w:r>
      <w:r w:rsidRPr="003735F2">
        <w:rPr>
          <w:rFonts w:ascii="Times New Roman" w:hAnsi="Times New Roman" w:cs="Times New Roman"/>
          <w:i/>
          <w:sz w:val="20"/>
          <w:szCs w:val="20"/>
        </w:rPr>
        <w:t>Plot experienced some degree of sand burial due to sand blowing from restoration</w:t>
      </w:r>
    </w:p>
    <w:p w:rsidR="00C05238" w:rsidRPr="003735F2" w:rsidRDefault="00DC6E8A" w:rsidP="00AA3395">
      <w:pPr>
        <w:pStyle w:val="NoSpacing"/>
        <w:contextualSpacing/>
        <w:rPr>
          <w:rFonts w:ascii="Times New Roman" w:hAnsi="Times New Roman" w:cs="Times New Roman"/>
          <w:i/>
          <w:sz w:val="20"/>
          <w:szCs w:val="20"/>
        </w:rPr>
      </w:pPr>
      <w:r w:rsidRPr="003735F2">
        <w:rPr>
          <w:rFonts w:ascii="Times New Roman" w:hAnsi="Times New Roman" w:cs="Times New Roman"/>
          <w:i/>
          <w:sz w:val="20"/>
          <w:szCs w:val="20"/>
        </w:rPr>
        <w:t>**</w:t>
      </w:r>
      <w:r w:rsidR="00AA3395" w:rsidRPr="003735F2">
        <w:rPr>
          <w:rFonts w:ascii="Times New Roman" w:hAnsi="Times New Roman" w:cs="Times New Roman"/>
          <w:i/>
          <w:sz w:val="20"/>
          <w:szCs w:val="20"/>
        </w:rPr>
        <w:t xml:space="preserve"> </w:t>
      </w:r>
      <w:r w:rsidRPr="003735F2">
        <w:rPr>
          <w:rFonts w:ascii="Times New Roman" w:hAnsi="Times New Roman" w:cs="Times New Roman"/>
          <w:i/>
          <w:sz w:val="20"/>
          <w:szCs w:val="20"/>
        </w:rPr>
        <w:t>Plot experienced complete burial due to sand blowing from restoration</w:t>
      </w:r>
    </w:p>
    <w:p w:rsidR="004C3225" w:rsidRPr="00056EB8" w:rsidRDefault="00C05238" w:rsidP="00AA3395">
      <w:pPr>
        <w:pStyle w:val="NoSpacing"/>
        <w:contextualSpacing/>
        <w:rPr>
          <w:rFonts w:ascii="Times New Roman" w:hAnsi="Times New Roman" w:cs="Times New Roman"/>
          <w:sz w:val="24"/>
          <w:szCs w:val="24"/>
        </w:rPr>
      </w:pPr>
      <w:r w:rsidRPr="00056EB8" w:rsidDel="00C05238">
        <w:rPr>
          <w:rFonts w:ascii="Times New Roman" w:hAnsi="Times New Roman" w:cs="Times New Roman"/>
          <w:sz w:val="24"/>
          <w:szCs w:val="24"/>
        </w:rPr>
        <w:t xml:space="preserve"> </w:t>
      </w:r>
    </w:p>
    <w:p w:rsidR="00DC6E8A" w:rsidRPr="00056EB8" w:rsidRDefault="00DC6E8A" w:rsidP="00AA3395">
      <w:pPr>
        <w:pStyle w:val="NoSpacing"/>
        <w:contextualSpacing/>
        <w:rPr>
          <w:rFonts w:ascii="Times New Roman" w:hAnsi="Times New Roman" w:cs="Times New Roman"/>
          <w:b/>
          <w:i/>
          <w:sz w:val="24"/>
          <w:szCs w:val="24"/>
        </w:rPr>
      </w:pPr>
      <w:r w:rsidRPr="00056EB8">
        <w:rPr>
          <w:rFonts w:ascii="Times New Roman" w:hAnsi="Times New Roman" w:cs="Times New Roman"/>
          <w:b/>
          <w:i/>
          <w:sz w:val="24"/>
          <w:szCs w:val="24"/>
        </w:rPr>
        <w:t>Recruitment of seeds from the seed bank</w:t>
      </w:r>
    </w:p>
    <w:p w:rsidR="00DC6E8A" w:rsidRPr="00056EB8" w:rsidRDefault="00DC6E8A" w:rsidP="00AA3395">
      <w:pPr>
        <w:pStyle w:val="NoSpacing"/>
        <w:contextualSpacing/>
        <w:rPr>
          <w:rFonts w:ascii="Times New Roman" w:hAnsi="Times New Roman" w:cs="Times New Roman"/>
          <w:sz w:val="24"/>
          <w:szCs w:val="24"/>
        </w:rPr>
      </w:pPr>
    </w:p>
    <w:p w:rsidR="00D522CC" w:rsidRPr="00056EB8" w:rsidRDefault="00BB1069" w:rsidP="00AA3395">
      <w:pPr>
        <w:pStyle w:val="NoSpacing"/>
        <w:contextualSpacing/>
        <w:rPr>
          <w:rFonts w:ascii="Times New Roman" w:hAnsi="Times New Roman" w:cs="Times New Roman"/>
          <w:sz w:val="24"/>
          <w:szCs w:val="24"/>
        </w:rPr>
      </w:pPr>
      <w:r w:rsidRPr="00056EB8">
        <w:rPr>
          <w:rFonts w:ascii="Times New Roman" w:hAnsi="Times New Roman" w:cs="Times New Roman"/>
          <w:sz w:val="24"/>
          <w:szCs w:val="24"/>
        </w:rPr>
        <w:t xml:space="preserve">To measure recruitment of seeds from the seed bank, </w:t>
      </w:r>
      <w:r w:rsidR="00DF33AE" w:rsidRPr="00056EB8">
        <w:rPr>
          <w:rFonts w:ascii="Times New Roman" w:hAnsi="Times New Roman" w:cs="Times New Roman"/>
          <w:sz w:val="24"/>
          <w:szCs w:val="24"/>
        </w:rPr>
        <w:t xml:space="preserve">we collected seeds of </w:t>
      </w:r>
      <w:r w:rsidR="00DF33AE" w:rsidRPr="00056EB8">
        <w:rPr>
          <w:rFonts w:ascii="Times New Roman" w:hAnsi="Times New Roman" w:cs="Times New Roman"/>
          <w:i/>
          <w:sz w:val="24"/>
          <w:szCs w:val="24"/>
        </w:rPr>
        <w:t>L. tidestromii</w:t>
      </w:r>
      <w:r w:rsidR="00DF33AE" w:rsidRPr="00056EB8">
        <w:rPr>
          <w:rFonts w:ascii="Times New Roman" w:hAnsi="Times New Roman" w:cs="Times New Roman"/>
          <w:sz w:val="24"/>
          <w:szCs w:val="24"/>
        </w:rPr>
        <w:t xml:space="preserve"> (using </w:t>
      </w:r>
      <w:r w:rsidR="00833C49" w:rsidRPr="00056EB8">
        <w:rPr>
          <w:rFonts w:ascii="Times New Roman" w:hAnsi="Times New Roman" w:cs="Times New Roman"/>
          <w:sz w:val="24"/>
          <w:szCs w:val="24"/>
        </w:rPr>
        <w:t>mesh fabric</w:t>
      </w:r>
      <w:r w:rsidR="00DF33AE" w:rsidRPr="00056EB8">
        <w:rPr>
          <w:rFonts w:ascii="Times New Roman" w:hAnsi="Times New Roman" w:cs="Times New Roman"/>
          <w:sz w:val="24"/>
          <w:szCs w:val="24"/>
        </w:rPr>
        <w:t xml:space="preserve"> to catch seeds from fruits) </w:t>
      </w:r>
      <w:r w:rsidR="00E15EDF" w:rsidRPr="00056EB8">
        <w:rPr>
          <w:rFonts w:ascii="Times New Roman" w:hAnsi="Times New Roman" w:cs="Times New Roman"/>
          <w:sz w:val="24"/>
          <w:szCs w:val="24"/>
        </w:rPr>
        <w:t xml:space="preserve">in 2008 </w:t>
      </w:r>
      <w:r w:rsidR="00DF33AE" w:rsidRPr="00056EB8">
        <w:rPr>
          <w:rFonts w:ascii="Times New Roman" w:hAnsi="Times New Roman" w:cs="Times New Roman"/>
          <w:sz w:val="24"/>
          <w:szCs w:val="24"/>
        </w:rPr>
        <w:t xml:space="preserve">and redistributed them directly back into seed baskets to measure recruitment in </w:t>
      </w:r>
      <w:r w:rsidRPr="00056EB8">
        <w:rPr>
          <w:rFonts w:ascii="Times New Roman" w:hAnsi="Times New Roman" w:cs="Times New Roman"/>
          <w:sz w:val="24"/>
          <w:szCs w:val="24"/>
        </w:rPr>
        <w:t xml:space="preserve">2009, 2010, </w:t>
      </w:r>
      <w:r w:rsidR="00DF33AE" w:rsidRPr="00056EB8">
        <w:rPr>
          <w:rFonts w:ascii="Times New Roman" w:hAnsi="Times New Roman" w:cs="Times New Roman"/>
          <w:sz w:val="24"/>
          <w:szCs w:val="24"/>
        </w:rPr>
        <w:t>and 2011</w:t>
      </w:r>
      <w:r w:rsidRPr="00056EB8">
        <w:rPr>
          <w:rFonts w:ascii="Times New Roman" w:hAnsi="Times New Roman" w:cs="Times New Roman"/>
          <w:sz w:val="24"/>
          <w:szCs w:val="24"/>
        </w:rPr>
        <w:t>. As part of our larger study, we installed 6 seed baskets at Goat Rock State Beach (Sonoma</w:t>
      </w:r>
      <w:r w:rsidR="00833C49" w:rsidRPr="00056EB8">
        <w:rPr>
          <w:rFonts w:ascii="Times New Roman" w:hAnsi="Times New Roman" w:cs="Times New Roman"/>
          <w:sz w:val="24"/>
          <w:szCs w:val="24"/>
        </w:rPr>
        <w:t xml:space="preserve"> County, CA</w:t>
      </w:r>
      <w:r w:rsidRPr="00056EB8">
        <w:rPr>
          <w:rFonts w:ascii="Times New Roman" w:hAnsi="Times New Roman" w:cs="Times New Roman"/>
          <w:sz w:val="24"/>
          <w:szCs w:val="24"/>
        </w:rPr>
        <w:t xml:space="preserve">) and Pacific Groves Golf </w:t>
      </w:r>
      <w:r w:rsidR="00050E1B">
        <w:rPr>
          <w:rFonts w:ascii="Times New Roman" w:hAnsi="Times New Roman" w:cs="Times New Roman"/>
          <w:sz w:val="24"/>
          <w:szCs w:val="24"/>
        </w:rPr>
        <w:t>Links</w:t>
      </w:r>
      <w:r w:rsidRPr="00056EB8">
        <w:rPr>
          <w:rFonts w:ascii="Times New Roman" w:hAnsi="Times New Roman" w:cs="Times New Roman"/>
          <w:sz w:val="24"/>
          <w:szCs w:val="24"/>
        </w:rPr>
        <w:t xml:space="preserve"> (Monterey</w:t>
      </w:r>
      <w:r w:rsidR="00833C49" w:rsidRPr="00056EB8">
        <w:rPr>
          <w:rFonts w:ascii="Times New Roman" w:hAnsi="Times New Roman" w:cs="Times New Roman"/>
          <w:sz w:val="24"/>
          <w:szCs w:val="24"/>
        </w:rPr>
        <w:t xml:space="preserve"> County, CA</w:t>
      </w:r>
      <w:r w:rsidRPr="00056EB8">
        <w:rPr>
          <w:rFonts w:ascii="Times New Roman" w:hAnsi="Times New Roman" w:cs="Times New Roman"/>
          <w:sz w:val="24"/>
          <w:szCs w:val="24"/>
        </w:rPr>
        <w:t>) and 12 seed baskets at Abbotts Lagoon (Marin</w:t>
      </w:r>
      <w:r w:rsidR="00833C49" w:rsidRPr="00056EB8">
        <w:rPr>
          <w:rFonts w:ascii="Times New Roman" w:hAnsi="Times New Roman" w:cs="Times New Roman"/>
          <w:sz w:val="24"/>
          <w:szCs w:val="24"/>
        </w:rPr>
        <w:t xml:space="preserve"> County, CA</w:t>
      </w:r>
      <w:r w:rsidRPr="00056EB8">
        <w:rPr>
          <w:rFonts w:ascii="Times New Roman" w:hAnsi="Times New Roman" w:cs="Times New Roman"/>
          <w:sz w:val="24"/>
          <w:szCs w:val="24"/>
        </w:rPr>
        <w:t>) and Spanish Bay (Monterey</w:t>
      </w:r>
      <w:r w:rsidR="00833C49" w:rsidRPr="00056EB8">
        <w:rPr>
          <w:rFonts w:ascii="Times New Roman" w:hAnsi="Times New Roman" w:cs="Times New Roman"/>
          <w:sz w:val="24"/>
          <w:szCs w:val="24"/>
        </w:rPr>
        <w:t xml:space="preserve"> County, CA</w:t>
      </w:r>
      <w:r w:rsidRPr="00056EB8">
        <w:rPr>
          <w:rFonts w:ascii="Times New Roman" w:hAnsi="Times New Roman" w:cs="Times New Roman"/>
          <w:sz w:val="24"/>
          <w:szCs w:val="24"/>
        </w:rPr>
        <w:t xml:space="preserve">). At Goat Rock and Pacific Groves, each seed basket was initiated with </w:t>
      </w:r>
      <w:r w:rsidR="003A2E84" w:rsidRPr="00056EB8">
        <w:rPr>
          <w:rFonts w:ascii="Times New Roman" w:hAnsi="Times New Roman" w:cs="Times New Roman"/>
          <w:sz w:val="24"/>
          <w:szCs w:val="24"/>
        </w:rPr>
        <w:t>50</w:t>
      </w:r>
      <w:r w:rsidRPr="00056EB8">
        <w:rPr>
          <w:rFonts w:ascii="Times New Roman" w:hAnsi="Times New Roman" w:cs="Times New Roman"/>
          <w:sz w:val="24"/>
          <w:szCs w:val="24"/>
        </w:rPr>
        <w:t xml:space="preserve"> seeds of </w:t>
      </w:r>
      <w:r w:rsidR="006E16D7" w:rsidRPr="00056EB8">
        <w:rPr>
          <w:rFonts w:ascii="Times New Roman" w:hAnsi="Times New Roman" w:cs="Times New Roman"/>
          <w:i/>
          <w:sz w:val="24"/>
          <w:szCs w:val="24"/>
        </w:rPr>
        <w:t>L. tidestromii</w:t>
      </w:r>
      <w:r w:rsidRPr="00056EB8">
        <w:rPr>
          <w:rFonts w:ascii="Times New Roman" w:hAnsi="Times New Roman" w:cs="Times New Roman"/>
          <w:sz w:val="24"/>
          <w:szCs w:val="24"/>
        </w:rPr>
        <w:t xml:space="preserve">. At Abbotts Lagoon and Spanish Bay, </w:t>
      </w:r>
      <w:r w:rsidR="00E15EDF" w:rsidRPr="00056EB8">
        <w:rPr>
          <w:rFonts w:ascii="Times New Roman" w:hAnsi="Times New Roman" w:cs="Times New Roman"/>
          <w:sz w:val="24"/>
          <w:szCs w:val="24"/>
        </w:rPr>
        <w:t>six</w:t>
      </w:r>
      <w:r w:rsidRPr="00056EB8">
        <w:rPr>
          <w:rFonts w:ascii="Times New Roman" w:hAnsi="Times New Roman" w:cs="Times New Roman"/>
          <w:sz w:val="24"/>
          <w:szCs w:val="24"/>
        </w:rPr>
        <w:t xml:space="preserve"> seed baskets contained</w:t>
      </w:r>
      <w:r w:rsidR="00533DE3">
        <w:rPr>
          <w:rFonts w:ascii="Times New Roman" w:hAnsi="Times New Roman" w:cs="Times New Roman"/>
          <w:sz w:val="24"/>
          <w:szCs w:val="24"/>
        </w:rPr>
        <w:t xml:space="preserve"> 50 seeds of</w:t>
      </w:r>
      <w:r w:rsidRPr="00056EB8">
        <w:rPr>
          <w:rFonts w:ascii="Times New Roman" w:hAnsi="Times New Roman" w:cs="Times New Roman"/>
          <w:sz w:val="24"/>
          <w:szCs w:val="24"/>
        </w:rPr>
        <w:t xml:space="preserve"> </w:t>
      </w:r>
      <w:r w:rsidR="006E16D7" w:rsidRPr="00056EB8">
        <w:rPr>
          <w:rFonts w:ascii="Times New Roman" w:hAnsi="Times New Roman" w:cs="Times New Roman"/>
          <w:i/>
          <w:sz w:val="24"/>
          <w:szCs w:val="24"/>
        </w:rPr>
        <w:t>L. chamissonis</w:t>
      </w:r>
      <w:r w:rsidRPr="00056EB8">
        <w:rPr>
          <w:rFonts w:ascii="Times New Roman" w:hAnsi="Times New Roman" w:cs="Times New Roman"/>
          <w:sz w:val="24"/>
          <w:szCs w:val="24"/>
        </w:rPr>
        <w:t xml:space="preserve"> and </w:t>
      </w:r>
      <w:r w:rsidR="00E15EDF" w:rsidRPr="00056EB8">
        <w:rPr>
          <w:rFonts w:ascii="Times New Roman" w:hAnsi="Times New Roman" w:cs="Times New Roman"/>
          <w:sz w:val="24"/>
          <w:szCs w:val="24"/>
        </w:rPr>
        <w:t xml:space="preserve">six baskets </w:t>
      </w:r>
      <w:r w:rsidRPr="00056EB8">
        <w:rPr>
          <w:rFonts w:ascii="Times New Roman" w:hAnsi="Times New Roman" w:cs="Times New Roman"/>
          <w:sz w:val="24"/>
          <w:szCs w:val="24"/>
        </w:rPr>
        <w:t xml:space="preserve">contained </w:t>
      </w:r>
      <w:r w:rsidR="00533DE3">
        <w:rPr>
          <w:rFonts w:ascii="Times New Roman" w:hAnsi="Times New Roman" w:cs="Times New Roman"/>
          <w:sz w:val="24"/>
          <w:szCs w:val="24"/>
        </w:rPr>
        <w:t xml:space="preserve">50 seeds of </w:t>
      </w:r>
      <w:r w:rsidR="006E16D7" w:rsidRPr="00056EB8">
        <w:rPr>
          <w:rFonts w:ascii="Times New Roman" w:hAnsi="Times New Roman" w:cs="Times New Roman"/>
          <w:i/>
          <w:sz w:val="24"/>
          <w:szCs w:val="24"/>
        </w:rPr>
        <w:t>L. tidestromii</w:t>
      </w:r>
      <w:r w:rsidR="00E15EDF" w:rsidRPr="00056EB8">
        <w:rPr>
          <w:rFonts w:ascii="Times New Roman" w:hAnsi="Times New Roman" w:cs="Times New Roman"/>
          <w:sz w:val="24"/>
          <w:szCs w:val="24"/>
        </w:rPr>
        <w:t xml:space="preserve">; additionally, three </w:t>
      </w:r>
      <w:r w:rsidRPr="00056EB8">
        <w:rPr>
          <w:rFonts w:ascii="Times New Roman" w:hAnsi="Times New Roman" w:cs="Times New Roman"/>
          <w:sz w:val="24"/>
          <w:szCs w:val="24"/>
        </w:rPr>
        <w:t xml:space="preserve">baskets of each </w:t>
      </w:r>
      <w:r w:rsidR="00E15EDF" w:rsidRPr="00056EB8">
        <w:rPr>
          <w:rFonts w:ascii="Times New Roman" w:hAnsi="Times New Roman" w:cs="Times New Roman"/>
          <w:sz w:val="24"/>
          <w:szCs w:val="24"/>
        </w:rPr>
        <w:t xml:space="preserve">species </w:t>
      </w:r>
      <w:r w:rsidRPr="00056EB8">
        <w:rPr>
          <w:rFonts w:ascii="Times New Roman" w:hAnsi="Times New Roman" w:cs="Times New Roman"/>
          <w:sz w:val="24"/>
          <w:szCs w:val="24"/>
        </w:rPr>
        <w:t xml:space="preserve">type </w:t>
      </w:r>
      <w:r w:rsidR="00E15EDF" w:rsidRPr="00056EB8">
        <w:rPr>
          <w:rFonts w:ascii="Times New Roman" w:hAnsi="Times New Roman" w:cs="Times New Roman"/>
          <w:sz w:val="24"/>
          <w:szCs w:val="24"/>
        </w:rPr>
        <w:t xml:space="preserve">also </w:t>
      </w:r>
      <w:r w:rsidRPr="00056EB8">
        <w:rPr>
          <w:rFonts w:ascii="Times New Roman" w:hAnsi="Times New Roman" w:cs="Times New Roman"/>
          <w:sz w:val="24"/>
          <w:szCs w:val="24"/>
        </w:rPr>
        <w:t xml:space="preserve">contained </w:t>
      </w:r>
      <w:r w:rsidR="00DF33AE" w:rsidRPr="00056EB8">
        <w:rPr>
          <w:rFonts w:ascii="Times New Roman" w:hAnsi="Times New Roman" w:cs="Times New Roman"/>
          <w:sz w:val="24"/>
          <w:szCs w:val="24"/>
        </w:rPr>
        <w:t xml:space="preserve">50 seeds of </w:t>
      </w:r>
      <w:r w:rsidR="00E15EDF" w:rsidRPr="00056EB8">
        <w:rPr>
          <w:rFonts w:ascii="Times New Roman" w:hAnsi="Times New Roman" w:cs="Times New Roman"/>
          <w:sz w:val="24"/>
          <w:szCs w:val="24"/>
        </w:rPr>
        <w:t xml:space="preserve">a third co-occurring species, </w:t>
      </w:r>
      <w:r w:rsidR="006E16D7" w:rsidRPr="00056EB8">
        <w:rPr>
          <w:rFonts w:ascii="Times New Roman" w:hAnsi="Times New Roman" w:cs="Times New Roman"/>
          <w:i/>
          <w:sz w:val="24"/>
          <w:szCs w:val="24"/>
        </w:rPr>
        <w:t>L. arboreus</w:t>
      </w:r>
      <w:r w:rsidR="00DF33AE" w:rsidRPr="00056EB8">
        <w:rPr>
          <w:rFonts w:ascii="Times New Roman" w:hAnsi="Times New Roman" w:cs="Times New Roman"/>
          <w:sz w:val="24"/>
          <w:szCs w:val="24"/>
        </w:rPr>
        <w:t>.</w:t>
      </w:r>
      <w:r w:rsidR="00D522CC" w:rsidRPr="00056EB8">
        <w:rPr>
          <w:rFonts w:ascii="Times New Roman" w:hAnsi="Times New Roman" w:cs="Times New Roman"/>
          <w:sz w:val="24"/>
          <w:szCs w:val="24"/>
        </w:rPr>
        <w:t xml:space="preserve"> </w:t>
      </w:r>
    </w:p>
    <w:p w:rsidR="00D522CC" w:rsidRPr="00056EB8" w:rsidRDefault="00D522CC" w:rsidP="00AA3395">
      <w:pPr>
        <w:pStyle w:val="NoSpacing"/>
        <w:contextualSpacing/>
        <w:rPr>
          <w:rFonts w:ascii="Times New Roman" w:hAnsi="Times New Roman" w:cs="Times New Roman"/>
          <w:sz w:val="24"/>
          <w:szCs w:val="24"/>
        </w:rPr>
      </w:pPr>
    </w:p>
    <w:p w:rsidR="00DF33AE" w:rsidRPr="00056EB8" w:rsidRDefault="00DF33AE" w:rsidP="00AA3395">
      <w:pPr>
        <w:pStyle w:val="NoSpacing"/>
        <w:contextualSpacing/>
        <w:rPr>
          <w:rFonts w:ascii="Times New Roman" w:hAnsi="Times New Roman" w:cs="Times New Roman"/>
          <w:sz w:val="24"/>
          <w:szCs w:val="24"/>
        </w:rPr>
      </w:pPr>
      <w:r w:rsidRPr="00056EB8">
        <w:rPr>
          <w:rFonts w:ascii="Times New Roman" w:hAnsi="Times New Roman" w:cs="Times New Roman"/>
          <w:sz w:val="24"/>
          <w:szCs w:val="24"/>
        </w:rPr>
        <w:t xml:space="preserve">We constructed seed baskets by burying a </w:t>
      </w:r>
      <w:r w:rsidR="003A2E84" w:rsidRPr="00056EB8">
        <w:rPr>
          <w:rFonts w:ascii="Times New Roman" w:hAnsi="Times New Roman" w:cs="Times New Roman"/>
          <w:sz w:val="24"/>
          <w:szCs w:val="24"/>
        </w:rPr>
        <w:t>30 cm</w:t>
      </w:r>
      <w:r w:rsidRPr="00056EB8">
        <w:rPr>
          <w:rFonts w:ascii="Times New Roman" w:hAnsi="Times New Roman" w:cs="Times New Roman"/>
          <w:sz w:val="24"/>
          <w:szCs w:val="24"/>
        </w:rPr>
        <w:t xml:space="preserve"> piece of </w:t>
      </w:r>
      <w:r w:rsidR="003A2E84" w:rsidRPr="00056EB8">
        <w:rPr>
          <w:rFonts w:ascii="Times New Roman" w:hAnsi="Times New Roman" w:cs="Times New Roman"/>
          <w:sz w:val="24"/>
          <w:szCs w:val="24"/>
        </w:rPr>
        <w:t xml:space="preserve">30 cm </w:t>
      </w:r>
      <w:r w:rsidRPr="00056EB8">
        <w:rPr>
          <w:rFonts w:ascii="Times New Roman" w:hAnsi="Times New Roman" w:cs="Times New Roman"/>
          <w:sz w:val="24"/>
          <w:szCs w:val="24"/>
        </w:rPr>
        <w:t xml:space="preserve">diameter corrugated plastic culvert </w:t>
      </w:r>
      <w:r w:rsidR="003A2E84" w:rsidRPr="00056EB8">
        <w:rPr>
          <w:rFonts w:ascii="Times New Roman" w:hAnsi="Times New Roman" w:cs="Times New Roman"/>
          <w:sz w:val="24"/>
          <w:szCs w:val="24"/>
        </w:rPr>
        <w:t>25 cm</w:t>
      </w:r>
      <w:r w:rsidRPr="00056EB8">
        <w:rPr>
          <w:rFonts w:ascii="Times New Roman" w:hAnsi="Times New Roman" w:cs="Times New Roman"/>
          <w:sz w:val="24"/>
          <w:szCs w:val="24"/>
        </w:rPr>
        <w:t xml:space="preserve"> deep</w:t>
      </w:r>
      <w:r w:rsidR="003A2E84" w:rsidRPr="00056EB8">
        <w:rPr>
          <w:rFonts w:ascii="Times New Roman" w:hAnsi="Times New Roman" w:cs="Times New Roman"/>
          <w:sz w:val="24"/>
          <w:szCs w:val="24"/>
        </w:rPr>
        <w:t xml:space="preserve"> (leaving 5 cm exposed)</w:t>
      </w:r>
      <w:r w:rsidRPr="00056EB8">
        <w:rPr>
          <w:rFonts w:ascii="Times New Roman" w:hAnsi="Times New Roman" w:cs="Times New Roman"/>
          <w:sz w:val="24"/>
          <w:szCs w:val="24"/>
        </w:rPr>
        <w:t xml:space="preserve"> in </w:t>
      </w:r>
      <w:r w:rsidR="003A2E84" w:rsidRPr="00056EB8">
        <w:rPr>
          <w:rFonts w:ascii="Times New Roman" w:hAnsi="Times New Roman" w:cs="Times New Roman"/>
          <w:sz w:val="24"/>
          <w:szCs w:val="24"/>
        </w:rPr>
        <w:t xml:space="preserve">patches of sand with no immediately adjacent reproductive </w:t>
      </w:r>
      <w:r w:rsidRPr="00056EB8">
        <w:rPr>
          <w:rFonts w:ascii="Times New Roman" w:hAnsi="Times New Roman" w:cs="Times New Roman"/>
          <w:sz w:val="24"/>
          <w:szCs w:val="24"/>
        </w:rPr>
        <w:t xml:space="preserve">plants. We lined the interior of the culvert pipe with </w:t>
      </w:r>
      <w:r w:rsidR="003A2E84" w:rsidRPr="00056EB8">
        <w:rPr>
          <w:rFonts w:ascii="Times New Roman" w:hAnsi="Times New Roman" w:cs="Times New Roman"/>
          <w:sz w:val="24"/>
          <w:szCs w:val="24"/>
        </w:rPr>
        <w:t>¼</w:t>
      </w:r>
      <w:r w:rsidR="00154060" w:rsidRPr="00056EB8">
        <w:rPr>
          <w:rFonts w:ascii="Times New Roman" w:hAnsi="Times New Roman" w:cs="Times New Roman"/>
          <w:sz w:val="24"/>
          <w:szCs w:val="24"/>
        </w:rPr>
        <w:t>-inch</w:t>
      </w:r>
      <w:r w:rsidR="003A2E84" w:rsidRPr="00056EB8">
        <w:rPr>
          <w:rFonts w:ascii="Times New Roman" w:hAnsi="Times New Roman" w:cs="Times New Roman"/>
          <w:sz w:val="24"/>
          <w:szCs w:val="24"/>
        </w:rPr>
        <w:t xml:space="preserve"> (0.64 cm) </w:t>
      </w:r>
      <w:r w:rsidRPr="00056EB8">
        <w:rPr>
          <w:rFonts w:ascii="Times New Roman" w:hAnsi="Times New Roman" w:cs="Times New Roman"/>
          <w:sz w:val="24"/>
          <w:szCs w:val="24"/>
        </w:rPr>
        <w:t xml:space="preserve">hardware </w:t>
      </w:r>
      <w:r w:rsidR="003A2E84" w:rsidRPr="00056EB8">
        <w:rPr>
          <w:rFonts w:ascii="Times New Roman" w:hAnsi="Times New Roman" w:cs="Times New Roman"/>
          <w:sz w:val="24"/>
          <w:szCs w:val="24"/>
        </w:rPr>
        <w:t xml:space="preserve">cloth </w:t>
      </w:r>
      <w:r w:rsidRPr="00056EB8">
        <w:rPr>
          <w:rFonts w:ascii="Times New Roman" w:hAnsi="Times New Roman" w:cs="Times New Roman"/>
          <w:sz w:val="24"/>
          <w:szCs w:val="24"/>
        </w:rPr>
        <w:t xml:space="preserve">that extended </w:t>
      </w:r>
      <w:r w:rsidR="003A2E84" w:rsidRPr="00056EB8">
        <w:rPr>
          <w:rFonts w:ascii="Times New Roman" w:hAnsi="Times New Roman" w:cs="Times New Roman"/>
          <w:sz w:val="24"/>
          <w:szCs w:val="24"/>
        </w:rPr>
        <w:t>5 cm</w:t>
      </w:r>
      <w:r w:rsidRPr="00056EB8">
        <w:rPr>
          <w:rFonts w:ascii="Times New Roman" w:hAnsi="Times New Roman" w:cs="Times New Roman"/>
          <w:sz w:val="24"/>
          <w:szCs w:val="24"/>
        </w:rPr>
        <w:t xml:space="preserve"> above the edge of the pipe. We sifted the sand inside the seed basket to remove other seeds and then placed seeds in the top 1 cm of sand. Seed baskets were </w:t>
      </w:r>
      <w:r w:rsidR="003A2E84" w:rsidRPr="00056EB8">
        <w:rPr>
          <w:rFonts w:ascii="Times New Roman" w:hAnsi="Times New Roman" w:cs="Times New Roman"/>
          <w:sz w:val="24"/>
          <w:szCs w:val="24"/>
        </w:rPr>
        <w:t xml:space="preserve">covered </w:t>
      </w:r>
      <w:r w:rsidRPr="00056EB8">
        <w:rPr>
          <w:rFonts w:ascii="Times New Roman" w:hAnsi="Times New Roman" w:cs="Times New Roman"/>
          <w:sz w:val="24"/>
          <w:szCs w:val="24"/>
        </w:rPr>
        <w:lastRenderedPageBreak/>
        <w:t xml:space="preserve">with lids made of </w:t>
      </w:r>
      <w:r w:rsidR="003A2E84" w:rsidRPr="00056EB8">
        <w:rPr>
          <w:rFonts w:ascii="Times New Roman" w:hAnsi="Times New Roman" w:cs="Times New Roman"/>
          <w:sz w:val="24"/>
          <w:szCs w:val="24"/>
        </w:rPr>
        <w:t>¼</w:t>
      </w:r>
      <w:r w:rsidR="00154060" w:rsidRPr="00056EB8">
        <w:rPr>
          <w:rFonts w:ascii="Times New Roman" w:hAnsi="Times New Roman" w:cs="Times New Roman"/>
          <w:sz w:val="24"/>
          <w:szCs w:val="24"/>
        </w:rPr>
        <w:t>-inch</w:t>
      </w:r>
      <w:r w:rsidR="003A2E84" w:rsidRPr="00056EB8">
        <w:rPr>
          <w:rFonts w:ascii="Times New Roman" w:hAnsi="Times New Roman" w:cs="Times New Roman"/>
          <w:sz w:val="24"/>
          <w:szCs w:val="24"/>
        </w:rPr>
        <w:t xml:space="preserve"> </w:t>
      </w:r>
      <w:r w:rsidRPr="00056EB8">
        <w:rPr>
          <w:rFonts w:ascii="Times New Roman" w:hAnsi="Times New Roman" w:cs="Times New Roman"/>
          <w:sz w:val="24"/>
          <w:szCs w:val="24"/>
        </w:rPr>
        <w:t xml:space="preserve">hardware </w:t>
      </w:r>
      <w:r w:rsidR="003A2E84" w:rsidRPr="00056EB8">
        <w:rPr>
          <w:rFonts w:ascii="Times New Roman" w:hAnsi="Times New Roman" w:cs="Times New Roman"/>
          <w:sz w:val="24"/>
          <w:szCs w:val="24"/>
        </w:rPr>
        <w:t xml:space="preserve">cloth </w:t>
      </w:r>
      <w:r w:rsidRPr="00056EB8">
        <w:rPr>
          <w:rFonts w:ascii="Times New Roman" w:hAnsi="Times New Roman" w:cs="Times New Roman"/>
          <w:sz w:val="24"/>
          <w:szCs w:val="24"/>
        </w:rPr>
        <w:t xml:space="preserve">attached with plastic zipties. The hardware </w:t>
      </w:r>
      <w:r w:rsidR="003A2E84" w:rsidRPr="00056EB8">
        <w:rPr>
          <w:rFonts w:ascii="Times New Roman" w:hAnsi="Times New Roman" w:cs="Times New Roman"/>
          <w:sz w:val="24"/>
          <w:szCs w:val="24"/>
        </w:rPr>
        <w:t xml:space="preserve">cloth </w:t>
      </w:r>
      <w:r w:rsidRPr="00056EB8">
        <w:rPr>
          <w:rFonts w:ascii="Times New Roman" w:hAnsi="Times New Roman" w:cs="Times New Roman"/>
          <w:sz w:val="24"/>
          <w:szCs w:val="24"/>
        </w:rPr>
        <w:t xml:space="preserve">prevented post-dispersal seed predation by mice. The raised lip of the culvert above the sand likely prevented some scarification of the seed but prevented loss </w:t>
      </w:r>
      <w:r w:rsidR="003A2E84" w:rsidRPr="00056EB8">
        <w:rPr>
          <w:rFonts w:ascii="Times New Roman" w:hAnsi="Times New Roman" w:cs="Times New Roman"/>
          <w:sz w:val="24"/>
          <w:szCs w:val="24"/>
        </w:rPr>
        <w:t xml:space="preserve">from </w:t>
      </w:r>
      <w:r w:rsidRPr="00056EB8">
        <w:rPr>
          <w:rFonts w:ascii="Times New Roman" w:hAnsi="Times New Roman" w:cs="Times New Roman"/>
          <w:sz w:val="24"/>
          <w:szCs w:val="24"/>
        </w:rPr>
        <w:t xml:space="preserve">or addition of seeds to the basket from wind. </w:t>
      </w:r>
    </w:p>
    <w:p w:rsidR="00DF33AE" w:rsidRPr="00056EB8" w:rsidRDefault="00DF33AE" w:rsidP="00AA3395">
      <w:pPr>
        <w:pStyle w:val="NoSpacing"/>
        <w:contextualSpacing/>
        <w:rPr>
          <w:rFonts w:ascii="Times New Roman" w:hAnsi="Times New Roman" w:cs="Times New Roman"/>
          <w:sz w:val="24"/>
          <w:szCs w:val="24"/>
        </w:rPr>
      </w:pPr>
    </w:p>
    <w:p w:rsidR="00533DE3" w:rsidRPr="00056EB8" w:rsidRDefault="00533DE3" w:rsidP="00533DE3">
      <w:pPr>
        <w:pStyle w:val="NoSpacing"/>
        <w:contextualSpacing/>
        <w:rPr>
          <w:rFonts w:ascii="Times New Roman" w:hAnsi="Times New Roman" w:cs="Times New Roman"/>
          <w:sz w:val="24"/>
          <w:szCs w:val="24"/>
        </w:rPr>
      </w:pPr>
      <w:r w:rsidRPr="00056EB8">
        <w:rPr>
          <w:rFonts w:ascii="Times New Roman" w:hAnsi="Times New Roman" w:cs="Times New Roman"/>
          <w:sz w:val="24"/>
          <w:szCs w:val="24"/>
        </w:rPr>
        <w:t xml:space="preserve">In June of each year we counted seedlings in each seed basket. We removed </w:t>
      </w:r>
      <w:r w:rsidRPr="00056EB8">
        <w:rPr>
          <w:rFonts w:ascii="Times New Roman" w:hAnsi="Times New Roman" w:cs="Times New Roman"/>
          <w:i/>
          <w:sz w:val="24"/>
          <w:szCs w:val="24"/>
        </w:rPr>
        <w:t>L. chamissonis</w:t>
      </w:r>
      <w:r w:rsidRPr="00056EB8">
        <w:rPr>
          <w:rFonts w:ascii="Times New Roman" w:hAnsi="Times New Roman" w:cs="Times New Roman"/>
          <w:sz w:val="24"/>
          <w:szCs w:val="24"/>
        </w:rPr>
        <w:t xml:space="preserve"> and </w:t>
      </w:r>
      <w:r w:rsidRPr="00056EB8">
        <w:rPr>
          <w:rFonts w:ascii="Times New Roman" w:hAnsi="Times New Roman" w:cs="Times New Roman"/>
          <w:i/>
          <w:sz w:val="24"/>
          <w:szCs w:val="24"/>
        </w:rPr>
        <w:t xml:space="preserve">L. </w:t>
      </w:r>
      <w:proofErr w:type="spellStart"/>
      <w:r w:rsidRPr="00056EB8">
        <w:rPr>
          <w:rFonts w:ascii="Times New Roman" w:hAnsi="Times New Roman" w:cs="Times New Roman"/>
          <w:i/>
          <w:sz w:val="24"/>
          <w:szCs w:val="24"/>
        </w:rPr>
        <w:t>arboreus</w:t>
      </w:r>
      <w:proofErr w:type="spellEnd"/>
      <w:r w:rsidRPr="00056EB8">
        <w:rPr>
          <w:rFonts w:ascii="Times New Roman" w:hAnsi="Times New Roman" w:cs="Times New Roman"/>
          <w:sz w:val="24"/>
          <w:szCs w:val="24"/>
        </w:rPr>
        <w:t xml:space="preserve"> seedlings. For </w:t>
      </w:r>
      <w:r w:rsidRPr="00056EB8">
        <w:rPr>
          <w:rFonts w:ascii="Times New Roman" w:hAnsi="Times New Roman" w:cs="Times New Roman"/>
          <w:i/>
          <w:sz w:val="24"/>
          <w:szCs w:val="24"/>
        </w:rPr>
        <w:t>L. tidestromii</w:t>
      </w:r>
      <w:r w:rsidRPr="00056EB8">
        <w:rPr>
          <w:rFonts w:ascii="Times New Roman" w:hAnsi="Times New Roman" w:cs="Times New Roman"/>
          <w:sz w:val="24"/>
          <w:szCs w:val="24"/>
        </w:rPr>
        <w:t>, we did not pull seedlings in 2008 but in 2009 we discovered second-year plants could become reproductive and as seed addition would eliminate the basket from our analyses, we thus began removing germinated individuals</w:t>
      </w:r>
      <w:r>
        <w:rPr>
          <w:rFonts w:ascii="Times New Roman" w:hAnsi="Times New Roman" w:cs="Times New Roman"/>
          <w:sz w:val="24"/>
          <w:szCs w:val="24"/>
        </w:rPr>
        <w:t xml:space="preserve"> of all species</w:t>
      </w:r>
      <w:r w:rsidRPr="00056EB8">
        <w:rPr>
          <w:rFonts w:ascii="Times New Roman" w:hAnsi="Times New Roman" w:cs="Times New Roman"/>
          <w:sz w:val="24"/>
          <w:szCs w:val="24"/>
        </w:rPr>
        <w:t xml:space="preserve"> from all baskets each year. </w:t>
      </w:r>
    </w:p>
    <w:p w:rsidR="00533DE3" w:rsidRDefault="00533DE3" w:rsidP="00AA3395">
      <w:pPr>
        <w:pStyle w:val="NoSpacing"/>
        <w:contextualSpacing/>
        <w:rPr>
          <w:rFonts w:ascii="Times New Roman" w:hAnsi="Times New Roman" w:cs="Times New Roman"/>
          <w:sz w:val="24"/>
          <w:szCs w:val="24"/>
        </w:rPr>
      </w:pPr>
    </w:p>
    <w:p w:rsidR="0014016D" w:rsidRPr="00056EB8" w:rsidRDefault="0014016D" w:rsidP="00AA3395">
      <w:pPr>
        <w:pStyle w:val="NoSpacing"/>
        <w:contextualSpacing/>
        <w:rPr>
          <w:rFonts w:ascii="Times New Roman" w:hAnsi="Times New Roman" w:cs="Times New Roman"/>
          <w:sz w:val="24"/>
          <w:szCs w:val="24"/>
        </w:rPr>
      </w:pPr>
      <w:r w:rsidRPr="00056EB8">
        <w:rPr>
          <w:rFonts w:ascii="Times New Roman" w:hAnsi="Times New Roman" w:cs="Times New Roman"/>
          <w:sz w:val="24"/>
          <w:szCs w:val="24"/>
        </w:rPr>
        <w:t>Of 36 total seed baskets</w:t>
      </w:r>
      <w:r w:rsidR="00533DE3">
        <w:rPr>
          <w:rFonts w:ascii="Times New Roman" w:hAnsi="Times New Roman" w:cs="Times New Roman"/>
          <w:sz w:val="24"/>
          <w:szCs w:val="24"/>
        </w:rPr>
        <w:t xml:space="preserve"> at all sites</w:t>
      </w:r>
      <w:r w:rsidRPr="00056EB8">
        <w:rPr>
          <w:rFonts w:ascii="Times New Roman" w:hAnsi="Times New Roman" w:cs="Times New Roman"/>
          <w:sz w:val="24"/>
          <w:szCs w:val="24"/>
        </w:rPr>
        <w:t xml:space="preserve">, 24 contained </w:t>
      </w:r>
      <w:r w:rsidR="006E16D7" w:rsidRPr="00056EB8">
        <w:rPr>
          <w:rFonts w:ascii="Times New Roman" w:hAnsi="Times New Roman" w:cs="Times New Roman"/>
          <w:i/>
          <w:sz w:val="24"/>
          <w:szCs w:val="24"/>
        </w:rPr>
        <w:t>L. tidestromii</w:t>
      </w:r>
      <w:r w:rsidRPr="00056EB8">
        <w:rPr>
          <w:rFonts w:ascii="Times New Roman" w:hAnsi="Times New Roman" w:cs="Times New Roman"/>
          <w:sz w:val="24"/>
          <w:szCs w:val="24"/>
        </w:rPr>
        <w:t>. One seed basket at Spanish Bay was overturned and lost between 2008-2009 and 6 seed baskets at Goat Rock State Beach were removed in 2009 and thus yield only first year recruitment data; at Pacific Groves, two seed baskets had plants that germinated in 2008, were re</w:t>
      </w:r>
      <w:r w:rsidR="007955FC" w:rsidRPr="00056EB8">
        <w:rPr>
          <w:rFonts w:ascii="Times New Roman" w:hAnsi="Times New Roman" w:cs="Times New Roman"/>
          <w:sz w:val="24"/>
          <w:szCs w:val="24"/>
        </w:rPr>
        <w:t>p</w:t>
      </w:r>
      <w:r w:rsidRPr="00056EB8">
        <w:rPr>
          <w:rFonts w:ascii="Times New Roman" w:hAnsi="Times New Roman" w:cs="Times New Roman"/>
          <w:sz w:val="24"/>
          <w:szCs w:val="24"/>
        </w:rPr>
        <w:t>roductive in 2009, and set seeds before the seedling census</w:t>
      </w:r>
      <w:r w:rsidR="00DB5757" w:rsidRPr="00056EB8">
        <w:rPr>
          <w:rFonts w:ascii="Times New Roman" w:hAnsi="Times New Roman" w:cs="Times New Roman"/>
          <w:sz w:val="24"/>
          <w:szCs w:val="24"/>
        </w:rPr>
        <w:t>, and thus could not be used to estimate recruitment data for subsequent years</w:t>
      </w:r>
      <w:r w:rsidRPr="00056EB8">
        <w:rPr>
          <w:rFonts w:ascii="Times New Roman" w:hAnsi="Times New Roman" w:cs="Times New Roman"/>
          <w:sz w:val="24"/>
          <w:szCs w:val="24"/>
        </w:rPr>
        <w:t xml:space="preserve">. </w:t>
      </w:r>
      <w:r w:rsidR="0057523C" w:rsidRPr="00056EB8">
        <w:rPr>
          <w:rFonts w:ascii="Times New Roman" w:hAnsi="Times New Roman" w:cs="Times New Roman"/>
          <w:sz w:val="24"/>
          <w:szCs w:val="24"/>
        </w:rPr>
        <w:t xml:space="preserve">Data for all species and all baskets are provided in Table A3. </w:t>
      </w:r>
      <w:r w:rsidRPr="00056EB8">
        <w:rPr>
          <w:rFonts w:ascii="Times New Roman" w:hAnsi="Times New Roman" w:cs="Times New Roman"/>
          <w:sz w:val="24"/>
          <w:szCs w:val="24"/>
        </w:rPr>
        <w:t xml:space="preserve">For this analysis, we used 15 seed baskets </w:t>
      </w:r>
      <w:r w:rsidR="00533DE3">
        <w:rPr>
          <w:rFonts w:ascii="Times New Roman" w:hAnsi="Times New Roman" w:cs="Times New Roman"/>
          <w:sz w:val="24"/>
          <w:szCs w:val="24"/>
        </w:rPr>
        <w:t xml:space="preserve">containing </w:t>
      </w:r>
      <w:r w:rsidR="00533DE3" w:rsidRPr="00533DE3">
        <w:rPr>
          <w:rFonts w:ascii="Times New Roman" w:hAnsi="Times New Roman" w:cs="Times New Roman"/>
          <w:i/>
          <w:sz w:val="24"/>
          <w:szCs w:val="24"/>
        </w:rPr>
        <w:t>L. tidestromii</w:t>
      </w:r>
      <w:r w:rsidR="00533DE3">
        <w:rPr>
          <w:rFonts w:ascii="Times New Roman" w:hAnsi="Times New Roman" w:cs="Times New Roman"/>
          <w:sz w:val="24"/>
          <w:szCs w:val="24"/>
        </w:rPr>
        <w:t xml:space="preserve"> </w:t>
      </w:r>
      <w:r w:rsidRPr="00056EB8">
        <w:rPr>
          <w:rFonts w:ascii="Times New Roman" w:hAnsi="Times New Roman" w:cs="Times New Roman"/>
          <w:sz w:val="24"/>
          <w:szCs w:val="24"/>
        </w:rPr>
        <w:t>located at Abbotts Lagoon, Spanish Bay, and Pacific Groves that yielded recruitment data for three consecutive years</w:t>
      </w:r>
      <w:r w:rsidR="003A2E84" w:rsidRPr="00056EB8">
        <w:rPr>
          <w:rFonts w:ascii="Times New Roman" w:hAnsi="Times New Roman" w:cs="Times New Roman"/>
          <w:sz w:val="24"/>
          <w:szCs w:val="24"/>
        </w:rPr>
        <w:t xml:space="preserve"> (Table A3)</w:t>
      </w:r>
      <w:r w:rsidRPr="00056EB8">
        <w:rPr>
          <w:rFonts w:ascii="Times New Roman" w:hAnsi="Times New Roman" w:cs="Times New Roman"/>
          <w:sz w:val="24"/>
          <w:szCs w:val="24"/>
        </w:rPr>
        <w:t xml:space="preserve">. </w:t>
      </w:r>
    </w:p>
    <w:p w:rsidR="0014016D" w:rsidRPr="00056EB8" w:rsidRDefault="0014016D" w:rsidP="00AA3395">
      <w:pPr>
        <w:pStyle w:val="NoSpacing"/>
        <w:contextualSpacing/>
        <w:rPr>
          <w:rFonts w:ascii="Times New Roman" w:hAnsi="Times New Roman" w:cs="Times New Roman"/>
          <w:sz w:val="24"/>
          <w:szCs w:val="24"/>
        </w:rPr>
      </w:pPr>
    </w:p>
    <w:p w:rsidR="0014016D" w:rsidRPr="00056EB8" w:rsidRDefault="0014016D" w:rsidP="00AA3395">
      <w:pPr>
        <w:pStyle w:val="NoSpacing"/>
        <w:contextualSpacing/>
        <w:rPr>
          <w:rFonts w:ascii="Times New Roman" w:hAnsi="Times New Roman" w:cs="Times New Roman"/>
          <w:sz w:val="24"/>
          <w:szCs w:val="24"/>
        </w:rPr>
      </w:pPr>
      <w:r w:rsidRPr="00056EB8">
        <w:rPr>
          <w:rFonts w:ascii="Times New Roman" w:hAnsi="Times New Roman" w:cs="Times New Roman"/>
          <w:sz w:val="24"/>
          <w:szCs w:val="24"/>
        </w:rPr>
        <w:t xml:space="preserve">Mean recruitment for </w:t>
      </w:r>
      <w:r w:rsidR="006E16D7" w:rsidRPr="00056EB8">
        <w:rPr>
          <w:rFonts w:ascii="Times New Roman" w:hAnsi="Times New Roman" w:cs="Times New Roman"/>
          <w:i/>
          <w:sz w:val="24"/>
          <w:szCs w:val="24"/>
        </w:rPr>
        <w:t>L. tidestromii</w:t>
      </w:r>
      <w:r w:rsidRPr="00056EB8">
        <w:rPr>
          <w:rFonts w:ascii="Times New Roman" w:hAnsi="Times New Roman" w:cs="Times New Roman"/>
          <w:sz w:val="24"/>
          <w:szCs w:val="24"/>
        </w:rPr>
        <w:t xml:space="preserve"> after one winter was 0.0813 (range 0.00-0.24), after two winters (one year in the seed bank) was 0.0667 (range 0.00-0.32 among baskets), and after three winters (two years in the seed bank) was 0.0013 (range 0.00-0.02 among baskets)</w:t>
      </w:r>
      <w:r w:rsidR="00C27269" w:rsidRPr="00056EB8">
        <w:rPr>
          <w:rFonts w:ascii="Times New Roman" w:hAnsi="Times New Roman" w:cs="Times New Roman"/>
          <w:sz w:val="24"/>
          <w:szCs w:val="24"/>
        </w:rPr>
        <w:t xml:space="preserve"> (Table A3</w:t>
      </w:r>
      <w:r w:rsidR="00050E1B">
        <w:rPr>
          <w:rFonts w:ascii="Times New Roman" w:hAnsi="Times New Roman" w:cs="Times New Roman"/>
          <w:sz w:val="24"/>
          <w:szCs w:val="24"/>
        </w:rPr>
        <w:t>, below</w:t>
      </w:r>
      <w:r w:rsidR="00C27269" w:rsidRPr="00056EB8">
        <w:rPr>
          <w:rFonts w:ascii="Times New Roman" w:hAnsi="Times New Roman" w:cs="Times New Roman"/>
          <w:sz w:val="24"/>
          <w:szCs w:val="24"/>
        </w:rPr>
        <w:t>)</w:t>
      </w:r>
      <w:r w:rsidRPr="00056EB8">
        <w:rPr>
          <w:rFonts w:ascii="Times New Roman" w:hAnsi="Times New Roman" w:cs="Times New Roman"/>
          <w:sz w:val="24"/>
          <w:szCs w:val="24"/>
        </w:rPr>
        <w:t>.</w:t>
      </w:r>
    </w:p>
    <w:p w:rsidR="0014016D" w:rsidRDefault="0014016D" w:rsidP="00AA3395">
      <w:pPr>
        <w:pStyle w:val="NoSpacing"/>
        <w:contextualSpacing/>
        <w:rPr>
          <w:rFonts w:ascii="Times New Roman" w:hAnsi="Times New Roman" w:cs="Times New Roman"/>
          <w:sz w:val="24"/>
          <w:szCs w:val="24"/>
        </w:rPr>
      </w:pPr>
    </w:p>
    <w:p w:rsidR="00050E1B" w:rsidRPr="00056EB8" w:rsidRDefault="00050E1B" w:rsidP="00050E1B">
      <w:pPr>
        <w:pStyle w:val="NoSpacing"/>
        <w:contextualSpacing/>
        <w:rPr>
          <w:rFonts w:ascii="Times New Roman" w:hAnsi="Times New Roman" w:cs="Times New Roman"/>
          <w:b/>
          <w:i/>
          <w:sz w:val="24"/>
          <w:szCs w:val="24"/>
        </w:rPr>
      </w:pPr>
      <w:r w:rsidRPr="00056EB8">
        <w:rPr>
          <w:rFonts w:ascii="Times New Roman" w:hAnsi="Times New Roman" w:cs="Times New Roman"/>
          <w:b/>
          <w:i/>
          <w:sz w:val="24"/>
          <w:szCs w:val="24"/>
        </w:rPr>
        <w:t>Estimating recruitment in early and late habitats over multiple years.</w:t>
      </w:r>
    </w:p>
    <w:p w:rsidR="00050E1B" w:rsidRPr="00056EB8" w:rsidRDefault="00050E1B" w:rsidP="00050E1B">
      <w:pPr>
        <w:pStyle w:val="NoSpacing"/>
        <w:contextualSpacing/>
        <w:rPr>
          <w:rFonts w:ascii="Times New Roman" w:hAnsi="Times New Roman" w:cs="Times New Roman"/>
          <w:sz w:val="24"/>
          <w:szCs w:val="24"/>
        </w:rPr>
      </w:pPr>
    </w:p>
    <w:p w:rsidR="00050E1B" w:rsidRPr="00056EB8" w:rsidRDefault="00050E1B" w:rsidP="00050E1B">
      <w:pPr>
        <w:pStyle w:val="NoSpacing"/>
        <w:contextualSpacing/>
        <w:rPr>
          <w:rFonts w:ascii="Times New Roman" w:hAnsi="Times New Roman" w:cs="Times New Roman"/>
          <w:sz w:val="24"/>
          <w:szCs w:val="24"/>
        </w:rPr>
      </w:pPr>
      <w:r w:rsidRPr="00056EB8">
        <w:rPr>
          <w:rFonts w:ascii="Times New Roman" w:hAnsi="Times New Roman" w:cs="Times New Roman"/>
          <w:sz w:val="24"/>
          <w:szCs w:val="24"/>
        </w:rPr>
        <w:t>To estimate recruitment of seeds in different microhabitats from the seedbank we adjusted the first year establishment rate (</w:t>
      </w:r>
      <w:r w:rsidRPr="00056EB8">
        <w:rPr>
          <w:rFonts w:ascii="Times New Roman" w:hAnsi="Times New Roman" w:cs="Times New Roman"/>
          <w:i/>
          <w:sz w:val="24"/>
          <w:szCs w:val="24"/>
        </w:rPr>
        <w:t>e</w:t>
      </w:r>
      <w:r w:rsidRPr="00533DE3">
        <w:rPr>
          <w:rFonts w:ascii="Times New Roman" w:hAnsi="Times New Roman" w:cs="Times New Roman"/>
          <w:sz w:val="24"/>
          <w:szCs w:val="24"/>
          <w:vertAlign w:val="subscript"/>
        </w:rPr>
        <w:t>1</w:t>
      </w:r>
      <w:r w:rsidRPr="00056EB8">
        <w:rPr>
          <w:rFonts w:ascii="Times New Roman" w:hAnsi="Times New Roman" w:cs="Times New Roman"/>
          <w:sz w:val="24"/>
          <w:szCs w:val="24"/>
        </w:rPr>
        <w:t xml:space="preserve">) using the estimates of recruitment from the seed bank. We calculated two constant values: </w:t>
      </w:r>
      <w:r w:rsidRPr="00056EB8">
        <w:rPr>
          <w:rFonts w:ascii="Times New Roman" w:hAnsi="Times New Roman" w:cs="Times New Roman"/>
          <w:i/>
          <w:sz w:val="24"/>
          <w:szCs w:val="24"/>
        </w:rPr>
        <w:t>x</w:t>
      </w:r>
      <w:r w:rsidRPr="00056EB8">
        <w:rPr>
          <w:rFonts w:ascii="Times New Roman" w:hAnsi="Times New Roman" w:cs="Times New Roman"/>
          <w:sz w:val="24"/>
          <w:szCs w:val="24"/>
        </w:rPr>
        <w:t xml:space="preserve">, the ratio of seeds that germinated after two winters (on year in the seed bank) to the number of seeds that germinated after one winter (i.e. 0.0667/0.0813=0.8197) and </w:t>
      </w:r>
      <w:r w:rsidRPr="00056EB8">
        <w:rPr>
          <w:rFonts w:ascii="Times New Roman" w:hAnsi="Times New Roman" w:cs="Times New Roman"/>
          <w:i/>
          <w:sz w:val="24"/>
          <w:szCs w:val="24"/>
        </w:rPr>
        <w:t>y</w:t>
      </w:r>
      <w:r w:rsidRPr="00056EB8">
        <w:rPr>
          <w:rFonts w:ascii="Times New Roman" w:hAnsi="Times New Roman" w:cs="Times New Roman"/>
          <w:sz w:val="24"/>
          <w:szCs w:val="24"/>
        </w:rPr>
        <w:t xml:space="preserve"> the ratio of seeds that germinated after three winters (two years in the seed bank) to the number of seeds that germinated after one winter (i.e. 0.0013/0.0813=0.0164). The constants </w:t>
      </w:r>
      <w:r w:rsidRPr="00056EB8">
        <w:rPr>
          <w:rFonts w:ascii="Times New Roman" w:hAnsi="Times New Roman" w:cs="Times New Roman"/>
          <w:i/>
          <w:sz w:val="24"/>
          <w:szCs w:val="24"/>
        </w:rPr>
        <w:t>x</w:t>
      </w:r>
      <w:r w:rsidRPr="00056EB8">
        <w:rPr>
          <w:rFonts w:ascii="Times New Roman" w:hAnsi="Times New Roman" w:cs="Times New Roman"/>
          <w:sz w:val="24"/>
          <w:szCs w:val="24"/>
        </w:rPr>
        <w:t xml:space="preserve"> and </w:t>
      </w:r>
      <w:r w:rsidRPr="00056EB8">
        <w:rPr>
          <w:rFonts w:ascii="Times New Roman" w:hAnsi="Times New Roman" w:cs="Times New Roman"/>
          <w:i/>
          <w:sz w:val="24"/>
          <w:szCs w:val="24"/>
        </w:rPr>
        <w:t>y</w:t>
      </w:r>
      <w:r w:rsidRPr="00056EB8">
        <w:rPr>
          <w:rFonts w:ascii="Times New Roman" w:hAnsi="Times New Roman" w:cs="Times New Roman"/>
          <w:sz w:val="24"/>
          <w:szCs w:val="24"/>
        </w:rPr>
        <w:t xml:space="preserve"> do not vary across microhabitats or years.</w:t>
      </w:r>
    </w:p>
    <w:p w:rsidR="00050E1B" w:rsidRPr="00056EB8" w:rsidRDefault="00050E1B" w:rsidP="00050E1B">
      <w:pPr>
        <w:pStyle w:val="NoSpacing"/>
        <w:contextualSpacing/>
        <w:rPr>
          <w:rFonts w:ascii="Times New Roman" w:hAnsi="Times New Roman" w:cs="Times New Roman"/>
          <w:sz w:val="24"/>
          <w:szCs w:val="24"/>
        </w:rPr>
      </w:pPr>
    </w:p>
    <w:p w:rsidR="00050E1B" w:rsidRPr="00056EB8" w:rsidRDefault="00050E1B" w:rsidP="00050E1B">
      <w:pPr>
        <w:pStyle w:val="NoSpacing"/>
        <w:contextualSpacing/>
        <w:rPr>
          <w:rFonts w:ascii="Times New Roman" w:hAnsi="Times New Roman" w:cs="Times New Roman"/>
          <w:sz w:val="24"/>
          <w:szCs w:val="24"/>
        </w:rPr>
      </w:pPr>
      <w:r w:rsidRPr="00056EB8">
        <w:rPr>
          <w:rFonts w:ascii="Times New Roman" w:hAnsi="Times New Roman" w:cs="Times New Roman"/>
          <w:sz w:val="24"/>
          <w:szCs w:val="24"/>
        </w:rPr>
        <w:t>Multiplying the establishment values from seedling plots (</w:t>
      </w:r>
      <w:r w:rsidRPr="00056EB8">
        <w:rPr>
          <w:rFonts w:ascii="Times New Roman" w:hAnsi="Times New Roman" w:cs="Times New Roman"/>
          <w:i/>
          <w:sz w:val="24"/>
          <w:szCs w:val="24"/>
        </w:rPr>
        <w:t>e</w:t>
      </w:r>
      <w:r w:rsidRPr="00533DE3">
        <w:rPr>
          <w:rFonts w:ascii="Times New Roman" w:hAnsi="Times New Roman" w:cs="Times New Roman"/>
          <w:sz w:val="24"/>
          <w:szCs w:val="24"/>
          <w:vertAlign w:val="subscript"/>
        </w:rPr>
        <w:t>1</w:t>
      </w:r>
      <w:r w:rsidRPr="00056EB8">
        <w:rPr>
          <w:rFonts w:ascii="Times New Roman" w:hAnsi="Times New Roman" w:cs="Times New Roman"/>
          <w:sz w:val="24"/>
          <w:szCs w:val="24"/>
        </w:rPr>
        <w:t xml:space="preserve">) by </w:t>
      </w:r>
      <w:r w:rsidRPr="00056EB8">
        <w:rPr>
          <w:rFonts w:ascii="Times New Roman" w:hAnsi="Times New Roman" w:cs="Times New Roman"/>
          <w:i/>
          <w:sz w:val="24"/>
          <w:szCs w:val="24"/>
        </w:rPr>
        <w:t>x</w:t>
      </w:r>
      <w:r w:rsidRPr="00056EB8">
        <w:rPr>
          <w:rFonts w:ascii="Times New Roman" w:hAnsi="Times New Roman" w:cs="Times New Roman"/>
          <w:sz w:val="24"/>
          <w:szCs w:val="24"/>
        </w:rPr>
        <w:t xml:space="preserve"> and </w:t>
      </w:r>
      <w:r w:rsidRPr="00056EB8">
        <w:rPr>
          <w:rFonts w:ascii="Times New Roman" w:hAnsi="Times New Roman" w:cs="Times New Roman"/>
          <w:i/>
          <w:sz w:val="24"/>
          <w:szCs w:val="24"/>
        </w:rPr>
        <w:t xml:space="preserve">y </w:t>
      </w:r>
      <w:r w:rsidRPr="00056EB8">
        <w:rPr>
          <w:rFonts w:ascii="Times New Roman" w:hAnsi="Times New Roman" w:cs="Times New Roman"/>
          <w:sz w:val="24"/>
          <w:szCs w:val="24"/>
        </w:rPr>
        <w:t xml:space="preserve">allows our model to estimate habitat-specific recruitment from the seedbank. Further, recruitment in seedling plots included any loss of seeds to post-dispersal seed predation, which is a dynamic that was not captured by our exclosed seed baskets. </w:t>
      </w:r>
    </w:p>
    <w:p w:rsidR="00050E1B" w:rsidRPr="00056EB8" w:rsidRDefault="00050E1B" w:rsidP="00050E1B">
      <w:pPr>
        <w:pStyle w:val="NoSpacing"/>
        <w:contextualSpacing/>
        <w:rPr>
          <w:rFonts w:ascii="Times New Roman" w:hAnsi="Times New Roman" w:cs="Times New Roman"/>
          <w:sz w:val="24"/>
          <w:szCs w:val="24"/>
        </w:rPr>
      </w:pPr>
    </w:p>
    <w:p w:rsidR="00050E1B" w:rsidRPr="00056EB8" w:rsidRDefault="00050E1B" w:rsidP="00050E1B">
      <w:pPr>
        <w:spacing w:after="0" w:line="240" w:lineRule="auto"/>
        <w:contextualSpacing/>
        <w:rPr>
          <w:rFonts w:ascii="Times New Roman" w:hAnsi="Times New Roman" w:cs="Times New Roman"/>
          <w:sz w:val="24"/>
          <w:szCs w:val="24"/>
        </w:rPr>
      </w:pPr>
      <w:r w:rsidRPr="00056EB8">
        <w:rPr>
          <w:rFonts w:ascii="Times New Roman" w:hAnsi="Times New Roman" w:cs="Times New Roman"/>
          <w:sz w:val="24"/>
          <w:szCs w:val="24"/>
        </w:rPr>
        <w:t xml:space="preserve">In our matrix population models, we assume that seeds do not persist in the seed bank for more than two years.  This assumption matches our observations in the seed baskets.  Seedling recruitment was observed in 2009-2011, but not in 2012. This assumption is reasonable in the current habitat, in which large disturbances that bring deeply buried seeds to the surface are nonexistent due to the stabilization of Abbotts Lagoon by European beachgrass. However, we note that </w:t>
      </w:r>
      <w:r w:rsidRPr="00056EB8">
        <w:rPr>
          <w:rFonts w:ascii="Times New Roman" w:hAnsi="Times New Roman" w:cs="Times New Roman"/>
          <w:i/>
          <w:sz w:val="24"/>
          <w:szCs w:val="24"/>
        </w:rPr>
        <w:t>L. tidestromii</w:t>
      </w:r>
      <w:r w:rsidRPr="00056EB8">
        <w:rPr>
          <w:rFonts w:ascii="Times New Roman" w:hAnsi="Times New Roman" w:cs="Times New Roman"/>
          <w:sz w:val="24"/>
          <w:szCs w:val="24"/>
        </w:rPr>
        <w:t xml:space="preserve"> has a seed coat that should allow for long-term dormancy. </w:t>
      </w:r>
    </w:p>
    <w:p w:rsidR="00050E1B" w:rsidRPr="00056EB8" w:rsidRDefault="00050E1B" w:rsidP="00AA3395">
      <w:pPr>
        <w:pStyle w:val="NoSpacing"/>
        <w:contextualSpacing/>
        <w:rPr>
          <w:rFonts w:ascii="Times New Roman" w:hAnsi="Times New Roman" w:cs="Times New Roman"/>
          <w:sz w:val="24"/>
          <w:szCs w:val="24"/>
        </w:rPr>
      </w:pPr>
    </w:p>
    <w:p w:rsidR="00533DE3" w:rsidRPr="00162735" w:rsidRDefault="00533DE3" w:rsidP="00533DE3">
      <w:pPr>
        <w:pStyle w:val="NoSpacing"/>
        <w:contextualSpacing/>
        <w:rPr>
          <w:rFonts w:ascii="Times New Roman" w:hAnsi="Times New Roman" w:cs="Times New Roman"/>
          <w:b/>
          <w:sz w:val="24"/>
          <w:szCs w:val="24"/>
        </w:rPr>
      </w:pPr>
      <w:r w:rsidRPr="00162735">
        <w:rPr>
          <w:rFonts w:ascii="Times New Roman" w:hAnsi="Times New Roman" w:cs="Times New Roman"/>
          <w:b/>
          <w:sz w:val="24"/>
          <w:szCs w:val="24"/>
        </w:rPr>
        <w:t xml:space="preserve">Table </w:t>
      </w:r>
      <w:r w:rsidR="00162735">
        <w:rPr>
          <w:rFonts w:ascii="Times New Roman" w:hAnsi="Times New Roman" w:cs="Times New Roman"/>
          <w:b/>
          <w:sz w:val="24"/>
          <w:szCs w:val="24"/>
        </w:rPr>
        <w:t>S</w:t>
      </w:r>
      <w:r w:rsidRPr="00162735">
        <w:rPr>
          <w:rFonts w:ascii="Times New Roman" w:hAnsi="Times New Roman" w:cs="Times New Roman"/>
          <w:b/>
          <w:sz w:val="24"/>
          <w:szCs w:val="24"/>
        </w:rPr>
        <w:t xml:space="preserve">3. Seedling recruitment from the seed bank measured in seed baskets for </w:t>
      </w:r>
      <w:r w:rsidRPr="00162735">
        <w:rPr>
          <w:rFonts w:ascii="Times New Roman" w:hAnsi="Times New Roman" w:cs="Times New Roman"/>
          <w:b/>
          <w:i/>
          <w:sz w:val="24"/>
          <w:szCs w:val="24"/>
        </w:rPr>
        <w:t>Lupinus tidestromii</w:t>
      </w:r>
      <w:r w:rsidRPr="00162735">
        <w:rPr>
          <w:rFonts w:ascii="Times New Roman" w:hAnsi="Times New Roman" w:cs="Times New Roman"/>
          <w:b/>
          <w:sz w:val="24"/>
          <w:szCs w:val="24"/>
        </w:rPr>
        <w:t xml:space="preserve"> (LT)</w:t>
      </w:r>
      <w:r w:rsidRPr="00162735">
        <w:rPr>
          <w:rFonts w:ascii="Times New Roman" w:hAnsi="Times New Roman" w:cs="Times New Roman"/>
          <w:b/>
          <w:i/>
          <w:sz w:val="24"/>
          <w:szCs w:val="24"/>
        </w:rPr>
        <w:t>, L. chamissonis</w:t>
      </w:r>
      <w:r w:rsidRPr="00162735">
        <w:rPr>
          <w:rFonts w:ascii="Times New Roman" w:hAnsi="Times New Roman" w:cs="Times New Roman"/>
          <w:b/>
          <w:sz w:val="24"/>
          <w:szCs w:val="24"/>
        </w:rPr>
        <w:t xml:space="preserve"> (LC)</w:t>
      </w:r>
      <w:r w:rsidRPr="00162735">
        <w:rPr>
          <w:rFonts w:ascii="Times New Roman" w:hAnsi="Times New Roman" w:cs="Times New Roman"/>
          <w:b/>
          <w:i/>
          <w:sz w:val="24"/>
          <w:szCs w:val="24"/>
        </w:rPr>
        <w:t xml:space="preserve">, </w:t>
      </w:r>
      <w:r w:rsidRPr="00162735">
        <w:rPr>
          <w:rFonts w:ascii="Times New Roman" w:hAnsi="Times New Roman" w:cs="Times New Roman"/>
          <w:b/>
          <w:sz w:val="24"/>
          <w:szCs w:val="24"/>
        </w:rPr>
        <w:t xml:space="preserve">and </w:t>
      </w:r>
      <w:r w:rsidRPr="00162735">
        <w:rPr>
          <w:rFonts w:ascii="Times New Roman" w:hAnsi="Times New Roman" w:cs="Times New Roman"/>
          <w:b/>
          <w:i/>
          <w:sz w:val="24"/>
          <w:szCs w:val="24"/>
        </w:rPr>
        <w:t xml:space="preserve">L. </w:t>
      </w:r>
      <w:proofErr w:type="spellStart"/>
      <w:r w:rsidRPr="00162735">
        <w:rPr>
          <w:rFonts w:ascii="Times New Roman" w:hAnsi="Times New Roman" w:cs="Times New Roman"/>
          <w:b/>
          <w:i/>
          <w:sz w:val="24"/>
          <w:szCs w:val="24"/>
        </w:rPr>
        <w:t>arboreus</w:t>
      </w:r>
      <w:proofErr w:type="spellEnd"/>
      <w:r w:rsidRPr="00162735">
        <w:rPr>
          <w:rFonts w:ascii="Times New Roman" w:hAnsi="Times New Roman" w:cs="Times New Roman"/>
          <w:b/>
          <w:sz w:val="24"/>
          <w:szCs w:val="24"/>
        </w:rPr>
        <w:t xml:space="preserve"> (LA) at four sites.</w:t>
      </w:r>
    </w:p>
    <w:tbl>
      <w:tblPr>
        <w:tblW w:w="5000" w:type="pct"/>
        <w:tblLook w:val="04A0" w:firstRow="1" w:lastRow="0" w:firstColumn="1" w:lastColumn="0" w:noHBand="0" w:noVBand="1"/>
      </w:tblPr>
      <w:tblGrid>
        <w:gridCol w:w="455"/>
        <w:gridCol w:w="1217"/>
        <w:gridCol w:w="1452"/>
        <w:gridCol w:w="1327"/>
        <w:gridCol w:w="672"/>
        <w:gridCol w:w="672"/>
        <w:gridCol w:w="674"/>
        <w:gridCol w:w="674"/>
        <w:gridCol w:w="2217"/>
      </w:tblGrid>
      <w:tr w:rsidR="00533DE3" w:rsidRPr="00AA3395" w:rsidTr="00533DE3">
        <w:trPr>
          <w:trHeight w:val="227"/>
        </w:trPr>
        <w:tc>
          <w:tcPr>
            <w:tcW w:w="245" w:type="pct"/>
            <w:tcBorders>
              <w:top w:val="single" w:sz="12" w:space="0" w:color="auto"/>
              <w:bottom w:val="single" w:sz="4" w:space="0" w:color="auto"/>
            </w:tcBorders>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ID</w:t>
            </w:r>
          </w:p>
        </w:tc>
        <w:tc>
          <w:tcPr>
            <w:tcW w:w="652" w:type="pct"/>
            <w:tcBorders>
              <w:top w:val="single" w:sz="12" w:space="0" w:color="auto"/>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Site</w:t>
            </w:r>
          </w:p>
        </w:tc>
        <w:tc>
          <w:tcPr>
            <w:tcW w:w="778" w:type="pct"/>
            <w:tcBorders>
              <w:top w:val="single" w:sz="12" w:space="0" w:color="auto"/>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Focal species</w:t>
            </w:r>
          </w:p>
        </w:tc>
        <w:tc>
          <w:tcPr>
            <w:tcW w:w="693" w:type="pct"/>
            <w:tcBorders>
              <w:top w:val="single" w:sz="12" w:space="0" w:color="auto"/>
              <w:bottom w:val="single" w:sz="4" w:space="0" w:color="auto"/>
            </w:tcBorders>
            <w:shd w:val="clear" w:color="auto" w:fill="auto"/>
            <w:noWrap/>
            <w:vAlign w:val="center"/>
          </w:tcPr>
          <w:p w:rsidR="00533DE3"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Species</w:t>
            </w:r>
            <w:r>
              <w:rPr>
                <w:rFonts w:ascii="Times New Roman" w:eastAsia="Times New Roman" w:hAnsi="Times New Roman" w:cs="Times New Roman"/>
                <w:color w:val="000000"/>
                <w:sz w:val="20"/>
                <w:szCs w:val="20"/>
              </w:rPr>
              <w:t xml:space="preserve"> in the </w:t>
            </w:r>
          </w:p>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seed basket</w:t>
            </w:r>
          </w:p>
        </w:tc>
        <w:tc>
          <w:tcPr>
            <w:tcW w:w="361" w:type="pct"/>
            <w:tcBorders>
              <w:top w:val="single" w:sz="12" w:space="0" w:color="auto"/>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2008</w:t>
            </w:r>
          </w:p>
        </w:tc>
        <w:tc>
          <w:tcPr>
            <w:tcW w:w="361" w:type="pct"/>
            <w:tcBorders>
              <w:top w:val="single" w:sz="12" w:space="0" w:color="auto"/>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2009</w:t>
            </w:r>
          </w:p>
        </w:tc>
        <w:tc>
          <w:tcPr>
            <w:tcW w:w="362" w:type="pct"/>
            <w:tcBorders>
              <w:top w:val="single" w:sz="12" w:space="0" w:color="auto"/>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2010</w:t>
            </w:r>
          </w:p>
        </w:tc>
        <w:tc>
          <w:tcPr>
            <w:tcW w:w="362" w:type="pct"/>
            <w:tcBorders>
              <w:top w:val="single" w:sz="12" w:space="0" w:color="auto"/>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2011</w:t>
            </w:r>
          </w:p>
        </w:tc>
        <w:tc>
          <w:tcPr>
            <w:tcW w:w="1186" w:type="pct"/>
            <w:tcBorders>
              <w:top w:val="single" w:sz="12" w:space="0" w:color="auto"/>
              <w:bottom w:val="single" w:sz="4" w:space="0" w:color="auto"/>
            </w:tcBorders>
            <w:shd w:val="clear" w:color="auto" w:fill="auto"/>
            <w:vAlign w:val="center"/>
          </w:tcPr>
          <w:p w:rsidR="00533DE3"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Used for</w:t>
            </w:r>
          </w:p>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this analysis</w:t>
            </w:r>
          </w:p>
        </w:tc>
      </w:tr>
      <w:tr w:rsidR="00533DE3" w:rsidRPr="00AA3395" w:rsidTr="00533DE3">
        <w:trPr>
          <w:trHeight w:val="227"/>
        </w:trPr>
        <w:tc>
          <w:tcPr>
            <w:tcW w:w="245" w:type="pct"/>
            <w:tcBorders>
              <w:top w:val="single" w:sz="4" w:space="0" w:color="auto"/>
            </w:tcBorders>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68</w:t>
            </w:r>
          </w:p>
        </w:tc>
        <w:tc>
          <w:tcPr>
            <w:tcW w:w="652" w:type="pct"/>
            <w:tcBorders>
              <w:top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tcBorders>
              <w:top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tcBorders>
              <w:top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tcBorders>
              <w:top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tcBorders>
              <w:top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w:t>
            </w:r>
          </w:p>
        </w:tc>
        <w:tc>
          <w:tcPr>
            <w:tcW w:w="362" w:type="pct"/>
            <w:tcBorders>
              <w:top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w:t>
            </w:r>
          </w:p>
        </w:tc>
        <w:tc>
          <w:tcPr>
            <w:tcW w:w="362" w:type="pct"/>
            <w:tcBorders>
              <w:top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tcBorders>
              <w:top w:val="single" w:sz="4" w:space="0" w:color="auto"/>
            </w:tcBorders>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71</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11</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79</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12</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65</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16</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70</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12</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81</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28</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GR</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29</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GR</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30</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GR</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31</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GR</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8</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32</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GR</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4</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33</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GR</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4</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22</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PGR</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23</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PGR</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4</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24</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PGR</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25</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PGR</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7</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26</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PGR</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27</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PGR</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11</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15</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19</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13</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17</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8</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20</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LT</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w:t>
            </w: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66</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7</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69</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4</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4</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80</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7</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4</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67</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72</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9</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78</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8</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12</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16</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9</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21</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11</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10</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17</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7</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14</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18</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LC</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8</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4</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65</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9</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70</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8</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81</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21</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67</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8</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8</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72</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8</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8</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78</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AL</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13</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17</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20</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LA+LT</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4</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10</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2</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4</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14</w:t>
            </w:r>
          </w:p>
        </w:tc>
        <w:tc>
          <w:tcPr>
            <w:tcW w:w="65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w:t>
            </w:r>
          </w:p>
        </w:tc>
        <w:tc>
          <w:tcPr>
            <w:tcW w:w="693"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LA+LC</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3</w:t>
            </w:r>
          </w:p>
        </w:tc>
        <w:tc>
          <w:tcPr>
            <w:tcW w:w="362" w:type="pct"/>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AA3395" w:rsidTr="00533DE3">
        <w:trPr>
          <w:trHeight w:val="227"/>
        </w:trPr>
        <w:tc>
          <w:tcPr>
            <w:tcW w:w="245" w:type="pct"/>
            <w:tcBorders>
              <w:bottom w:val="single" w:sz="4" w:space="0" w:color="auto"/>
            </w:tcBorders>
            <w:shd w:val="clear" w:color="auto" w:fill="auto"/>
            <w:noWrap/>
            <w:vAlign w:val="center"/>
          </w:tcPr>
          <w:p w:rsidR="00533DE3" w:rsidRPr="00AA3395" w:rsidRDefault="00533DE3" w:rsidP="00847F64">
            <w:pPr>
              <w:pStyle w:val="NoSpacing"/>
              <w:contextualSpacing/>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18</w:t>
            </w:r>
          </w:p>
        </w:tc>
        <w:tc>
          <w:tcPr>
            <w:tcW w:w="652" w:type="pct"/>
            <w:tcBorders>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SBY</w:t>
            </w:r>
          </w:p>
        </w:tc>
        <w:tc>
          <w:tcPr>
            <w:tcW w:w="778" w:type="pct"/>
            <w:tcBorders>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w:t>
            </w:r>
          </w:p>
        </w:tc>
        <w:tc>
          <w:tcPr>
            <w:tcW w:w="693" w:type="pct"/>
            <w:tcBorders>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LA+LC</w:t>
            </w:r>
          </w:p>
        </w:tc>
        <w:tc>
          <w:tcPr>
            <w:tcW w:w="361" w:type="pct"/>
            <w:tcBorders>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50</w:t>
            </w:r>
          </w:p>
        </w:tc>
        <w:tc>
          <w:tcPr>
            <w:tcW w:w="361" w:type="pct"/>
            <w:tcBorders>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362" w:type="pct"/>
            <w:tcBorders>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4</w:t>
            </w:r>
          </w:p>
        </w:tc>
        <w:tc>
          <w:tcPr>
            <w:tcW w:w="362" w:type="pct"/>
            <w:tcBorders>
              <w:bottom w:val="single" w:sz="4" w:space="0" w:color="auto"/>
            </w:tcBorders>
            <w:shd w:val="clear" w:color="auto" w:fill="auto"/>
            <w:noWrap/>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r w:rsidRPr="00AA3395">
              <w:rPr>
                <w:rFonts w:ascii="Times New Roman" w:eastAsia="Times New Roman" w:hAnsi="Times New Roman" w:cs="Times New Roman"/>
                <w:color w:val="000000"/>
                <w:sz w:val="20"/>
                <w:szCs w:val="20"/>
              </w:rPr>
              <w:t>0</w:t>
            </w:r>
          </w:p>
        </w:tc>
        <w:tc>
          <w:tcPr>
            <w:tcW w:w="1186" w:type="pct"/>
            <w:tcBorders>
              <w:bottom w:val="single" w:sz="4" w:space="0" w:color="auto"/>
            </w:tcBorders>
            <w:shd w:val="clear" w:color="auto" w:fill="auto"/>
            <w:vAlign w:val="center"/>
          </w:tcPr>
          <w:p w:rsidR="00533DE3" w:rsidRPr="00AA3395" w:rsidRDefault="00533DE3" w:rsidP="00533DE3">
            <w:pPr>
              <w:pStyle w:val="NoSpacing"/>
              <w:contextualSpacing/>
              <w:jc w:val="center"/>
              <w:rPr>
                <w:rFonts w:ascii="Times New Roman" w:eastAsia="Times New Roman" w:hAnsi="Times New Roman" w:cs="Times New Roman"/>
                <w:color w:val="000000"/>
                <w:sz w:val="20"/>
                <w:szCs w:val="20"/>
              </w:rPr>
            </w:pPr>
          </w:p>
        </w:tc>
      </w:tr>
      <w:tr w:rsidR="00533DE3" w:rsidRPr="003735F2" w:rsidTr="00533DE3">
        <w:trPr>
          <w:trHeight w:val="227"/>
        </w:trPr>
        <w:tc>
          <w:tcPr>
            <w:tcW w:w="5000" w:type="pct"/>
            <w:gridSpan w:val="9"/>
            <w:tcBorders>
              <w:top w:val="single" w:sz="4" w:space="0" w:color="auto"/>
            </w:tcBorders>
            <w:shd w:val="clear" w:color="auto" w:fill="auto"/>
            <w:noWrap/>
            <w:vAlign w:val="center"/>
          </w:tcPr>
          <w:p w:rsidR="00533DE3" w:rsidRPr="003735F2" w:rsidRDefault="00533DE3" w:rsidP="00533DE3">
            <w:pPr>
              <w:pStyle w:val="NoSpacing"/>
              <w:contextualSpacing/>
              <w:rPr>
                <w:rFonts w:ascii="Times New Roman" w:eastAsia="Times New Roman" w:hAnsi="Times New Roman" w:cs="Times New Roman"/>
                <w:i/>
                <w:color w:val="000000"/>
                <w:sz w:val="20"/>
                <w:szCs w:val="20"/>
              </w:rPr>
            </w:pPr>
            <w:r w:rsidRPr="003735F2">
              <w:rPr>
                <w:rFonts w:ascii="Times New Roman" w:eastAsia="Times New Roman" w:hAnsi="Times New Roman" w:cs="Times New Roman"/>
                <w:i/>
                <w:color w:val="000000"/>
                <w:sz w:val="20"/>
                <w:szCs w:val="20"/>
              </w:rPr>
              <w:t>Sites: AL=Abbotts Lagoon; GR=Goat Rock State Beach; PGR=Pacific Groves Golf Links; SBY=Spanish Bay</w:t>
            </w:r>
          </w:p>
        </w:tc>
      </w:tr>
    </w:tbl>
    <w:p w:rsidR="004B62EA" w:rsidRPr="00056EB8" w:rsidRDefault="004B62EA" w:rsidP="00AA3395">
      <w:pPr>
        <w:pStyle w:val="NoSpacing"/>
        <w:contextualSpacing/>
        <w:rPr>
          <w:rFonts w:ascii="Times New Roman" w:hAnsi="Times New Roman" w:cs="Times New Roman"/>
          <w:sz w:val="24"/>
          <w:szCs w:val="24"/>
        </w:rPr>
      </w:pPr>
    </w:p>
    <w:sectPr w:rsidR="004B62EA" w:rsidRPr="00056EB8" w:rsidSect="00665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86"/>
    <w:rsid w:val="00004BE2"/>
    <w:rsid w:val="0001010A"/>
    <w:rsid w:val="000151BC"/>
    <w:rsid w:val="00022D08"/>
    <w:rsid w:val="00023B3D"/>
    <w:rsid w:val="00025933"/>
    <w:rsid w:val="00026E52"/>
    <w:rsid w:val="00040D71"/>
    <w:rsid w:val="00045825"/>
    <w:rsid w:val="00050E1B"/>
    <w:rsid w:val="00054341"/>
    <w:rsid w:val="00056EB8"/>
    <w:rsid w:val="00060432"/>
    <w:rsid w:val="000611F2"/>
    <w:rsid w:val="00065854"/>
    <w:rsid w:val="0006766C"/>
    <w:rsid w:val="00067D9F"/>
    <w:rsid w:val="00071224"/>
    <w:rsid w:val="000715CF"/>
    <w:rsid w:val="00074A84"/>
    <w:rsid w:val="00083CA3"/>
    <w:rsid w:val="000873DB"/>
    <w:rsid w:val="00090336"/>
    <w:rsid w:val="000A229B"/>
    <w:rsid w:val="000A7B53"/>
    <w:rsid w:val="000C1071"/>
    <w:rsid w:val="000C3390"/>
    <w:rsid w:val="000C480C"/>
    <w:rsid w:val="000C74C7"/>
    <w:rsid w:val="000D3AAF"/>
    <w:rsid w:val="000D52D5"/>
    <w:rsid w:val="000D5B6B"/>
    <w:rsid w:val="000D72F4"/>
    <w:rsid w:val="000E0803"/>
    <w:rsid w:val="000E1CD5"/>
    <w:rsid w:val="000E3E0F"/>
    <w:rsid w:val="000F14B6"/>
    <w:rsid w:val="000F3570"/>
    <w:rsid w:val="00103C0C"/>
    <w:rsid w:val="00105B67"/>
    <w:rsid w:val="001077F4"/>
    <w:rsid w:val="001129A2"/>
    <w:rsid w:val="00124C5A"/>
    <w:rsid w:val="00132166"/>
    <w:rsid w:val="00132543"/>
    <w:rsid w:val="0013548B"/>
    <w:rsid w:val="00135E8D"/>
    <w:rsid w:val="0014016D"/>
    <w:rsid w:val="001429EE"/>
    <w:rsid w:val="00150558"/>
    <w:rsid w:val="00154060"/>
    <w:rsid w:val="00154188"/>
    <w:rsid w:val="00155E04"/>
    <w:rsid w:val="00162735"/>
    <w:rsid w:val="00162BC8"/>
    <w:rsid w:val="00163F77"/>
    <w:rsid w:val="00171F21"/>
    <w:rsid w:val="00174FB8"/>
    <w:rsid w:val="001760F1"/>
    <w:rsid w:val="001865DD"/>
    <w:rsid w:val="00187F03"/>
    <w:rsid w:val="001A0CCB"/>
    <w:rsid w:val="001B2B1D"/>
    <w:rsid w:val="001C35E5"/>
    <w:rsid w:val="001C46A0"/>
    <w:rsid w:val="001D5DBD"/>
    <w:rsid w:val="001E2AA8"/>
    <w:rsid w:val="001E4367"/>
    <w:rsid w:val="001F0F4C"/>
    <w:rsid w:val="0020062F"/>
    <w:rsid w:val="00202AA3"/>
    <w:rsid w:val="00223C0A"/>
    <w:rsid w:val="00223EF0"/>
    <w:rsid w:val="00225EF7"/>
    <w:rsid w:val="00227EC4"/>
    <w:rsid w:val="00234D6B"/>
    <w:rsid w:val="002371F5"/>
    <w:rsid w:val="002420F3"/>
    <w:rsid w:val="0024769F"/>
    <w:rsid w:val="00257A85"/>
    <w:rsid w:val="00266C09"/>
    <w:rsid w:val="00275110"/>
    <w:rsid w:val="002756AE"/>
    <w:rsid w:val="00283F6D"/>
    <w:rsid w:val="00287BE2"/>
    <w:rsid w:val="00287F33"/>
    <w:rsid w:val="002959C4"/>
    <w:rsid w:val="002A14EB"/>
    <w:rsid w:val="002A4264"/>
    <w:rsid w:val="002B1013"/>
    <w:rsid w:val="002B2D9B"/>
    <w:rsid w:val="002C01D8"/>
    <w:rsid w:val="002C30E2"/>
    <w:rsid w:val="002E1E71"/>
    <w:rsid w:val="002F3E2A"/>
    <w:rsid w:val="002F5607"/>
    <w:rsid w:val="002F7E44"/>
    <w:rsid w:val="00302961"/>
    <w:rsid w:val="00307033"/>
    <w:rsid w:val="003147B3"/>
    <w:rsid w:val="003148B7"/>
    <w:rsid w:val="00330B0C"/>
    <w:rsid w:val="003369C3"/>
    <w:rsid w:val="00341EB0"/>
    <w:rsid w:val="003453ED"/>
    <w:rsid w:val="003518EA"/>
    <w:rsid w:val="00355106"/>
    <w:rsid w:val="00355AA8"/>
    <w:rsid w:val="003560F2"/>
    <w:rsid w:val="00363AE1"/>
    <w:rsid w:val="00366D75"/>
    <w:rsid w:val="003735F2"/>
    <w:rsid w:val="00380068"/>
    <w:rsid w:val="00392606"/>
    <w:rsid w:val="00397E34"/>
    <w:rsid w:val="003A0FC2"/>
    <w:rsid w:val="003A28C2"/>
    <w:rsid w:val="003A2E84"/>
    <w:rsid w:val="003A4DB6"/>
    <w:rsid w:val="003D271D"/>
    <w:rsid w:val="003D3CD4"/>
    <w:rsid w:val="003E4B2F"/>
    <w:rsid w:val="003F1E15"/>
    <w:rsid w:val="003F7209"/>
    <w:rsid w:val="004101CA"/>
    <w:rsid w:val="0041211E"/>
    <w:rsid w:val="00423E6A"/>
    <w:rsid w:val="00424745"/>
    <w:rsid w:val="00426E56"/>
    <w:rsid w:val="00427A5A"/>
    <w:rsid w:val="00430031"/>
    <w:rsid w:val="0043214B"/>
    <w:rsid w:val="00441499"/>
    <w:rsid w:val="00444790"/>
    <w:rsid w:val="00454B0B"/>
    <w:rsid w:val="004579DA"/>
    <w:rsid w:val="00462CE1"/>
    <w:rsid w:val="004652A5"/>
    <w:rsid w:val="004822C1"/>
    <w:rsid w:val="00487EDA"/>
    <w:rsid w:val="004A36C4"/>
    <w:rsid w:val="004A46A7"/>
    <w:rsid w:val="004A6516"/>
    <w:rsid w:val="004A6819"/>
    <w:rsid w:val="004B33A0"/>
    <w:rsid w:val="004B62EA"/>
    <w:rsid w:val="004C1E04"/>
    <w:rsid w:val="004C3225"/>
    <w:rsid w:val="004D5489"/>
    <w:rsid w:val="004F4434"/>
    <w:rsid w:val="00504CCC"/>
    <w:rsid w:val="00512901"/>
    <w:rsid w:val="00512C86"/>
    <w:rsid w:val="00517554"/>
    <w:rsid w:val="00525F74"/>
    <w:rsid w:val="00526494"/>
    <w:rsid w:val="005279CC"/>
    <w:rsid w:val="00533DE3"/>
    <w:rsid w:val="00535309"/>
    <w:rsid w:val="00545F4D"/>
    <w:rsid w:val="005461BE"/>
    <w:rsid w:val="005545C5"/>
    <w:rsid w:val="00560333"/>
    <w:rsid w:val="00570F28"/>
    <w:rsid w:val="00571FD6"/>
    <w:rsid w:val="0057523C"/>
    <w:rsid w:val="005774A5"/>
    <w:rsid w:val="00582BFC"/>
    <w:rsid w:val="005841B5"/>
    <w:rsid w:val="00585A30"/>
    <w:rsid w:val="00586295"/>
    <w:rsid w:val="00592884"/>
    <w:rsid w:val="00592991"/>
    <w:rsid w:val="00593BD2"/>
    <w:rsid w:val="005970E2"/>
    <w:rsid w:val="005A00F7"/>
    <w:rsid w:val="005A4554"/>
    <w:rsid w:val="005B0775"/>
    <w:rsid w:val="005B35B5"/>
    <w:rsid w:val="005B567D"/>
    <w:rsid w:val="005C08C3"/>
    <w:rsid w:val="005C22A2"/>
    <w:rsid w:val="005C589A"/>
    <w:rsid w:val="005C793F"/>
    <w:rsid w:val="005D1614"/>
    <w:rsid w:val="005D200A"/>
    <w:rsid w:val="005D5042"/>
    <w:rsid w:val="005D5E99"/>
    <w:rsid w:val="005E4633"/>
    <w:rsid w:val="005F5757"/>
    <w:rsid w:val="00606783"/>
    <w:rsid w:val="00611DCA"/>
    <w:rsid w:val="00624054"/>
    <w:rsid w:val="0062418D"/>
    <w:rsid w:val="006272BA"/>
    <w:rsid w:val="0062749B"/>
    <w:rsid w:val="006407BA"/>
    <w:rsid w:val="0064139C"/>
    <w:rsid w:val="00642DF3"/>
    <w:rsid w:val="006476B5"/>
    <w:rsid w:val="006501BA"/>
    <w:rsid w:val="00653A48"/>
    <w:rsid w:val="00656A10"/>
    <w:rsid w:val="00660D11"/>
    <w:rsid w:val="0066279B"/>
    <w:rsid w:val="00665CE5"/>
    <w:rsid w:val="006676D9"/>
    <w:rsid w:val="0067478A"/>
    <w:rsid w:val="00674871"/>
    <w:rsid w:val="00676B4E"/>
    <w:rsid w:val="006802BF"/>
    <w:rsid w:val="00681C72"/>
    <w:rsid w:val="006870D9"/>
    <w:rsid w:val="006A03DE"/>
    <w:rsid w:val="006A0D65"/>
    <w:rsid w:val="006A2A4C"/>
    <w:rsid w:val="006A2AEA"/>
    <w:rsid w:val="006A6625"/>
    <w:rsid w:val="006B4599"/>
    <w:rsid w:val="006C0A37"/>
    <w:rsid w:val="006C5C3C"/>
    <w:rsid w:val="006C679F"/>
    <w:rsid w:val="006C70D8"/>
    <w:rsid w:val="006D4DA3"/>
    <w:rsid w:val="006E16D7"/>
    <w:rsid w:val="006E4603"/>
    <w:rsid w:val="006F37DD"/>
    <w:rsid w:val="006F4FE9"/>
    <w:rsid w:val="00700F9F"/>
    <w:rsid w:val="007017DC"/>
    <w:rsid w:val="00701C86"/>
    <w:rsid w:val="0074056F"/>
    <w:rsid w:val="00754D4D"/>
    <w:rsid w:val="00757F7B"/>
    <w:rsid w:val="0076019F"/>
    <w:rsid w:val="0077207C"/>
    <w:rsid w:val="0077254A"/>
    <w:rsid w:val="00775413"/>
    <w:rsid w:val="007819F0"/>
    <w:rsid w:val="007845B2"/>
    <w:rsid w:val="00787786"/>
    <w:rsid w:val="00792E30"/>
    <w:rsid w:val="00792F92"/>
    <w:rsid w:val="0079387C"/>
    <w:rsid w:val="007955FC"/>
    <w:rsid w:val="00795F6A"/>
    <w:rsid w:val="007A5249"/>
    <w:rsid w:val="007B1E26"/>
    <w:rsid w:val="007B2CE1"/>
    <w:rsid w:val="007B6ECC"/>
    <w:rsid w:val="007B7144"/>
    <w:rsid w:val="007C00CA"/>
    <w:rsid w:val="007C5504"/>
    <w:rsid w:val="007D4151"/>
    <w:rsid w:val="007D57D3"/>
    <w:rsid w:val="007D7124"/>
    <w:rsid w:val="007F0467"/>
    <w:rsid w:val="007F48F8"/>
    <w:rsid w:val="007F50C6"/>
    <w:rsid w:val="007F609C"/>
    <w:rsid w:val="00801B67"/>
    <w:rsid w:val="00806FC6"/>
    <w:rsid w:val="00821573"/>
    <w:rsid w:val="00830016"/>
    <w:rsid w:val="00830535"/>
    <w:rsid w:val="0083125F"/>
    <w:rsid w:val="00833151"/>
    <w:rsid w:val="00833C49"/>
    <w:rsid w:val="008412E3"/>
    <w:rsid w:val="00841B26"/>
    <w:rsid w:val="00845895"/>
    <w:rsid w:val="0084599C"/>
    <w:rsid w:val="00846300"/>
    <w:rsid w:val="00847F64"/>
    <w:rsid w:val="008520CA"/>
    <w:rsid w:val="00857CCF"/>
    <w:rsid w:val="008623B5"/>
    <w:rsid w:val="00865375"/>
    <w:rsid w:val="00866AE4"/>
    <w:rsid w:val="00875319"/>
    <w:rsid w:val="00876E33"/>
    <w:rsid w:val="008778D4"/>
    <w:rsid w:val="008827E7"/>
    <w:rsid w:val="0088749E"/>
    <w:rsid w:val="00887577"/>
    <w:rsid w:val="00891E44"/>
    <w:rsid w:val="00892275"/>
    <w:rsid w:val="008A05B0"/>
    <w:rsid w:val="008A1995"/>
    <w:rsid w:val="008A4C6D"/>
    <w:rsid w:val="008D12BE"/>
    <w:rsid w:val="008D324E"/>
    <w:rsid w:val="008D3378"/>
    <w:rsid w:val="008E0354"/>
    <w:rsid w:val="008E0FBE"/>
    <w:rsid w:val="008E41FF"/>
    <w:rsid w:val="008F1E59"/>
    <w:rsid w:val="008F7E4E"/>
    <w:rsid w:val="009014A3"/>
    <w:rsid w:val="009066D7"/>
    <w:rsid w:val="00907934"/>
    <w:rsid w:val="00910D3C"/>
    <w:rsid w:val="00912038"/>
    <w:rsid w:val="009127F6"/>
    <w:rsid w:val="00920932"/>
    <w:rsid w:val="009212AF"/>
    <w:rsid w:val="00924BEB"/>
    <w:rsid w:val="00930658"/>
    <w:rsid w:val="009338CF"/>
    <w:rsid w:val="00935C97"/>
    <w:rsid w:val="00936113"/>
    <w:rsid w:val="009441D8"/>
    <w:rsid w:val="00946520"/>
    <w:rsid w:val="00957DB4"/>
    <w:rsid w:val="009624BF"/>
    <w:rsid w:val="00964125"/>
    <w:rsid w:val="00970FDC"/>
    <w:rsid w:val="00974A60"/>
    <w:rsid w:val="0098477A"/>
    <w:rsid w:val="00991898"/>
    <w:rsid w:val="009A21B2"/>
    <w:rsid w:val="009B180C"/>
    <w:rsid w:val="009C1686"/>
    <w:rsid w:val="009C6B44"/>
    <w:rsid w:val="009D1C5A"/>
    <w:rsid w:val="009D400C"/>
    <w:rsid w:val="009E3F81"/>
    <w:rsid w:val="009F1178"/>
    <w:rsid w:val="009F13F7"/>
    <w:rsid w:val="009F3C83"/>
    <w:rsid w:val="009F5F43"/>
    <w:rsid w:val="009F7AE7"/>
    <w:rsid w:val="00A05877"/>
    <w:rsid w:val="00A107C6"/>
    <w:rsid w:val="00A22403"/>
    <w:rsid w:val="00A23CBF"/>
    <w:rsid w:val="00A26955"/>
    <w:rsid w:val="00A30497"/>
    <w:rsid w:val="00A311AF"/>
    <w:rsid w:val="00A323A9"/>
    <w:rsid w:val="00A47967"/>
    <w:rsid w:val="00A50A39"/>
    <w:rsid w:val="00A53021"/>
    <w:rsid w:val="00A55B18"/>
    <w:rsid w:val="00A57842"/>
    <w:rsid w:val="00A61FDE"/>
    <w:rsid w:val="00A62EC0"/>
    <w:rsid w:val="00A6593C"/>
    <w:rsid w:val="00A65F1C"/>
    <w:rsid w:val="00A65F25"/>
    <w:rsid w:val="00A67749"/>
    <w:rsid w:val="00A70F9B"/>
    <w:rsid w:val="00A75DE1"/>
    <w:rsid w:val="00A77623"/>
    <w:rsid w:val="00A8104B"/>
    <w:rsid w:val="00A93C5C"/>
    <w:rsid w:val="00AA3395"/>
    <w:rsid w:val="00AA4109"/>
    <w:rsid w:val="00AC5DA2"/>
    <w:rsid w:val="00AD0595"/>
    <w:rsid w:val="00AD46FD"/>
    <w:rsid w:val="00AD606A"/>
    <w:rsid w:val="00B00FAF"/>
    <w:rsid w:val="00B026CC"/>
    <w:rsid w:val="00B06EF6"/>
    <w:rsid w:val="00B075AD"/>
    <w:rsid w:val="00B13C73"/>
    <w:rsid w:val="00B20A15"/>
    <w:rsid w:val="00B2147D"/>
    <w:rsid w:val="00B26C78"/>
    <w:rsid w:val="00B31A2F"/>
    <w:rsid w:val="00B36A18"/>
    <w:rsid w:val="00B41B67"/>
    <w:rsid w:val="00B448AE"/>
    <w:rsid w:val="00B45D7D"/>
    <w:rsid w:val="00B46286"/>
    <w:rsid w:val="00B53C03"/>
    <w:rsid w:val="00B5465B"/>
    <w:rsid w:val="00B636D9"/>
    <w:rsid w:val="00B64539"/>
    <w:rsid w:val="00B6663A"/>
    <w:rsid w:val="00B66957"/>
    <w:rsid w:val="00B725C6"/>
    <w:rsid w:val="00B737B3"/>
    <w:rsid w:val="00B8500B"/>
    <w:rsid w:val="00B86CA5"/>
    <w:rsid w:val="00BA0668"/>
    <w:rsid w:val="00BB1069"/>
    <w:rsid w:val="00BB4D3C"/>
    <w:rsid w:val="00BB6FC6"/>
    <w:rsid w:val="00BB7A0B"/>
    <w:rsid w:val="00BC286B"/>
    <w:rsid w:val="00BD31BC"/>
    <w:rsid w:val="00BD37DF"/>
    <w:rsid w:val="00BD440B"/>
    <w:rsid w:val="00BD59B9"/>
    <w:rsid w:val="00BD6322"/>
    <w:rsid w:val="00BD7005"/>
    <w:rsid w:val="00BD70AB"/>
    <w:rsid w:val="00BE7881"/>
    <w:rsid w:val="00BF27B0"/>
    <w:rsid w:val="00C004DF"/>
    <w:rsid w:val="00C05238"/>
    <w:rsid w:val="00C06574"/>
    <w:rsid w:val="00C06AEB"/>
    <w:rsid w:val="00C13F16"/>
    <w:rsid w:val="00C152D6"/>
    <w:rsid w:val="00C15E28"/>
    <w:rsid w:val="00C2103E"/>
    <w:rsid w:val="00C27269"/>
    <w:rsid w:val="00C304D8"/>
    <w:rsid w:val="00C46C2F"/>
    <w:rsid w:val="00C53C31"/>
    <w:rsid w:val="00C62FDC"/>
    <w:rsid w:val="00C65F9B"/>
    <w:rsid w:val="00C74E76"/>
    <w:rsid w:val="00C75E4B"/>
    <w:rsid w:val="00CA598F"/>
    <w:rsid w:val="00CB3C64"/>
    <w:rsid w:val="00CB53CA"/>
    <w:rsid w:val="00CB6095"/>
    <w:rsid w:val="00CB6503"/>
    <w:rsid w:val="00CB6AA8"/>
    <w:rsid w:val="00CB7895"/>
    <w:rsid w:val="00CC08EB"/>
    <w:rsid w:val="00CC2620"/>
    <w:rsid w:val="00CC7D87"/>
    <w:rsid w:val="00CD0FE4"/>
    <w:rsid w:val="00CD3447"/>
    <w:rsid w:val="00CD6E47"/>
    <w:rsid w:val="00CE0132"/>
    <w:rsid w:val="00CE4C9B"/>
    <w:rsid w:val="00CE7AEE"/>
    <w:rsid w:val="00CF1C88"/>
    <w:rsid w:val="00CF7F39"/>
    <w:rsid w:val="00D00736"/>
    <w:rsid w:val="00D01223"/>
    <w:rsid w:val="00D01859"/>
    <w:rsid w:val="00D101A5"/>
    <w:rsid w:val="00D130E6"/>
    <w:rsid w:val="00D140DC"/>
    <w:rsid w:val="00D17719"/>
    <w:rsid w:val="00D334A1"/>
    <w:rsid w:val="00D346F3"/>
    <w:rsid w:val="00D34A31"/>
    <w:rsid w:val="00D34F78"/>
    <w:rsid w:val="00D45B2E"/>
    <w:rsid w:val="00D475B8"/>
    <w:rsid w:val="00D47619"/>
    <w:rsid w:val="00D51355"/>
    <w:rsid w:val="00D522CC"/>
    <w:rsid w:val="00D63638"/>
    <w:rsid w:val="00D677D0"/>
    <w:rsid w:val="00D72335"/>
    <w:rsid w:val="00D80430"/>
    <w:rsid w:val="00D83C8F"/>
    <w:rsid w:val="00D86F8F"/>
    <w:rsid w:val="00D93E8B"/>
    <w:rsid w:val="00D944BF"/>
    <w:rsid w:val="00D968E0"/>
    <w:rsid w:val="00D974A3"/>
    <w:rsid w:val="00DA2D35"/>
    <w:rsid w:val="00DA595C"/>
    <w:rsid w:val="00DB4008"/>
    <w:rsid w:val="00DB5757"/>
    <w:rsid w:val="00DB5879"/>
    <w:rsid w:val="00DC35D1"/>
    <w:rsid w:val="00DC3BF3"/>
    <w:rsid w:val="00DC6E8A"/>
    <w:rsid w:val="00DD58C2"/>
    <w:rsid w:val="00DF0373"/>
    <w:rsid w:val="00DF0A1E"/>
    <w:rsid w:val="00DF199D"/>
    <w:rsid w:val="00DF33AE"/>
    <w:rsid w:val="00E00B91"/>
    <w:rsid w:val="00E04071"/>
    <w:rsid w:val="00E13DB0"/>
    <w:rsid w:val="00E14441"/>
    <w:rsid w:val="00E14CFC"/>
    <w:rsid w:val="00E15EDF"/>
    <w:rsid w:val="00E16F0F"/>
    <w:rsid w:val="00E205AD"/>
    <w:rsid w:val="00E3415F"/>
    <w:rsid w:val="00E37463"/>
    <w:rsid w:val="00E52367"/>
    <w:rsid w:val="00E547DF"/>
    <w:rsid w:val="00E57A0B"/>
    <w:rsid w:val="00E70F34"/>
    <w:rsid w:val="00E920E1"/>
    <w:rsid w:val="00E960B6"/>
    <w:rsid w:val="00EA011B"/>
    <w:rsid w:val="00EA0E92"/>
    <w:rsid w:val="00EA398B"/>
    <w:rsid w:val="00EA6278"/>
    <w:rsid w:val="00EA675E"/>
    <w:rsid w:val="00EC0037"/>
    <w:rsid w:val="00EC2007"/>
    <w:rsid w:val="00EC2233"/>
    <w:rsid w:val="00EC2384"/>
    <w:rsid w:val="00EC313D"/>
    <w:rsid w:val="00EC48CE"/>
    <w:rsid w:val="00EC57F2"/>
    <w:rsid w:val="00ED030D"/>
    <w:rsid w:val="00EE02B1"/>
    <w:rsid w:val="00EE1BC9"/>
    <w:rsid w:val="00EE57BE"/>
    <w:rsid w:val="00EF463E"/>
    <w:rsid w:val="00EF58CB"/>
    <w:rsid w:val="00EF6CF0"/>
    <w:rsid w:val="00F009FD"/>
    <w:rsid w:val="00F05046"/>
    <w:rsid w:val="00F11B5B"/>
    <w:rsid w:val="00F17604"/>
    <w:rsid w:val="00F203F1"/>
    <w:rsid w:val="00F212D8"/>
    <w:rsid w:val="00F229F9"/>
    <w:rsid w:val="00F247E2"/>
    <w:rsid w:val="00F24BE5"/>
    <w:rsid w:val="00F31830"/>
    <w:rsid w:val="00F34F8B"/>
    <w:rsid w:val="00F40DC8"/>
    <w:rsid w:val="00F4218F"/>
    <w:rsid w:val="00F43039"/>
    <w:rsid w:val="00F4590D"/>
    <w:rsid w:val="00F46E15"/>
    <w:rsid w:val="00F53AD7"/>
    <w:rsid w:val="00F65D91"/>
    <w:rsid w:val="00F67602"/>
    <w:rsid w:val="00F71199"/>
    <w:rsid w:val="00F73861"/>
    <w:rsid w:val="00F7563B"/>
    <w:rsid w:val="00F848E6"/>
    <w:rsid w:val="00F857A5"/>
    <w:rsid w:val="00F8585F"/>
    <w:rsid w:val="00F86FB3"/>
    <w:rsid w:val="00F9513E"/>
    <w:rsid w:val="00FA1A68"/>
    <w:rsid w:val="00FA28D7"/>
    <w:rsid w:val="00FA2C71"/>
    <w:rsid w:val="00FA5578"/>
    <w:rsid w:val="00FB17BD"/>
    <w:rsid w:val="00FB1F78"/>
    <w:rsid w:val="00FB4A53"/>
    <w:rsid w:val="00FB75EF"/>
    <w:rsid w:val="00FC1861"/>
    <w:rsid w:val="00FC35D3"/>
    <w:rsid w:val="00FC39FC"/>
    <w:rsid w:val="00FC5C2A"/>
    <w:rsid w:val="00FD38E3"/>
    <w:rsid w:val="00FE11A2"/>
    <w:rsid w:val="00FE2733"/>
    <w:rsid w:val="00FE770F"/>
    <w:rsid w:val="00FE7E3B"/>
    <w:rsid w:val="00FF137C"/>
    <w:rsid w:val="00FF2ABE"/>
    <w:rsid w:val="00FF4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C5DFC-41ED-4F08-B4F2-6E4C05A2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E8A"/>
    <w:pPr>
      <w:ind w:left="720"/>
      <w:contextualSpacing/>
    </w:pPr>
  </w:style>
  <w:style w:type="paragraph" w:styleId="NoSpacing">
    <w:name w:val="No Spacing"/>
    <w:uiPriority w:val="1"/>
    <w:qFormat/>
    <w:rsid w:val="00DC6E8A"/>
    <w:pPr>
      <w:spacing w:after="0" w:line="240" w:lineRule="auto"/>
    </w:pPr>
  </w:style>
  <w:style w:type="table" w:styleId="TableGrid">
    <w:name w:val="Table Grid"/>
    <w:basedOn w:val="TableNormal"/>
    <w:uiPriority w:val="59"/>
    <w:rsid w:val="00DC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F0"/>
    <w:rPr>
      <w:rFonts w:ascii="Tahoma" w:hAnsi="Tahoma" w:cs="Tahoma"/>
      <w:sz w:val="16"/>
      <w:szCs w:val="16"/>
    </w:rPr>
  </w:style>
  <w:style w:type="character" w:styleId="CommentReference">
    <w:name w:val="annotation reference"/>
    <w:basedOn w:val="DefaultParagraphFont"/>
    <w:uiPriority w:val="99"/>
    <w:semiHidden/>
    <w:unhideWhenUsed/>
    <w:rsid w:val="00C304D8"/>
    <w:rPr>
      <w:sz w:val="16"/>
      <w:szCs w:val="16"/>
    </w:rPr>
  </w:style>
  <w:style w:type="paragraph" w:styleId="CommentText">
    <w:name w:val="annotation text"/>
    <w:basedOn w:val="Normal"/>
    <w:link w:val="CommentTextChar"/>
    <w:uiPriority w:val="99"/>
    <w:semiHidden/>
    <w:unhideWhenUsed/>
    <w:rsid w:val="00C304D8"/>
    <w:pPr>
      <w:spacing w:line="240" w:lineRule="auto"/>
    </w:pPr>
    <w:rPr>
      <w:sz w:val="20"/>
      <w:szCs w:val="20"/>
    </w:rPr>
  </w:style>
  <w:style w:type="character" w:customStyle="1" w:styleId="CommentTextChar">
    <w:name w:val="Comment Text Char"/>
    <w:basedOn w:val="DefaultParagraphFont"/>
    <w:link w:val="CommentText"/>
    <w:uiPriority w:val="99"/>
    <w:semiHidden/>
    <w:rsid w:val="00C304D8"/>
    <w:rPr>
      <w:sz w:val="20"/>
      <w:szCs w:val="20"/>
    </w:rPr>
  </w:style>
  <w:style w:type="paragraph" w:styleId="CommentSubject">
    <w:name w:val="annotation subject"/>
    <w:basedOn w:val="CommentText"/>
    <w:next w:val="CommentText"/>
    <w:link w:val="CommentSubjectChar"/>
    <w:uiPriority w:val="99"/>
    <w:semiHidden/>
    <w:unhideWhenUsed/>
    <w:rsid w:val="00C304D8"/>
    <w:rPr>
      <w:b/>
      <w:bCs/>
    </w:rPr>
  </w:style>
  <w:style w:type="character" w:customStyle="1" w:styleId="CommentSubjectChar">
    <w:name w:val="Comment Subject Char"/>
    <w:basedOn w:val="CommentTextChar"/>
    <w:link w:val="CommentSubject"/>
    <w:uiPriority w:val="99"/>
    <w:semiHidden/>
    <w:rsid w:val="00C304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3923">
      <w:bodyDiv w:val="1"/>
      <w:marLeft w:val="0"/>
      <w:marRight w:val="0"/>
      <w:marTop w:val="0"/>
      <w:marBottom w:val="0"/>
      <w:divBdr>
        <w:top w:val="none" w:sz="0" w:space="0" w:color="auto"/>
        <w:left w:val="none" w:sz="0" w:space="0" w:color="auto"/>
        <w:bottom w:val="none" w:sz="0" w:space="0" w:color="auto"/>
        <w:right w:val="none" w:sz="0" w:space="0" w:color="auto"/>
      </w:divBdr>
    </w:div>
    <w:div w:id="323629777">
      <w:bodyDiv w:val="1"/>
      <w:marLeft w:val="0"/>
      <w:marRight w:val="0"/>
      <w:marTop w:val="0"/>
      <w:marBottom w:val="0"/>
      <w:divBdr>
        <w:top w:val="none" w:sz="0" w:space="0" w:color="auto"/>
        <w:left w:val="none" w:sz="0" w:space="0" w:color="auto"/>
        <w:bottom w:val="none" w:sz="0" w:space="0" w:color="auto"/>
        <w:right w:val="none" w:sz="0" w:space="0" w:color="auto"/>
      </w:divBdr>
      <w:divsChild>
        <w:div w:id="2027320386">
          <w:marLeft w:val="0"/>
          <w:marRight w:val="0"/>
          <w:marTop w:val="0"/>
          <w:marBottom w:val="0"/>
          <w:divBdr>
            <w:top w:val="none" w:sz="0" w:space="0" w:color="auto"/>
            <w:left w:val="none" w:sz="0" w:space="0" w:color="auto"/>
            <w:bottom w:val="none" w:sz="0" w:space="0" w:color="auto"/>
            <w:right w:val="none" w:sz="0" w:space="0" w:color="auto"/>
          </w:divBdr>
        </w:div>
        <w:div w:id="582687221">
          <w:marLeft w:val="0"/>
          <w:marRight w:val="0"/>
          <w:marTop w:val="0"/>
          <w:marBottom w:val="0"/>
          <w:divBdr>
            <w:top w:val="none" w:sz="0" w:space="0" w:color="auto"/>
            <w:left w:val="none" w:sz="0" w:space="0" w:color="auto"/>
            <w:bottom w:val="none" w:sz="0" w:space="0" w:color="auto"/>
            <w:right w:val="none" w:sz="0" w:space="0" w:color="auto"/>
          </w:divBdr>
        </w:div>
        <w:div w:id="1500660029">
          <w:marLeft w:val="0"/>
          <w:marRight w:val="0"/>
          <w:marTop w:val="0"/>
          <w:marBottom w:val="0"/>
          <w:divBdr>
            <w:top w:val="none" w:sz="0" w:space="0" w:color="auto"/>
            <w:left w:val="none" w:sz="0" w:space="0" w:color="auto"/>
            <w:bottom w:val="none" w:sz="0" w:space="0" w:color="auto"/>
            <w:right w:val="none" w:sz="0" w:space="0" w:color="auto"/>
          </w:divBdr>
        </w:div>
        <w:div w:id="1332223411">
          <w:marLeft w:val="0"/>
          <w:marRight w:val="0"/>
          <w:marTop w:val="0"/>
          <w:marBottom w:val="0"/>
          <w:divBdr>
            <w:top w:val="none" w:sz="0" w:space="0" w:color="auto"/>
            <w:left w:val="none" w:sz="0" w:space="0" w:color="auto"/>
            <w:bottom w:val="none" w:sz="0" w:space="0" w:color="auto"/>
            <w:right w:val="none" w:sz="0" w:space="0" w:color="auto"/>
          </w:divBdr>
        </w:div>
        <w:div w:id="1963682483">
          <w:marLeft w:val="0"/>
          <w:marRight w:val="0"/>
          <w:marTop w:val="0"/>
          <w:marBottom w:val="0"/>
          <w:divBdr>
            <w:top w:val="none" w:sz="0" w:space="0" w:color="auto"/>
            <w:left w:val="none" w:sz="0" w:space="0" w:color="auto"/>
            <w:bottom w:val="none" w:sz="0" w:space="0" w:color="auto"/>
            <w:right w:val="none" w:sz="0" w:space="0" w:color="auto"/>
          </w:divBdr>
        </w:div>
        <w:div w:id="1817528231">
          <w:marLeft w:val="0"/>
          <w:marRight w:val="0"/>
          <w:marTop w:val="0"/>
          <w:marBottom w:val="0"/>
          <w:divBdr>
            <w:top w:val="none" w:sz="0" w:space="0" w:color="auto"/>
            <w:left w:val="none" w:sz="0" w:space="0" w:color="auto"/>
            <w:bottom w:val="none" w:sz="0" w:space="0" w:color="auto"/>
            <w:right w:val="none" w:sz="0" w:space="0" w:color="auto"/>
          </w:divBdr>
        </w:div>
        <w:div w:id="1833763677">
          <w:marLeft w:val="0"/>
          <w:marRight w:val="0"/>
          <w:marTop w:val="0"/>
          <w:marBottom w:val="0"/>
          <w:divBdr>
            <w:top w:val="none" w:sz="0" w:space="0" w:color="auto"/>
            <w:left w:val="none" w:sz="0" w:space="0" w:color="auto"/>
            <w:bottom w:val="none" w:sz="0" w:space="0" w:color="auto"/>
            <w:right w:val="none" w:sz="0" w:space="0" w:color="auto"/>
          </w:divBdr>
        </w:div>
        <w:div w:id="290870528">
          <w:marLeft w:val="0"/>
          <w:marRight w:val="0"/>
          <w:marTop w:val="0"/>
          <w:marBottom w:val="0"/>
          <w:divBdr>
            <w:top w:val="none" w:sz="0" w:space="0" w:color="auto"/>
            <w:left w:val="none" w:sz="0" w:space="0" w:color="auto"/>
            <w:bottom w:val="none" w:sz="0" w:space="0" w:color="auto"/>
            <w:right w:val="none" w:sz="0" w:space="0" w:color="auto"/>
          </w:divBdr>
        </w:div>
        <w:div w:id="152987275">
          <w:marLeft w:val="0"/>
          <w:marRight w:val="0"/>
          <w:marTop w:val="0"/>
          <w:marBottom w:val="0"/>
          <w:divBdr>
            <w:top w:val="none" w:sz="0" w:space="0" w:color="auto"/>
            <w:left w:val="none" w:sz="0" w:space="0" w:color="auto"/>
            <w:bottom w:val="none" w:sz="0" w:space="0" w:color="auto"/>
            <w:right w:val="none" w:sz="0" w:space="0" w:color="auto"/>
          </w:divBdr>
        </w:div>
      </w:divsChild>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29088776">
      <w:bodyDiv w:val="1"/>
      <w:marLeft w:val="0"/>
      <w:marRight w:val="0"/>
      <w:marTop w:val="0"/>
      <w:marBottom w:val="0"/>
      <w:divBdr>
        <w:top w:val="none" w:sz="0" w:space="0" w:color="auto"/>
        <w:left w:val="none" w:sz="0" w:space="0" w:color="auto"/>
        <w:bottom w:val="none" w:sz="0" w:space="0" w:color="auto"/>
        <w:right w:val="none" w:sz="0" w:space="0" w:color="auto"/>
      </w:divBdr>
    </w:div>
    <w:div w:id="9584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B2E2-C579-4FBC-8CFF-8FA73F9E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epardini</dc:creator>
  <cp:lastModifiedBy>Eleanor</cp:lastModifiedBy>
  <cp:revision>4</cp:revision>
  <cp:lastPrinted>2013-08-07T21:47:00Z</cp:lastPrinted>
  <dcterms:created xsi:type="dcterms:W3CDTF">2014-10-08T17:46:00Z</dcterms:created>
  <dcterms:modified xsi:type="dcterms:W3CDTF">2015-01-06T19:07:00Z</dcterms:modified>
</cp:coreProperties>
</file>