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783CF" w14:textId="48CFF718" w:rsidR="0010093B" w:rsidRDefault="00125BCF" w:rsidP="005C41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Table </w:t>
      </w:r>
      <w:r w:rsidR="00161A2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: </w:t>
      </w:r>
      <w:r w:rsidRPr="00B90526">
        <w:rPr>
          <w:b/>
          <w:sz w:val="24"/>
          <w:szCs w:val="24"/>
        </w:rPr>
        <w:t>Comparison of Antibacterial Performance EC</w:t>
      </w:r>
      <w:r w:rsidRPr="00B90526">
        <w:rPr>
          <w:b/>
          <w:sz w:val="24"/>
          <w:szCs w:val="24"/>
          <w:vertAlign w:val="subscript"/>
        </w:rPr>
        <w:t>50</w:t>
      </w:r>
      <w:r w:rsidRPr="00B90526">
        <w:rPr>
          <w:b/>
          <w:sz w:val="24"/>
          <w:szCs w:val="24"/>
        </w:rPr>
        <w:t xml:space="preserve"> and Hill Slope Values Determined by </w:t>
      </w:r>
      <w:r w:rsidR="00357CEA">
        <w:rPr>
          <w:b/>
          <w:sz w:val="24"/>
          <w:szCs w:val="24"/>
        </w:rPr>
        <w:t>Dilution</w:t>
      </w:r>
      <w:r w:rsidRPr="00B90526">
        <w:rPr>
          <w:b/>
          <w:sz w:val="24"/>
          <w:szCs w:val="24"/>
        </w:rPr>
        <w:t xml:space="preserve"> Plating and by </w:t>
      </w:r>
      <w:proofErr w:type="spellStart"/>
      <w:r w:rsidRPr="00B90526">
        <w:rPr>
          <w:b/>
          <w:sz w:val="24"/>
          <w:szCs w:val="24"/>
        </w:rPr>
        <w:t>Resazurin</w:t>
      </w:r>
      <w:proofErr w:type="spellEnd"/>
      <w:r w:rsidRPr="00B90526">
        <w:rPr>
          <w:b/>
          <w:sz w:val="24"/>
          <w:szCs w:val="24"/>
        </w:rPr>
        <w:t xml:space="preserve"> Assays.</w:t>
      </w:r>
    </w:p>
    <w:p w14:paraId="0DF76493" w14:textId="77777777" w:rsidR="00125BCF" w:rsidRDefault="00125BCF" w:rsidP="005C413B">
      <w:pPr>
        <w:rPr>
          <w:color w:val="231F20"/>
          <w:sz w:val="24"/>
          <w:szCs w:val="24"/>
        </w:rPr>
      </w:pPr>
    </w:p>
    <w:p w14:paraId="17984005" w14:textId="77777777" w:rsidR="003618D3" w:rsidRDefault="005724FC" w:rsidP="005C413B">
      <w:pPr>
        <w:rPr>
          <w:b/>
          <w:sz w:val="24"/>
          <w:szCs w:val="24"/>
        </w:rPr>
      </w:pPr>
      <w:r w:rsidRPr="005724FC">
        <w:rPr>
          <w:noProof/>
        </w:rPr>
        <w:drawing>
          <wp:inline distT="0" distB="0" distL="0" distR="0" wp14:anchorId="32B59184" wp14:editId="7A9C3ADC">
            <wp:extent cx="5943600" cy="1028082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CAC8C" w14:textId="305E1E14" w:rsidR="0010093B" w:rsidRDefault="00C833D9" w:rsidP="005C413B">
      <w:pPr>
        <w:spacing w:before="200"/>
        <w:rPr>
          <w:sz w:val="24"/>
          <w:szCs w:val="24"/>
        </w:rPr>
      </w:pPr>
      <w:r>
        <w:rPr>
          <w:sz w:val="24"/>
          <w:szCs w:val="24"/>
        </w:rPr>
        <w:t>EC</w:t>
      </w:r>
      <w:r w:rsidRPr="00C833D9">
        <w:rPr>
          <w:sz w:val="24"/>
          <w:szCs w:val="24"/>
          <w:vertAlign w:val="subscript"/>
        </w:rPr>
        <w:t>50</w:t>
      </w:r>
      <w:r>
        <w:rPr>
          <w:sz w:val="24"/>
          <w:szCs w:val="24"/>
        </w:rPr>
        <w:t xml:space="preserve"> and Hill slope values for LL-37 against </w:t>
      </w:r>
      <w:r w:rsidRPr="00C833D9">
        <w:rPr>
          <w:i/>
          <w:sz w:val="24"/>
          <w:szCs w:val="24"/>
        </w:rPr>
        <w:t>E. coli</w:t>
      </w:r>
      <w:r>
        <w:rPr>
          <w:sz w:val="24"/>
          <w:szCs w:val="24"/>
        </w:rPr>
        <w:t xml:space="preserve"> and </w:t>
      </w:r>
      <w:r w:rsidRPr="00C833D9">
        <w:rPr>
          <w:i/>
          <w:sz w:val="24"/>
          <w:szCs w:val="24"/>
        </w:rPr>
        <w:t>B. cereus</w:t>
      </w:r>
      <w:r>
        <w:rPr>
          <w:sz w:val="24"/>
          <w:szCs w:val="24"/>
        </w:rPr>
        <w:t xml:space="preserve"> with correspondin</w:t>
      </w:r>
      <w:r w:rsidR="00125BCF">
        <w:rPr>
          <w:sz w:val="24"/>
          <w:szCs w:val="24"/>
        </w:rPr>
        <w:t xml:space="preserve">g 95% confidence interval range. </w:t>
      </w:r>
      <w:r>
        <w:rPr>
          <w:sz w:val="24"/>
          <w:szCs w:val="24"/>
        </w:rPr>
        <w:t xml:space="preserve"> </w:t>
      </w:r>
    </w:p>
    <w:p w14:paraId="1AD4618F" w14:textId="77777777" w:rsidR="00060E12" w:rsidRDefault="00060E12" w:rsidP="005C413B">
      <w:pPr>
        <w:rPr>
          <w:sz w:val="24"/>
          <w:szCs w:val="24"/>
        </w:rPr>
      </w:pPr>
    </w:p>
    <w:p w14:paraId="60AF7799" w14:textId="77777777" w:rsidR="00060E12" w:rsidRDefault="00060E12" w:rsidP="005C413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68AF5D1" wp14:editId="2C054258">
            <wp:extent cx="5943600" cy="22967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S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A24B9" w14:textId="5FA2CD7F" w:rsidR="006127E0" w:rsidRDefault="00060E12" w:rsidP="005C413B">
      <w:pPr>
        <w:spacing w:before="200"/>
        <w:rPr>
          <w:color w:val="000000"/>
          <w:sz w:val="24"/>
          <w:szCs w:val="24"/>
        </w:rPr>
      </w:pPr>
      <w:r w:rsidRPr="006127E0">
        <w:rPr>
          <w:b/>
          <w:sz w:val="24"/>
          <w:szCs w:val="24"/>
        </w:rPr>
        <w:t xml:space="preserve">Figure </w:t>
      </w:r>
      <w:r w:rsidR="00161A2B">
        <w:rPr>
          <w:b/>
          <w:sz w:val="24"/>
          <w:szCs w:val="24"/>
        </w:rPr>
        <w:t>A</w:t>
      </w:r>
      <w:r w:rsidRPr="00B90526">
        <w:rPr>
          <w:b/>
          <w:sz w:val="24"/>
          <w:szCs w:val="24"/>
        </w:rPr>
        <w:t xml:space="preserve">: </w:t>
      </w:r>
      <w:r w:rsidR="006127E0" w:rsidRPr="00B90526">
        <w:rPr>
          <w:b/>
          <w:sz w:val="24"/>
          <w:szCs w:val="24"/>
        </w:rPr>
        <w:t xml:space="preserve">Comparison of </w:t>
      </w:r>
      <w:r w:rsidR="00491798" w:rsidRPr="00B90526">
        <w:rPr>
          <w:b/>
          <w:sz w:val="24"/>
          <w:szCs w:val="24"/>
        </w:rPr>
        <w:t xml:space="preserve">Antibacterial Performance Determined by </w:t>
      </w:r>
      <w:r w:rsidR="00D20867">
        <w:rPr>
          <w:b/>
          <w:sz w:val="24"/>
          <w:szCs w:val="24"/>
        </w:rPr>
        <w:t xml:space="preserve">Dilution </w:t>
      </w:r>
      <w:r w:rsidR="006127E0" w:rsidRPr="00B90526">
        <w:rPr>
          <w:b/>
          <w:sz w:val="24"/>
          <w:szCs w:val="24"/>
        </w:rPr>
        <w:t xml:space="preserve">Plating </w:t>
      </w:r>
      <w:r w:rsidR="00491798" w:rsidRPr="00B90526">
        <w:rPr>
          <w:b/>
          <w:sz w:val="24"/>
          <w:szCs w:val="24"/>
        </w:rPr>
        <w:t>and</w:t>
      </w:r>
      <w:r w:rsidR="006127E0" w:rsidRPr="00B90526">
        <w:rPr>
          <w:b/>
          <w:sz w:val="24"/>
          <w:szCs w:val="24"/>
        </w:rPr>
        <w:t xml:space="preserve"> </w:t>
      </w:r>
      <w:proofErr w:type="spellStart"/>
      <w:r w:rsidR="006127E0" w:rsidRPr="00B90526">
        <w:rPr>
          <w:b/>
          <w:sz w:val="24"/>
          <w:szCs w:val="24"/>
        </w:rPr>
        <w:t>Resazurin</w:t>
      </w:r>
      <w:proofErr w:type="spellEnd"/>
      <w:r w:rsidR="006127E0" w:rsidRPr="00B90526">
        <w:rPr>
          <w:b/>
          <w:sz w:val="24"/>
          <w:szCs w:val="24"/>
        </w:rPr>
        <w:t xml:space="preserve"> Assay</w:t>
      </w:r>
      <w:r w:rsidR="00491798" w:rsidRPr="00B90526">
        <w:rPr>
          <w:b/>
          <w:sz w:val="24"/>
          <w:szCs w:val="24"/>
        </w:rPr>
        <w:t>s</w:t>
      </w:r>
      <w:r w:rsidR="006127E0" w:rsidRPr="00B90526">
        <w:rPr>
          <w:sz w:val="24"/>
          <w:szCs w:val="24"/>
        </w:rPr>
        <w:t xml:space="preserve">. </w:t>
      </w:r>
      <w:r w:rsidR="006127E0" w:rsidRPr="00B90526">
        <w:rPr>
          <w:color w:val="000000"/>
          <w:sz w:val="24"/>
          <w:szCs w:val="24"/>
        </w:rPr>
        <w:t xml:space="preserve">Antibacterial effectiveness of LL-37 against </w:t>
      </w:r>
      <w:r w:rsidR="006127E0" w:rsidRPr="00B90526">
        <w:rPr>
          <w:i/>
          <w:color w:val="000000"/>
          <w:sz w:val="24"/>
          <w:szCs w:val="24"/>
        </w:rPr>
        <w:t>E. coli</w:t>
      </w:r>
      <w:r w:rsidR="006127E0" w:rsidRPr="00B90526">
        <w:rPr>
          <w:color w:val="000000"/>
          <w:sz w:val="24"/>
          <w:szCs w:val="24"/>
        </w:rPr>
        <w:t xml:space="preserve"> </w:t>
      </w:r>
      <w:r w:rsidR="006127E0" w:rsidRPr="00B90526">
        <w:rPr>
          <w:b/>
          <w:color w:val="000000"/>
          <w:sz w:val="24"/>
          <w:szCs w:val="24"/>
        </w:rPr>
        <w:t>(A)</w:t>
      </w:r>
      <w:r w:rsidR="006127E0" w:rsidRPr="00B90526">
        <w:rPr>
          <w:color w:val="000000"/>
          <w:sz w:val="24"/>
          <w:szCs w:val="24"/>
        </w:rPr>
        <w:t xml:space="preserve"> and </w:t>
      </w:r>
      <w:r w:rsidR="006127E0" w:rsidRPr="00B90526">
        <w:rPr>
          <w:i/>
          <w:color w:val="000000"/>
          <w:sz w:val="24"/>
          <w:szCs w:val="24"/>
        </w:rPr>
        <w:t>B. cereus</w:t>
      </w:r>
      <w:r w:rsidR="006127E0" w:rsidRPr="00B90526">
        <w:rPr>
          <w:color w:val="000000"/>
          <w:sz w:val="24"/>
          <w:szCs w:val="24"/>
        </w:rPr>
        <w:t xml:space="preserve"> </w:t>
      </w:r>
      <w:r w:rsidR="006127E0" w:rsidRPr="00B90526">
        <w:rPr>
          <w:b/>
          <w:color w:val="000000"/>
          <w:sz w:val="24"/>
          <w:szCs w:val="24"/>
        </w:rPr>
        <w:t xml:space="preserve">(B) </w:t>
      </w:r>
      <w:r w:rsidR="009E557F" w:rsidRPr="00B90526">
        <w:rPr>
          <w:color w:val="000000"/>
          <w:sz w:val="24"/>
          <w:szCs w:val="24"/>
        </w:rPr>
        <w:t>comparing</w:t>
      </w:r>
      <w:r w:rsidR="006127E0" w:rsidRPr="00B90526">
        <w:rPr>
          <w:color w:val="000000"/>
          <w:sz w:val="24"/>
          <w:szCs w:val="24"/>
        </w:rPr>
        <w:t xml:space="preserve"> </w:t>
      </w:r>
      <w:r w:rsidR="00491798" w:rsidRPr="00B90526">
        <w:rPr>
          <w:color w:val="000000"/>
          <w:sz w:val="24"/>
          <w:szCs w:val="24"/>
        </w:rPr>
        <w:t xml:space="preserve">results from </w:t>
      </w:r>
      <w:r w:rsidR="006127E0" w:rsidRPr="00B90526">
        <w:rPr>
          <w:color w:val="000000"/>
          <w:sz w:val="24"/>
          <w:szCs w:val="24"/>
        </w:rPr>
        <w:t xml:space="preserve">dilution plating (represented in open circles = ○) and </w:t>
      </w:r>
      <w:proofErr w:type="spellStart"/>
      <w:r w:rsidR="006127E0" w:rsidRPr="00B90526">
        <w:rPr>
          <w:color w:val="000000"/>
          <w:sz w:val="24"/>
          <w:szCs w:val="24"/>
        </w:rPr>
        <w:t>resazurin</w:t>
      </w:r>
      <w:proofErr w:type="spellEnd"/>
      <w:r w:rsidR="006127E0" w:rsidRPr="00B90526">
        <w:rPr>
          <w:color w:val="000000"/>
          <w:sz w:val="24"/>
          <w:szCs w:val="24"/>
        </w:rPr>
        <w:t xml:space="preserve"> assay</w:t>
      </w:r>
      <w:r w:rsidR="00491798" w:rsidRPr="00B90526">
        <w:rPr>
          <w:color w:val="000000"/>
          <w:sz w:val="24"/>
          <w:szCs w:val="24"/>
        </w:rPr>
        <w:t>s</w:t>
      </w:r>
      <w:r w:rsidR="006127E0" w:rsidRPr="00B90526">
        <w:rPr>
          <w:color w:val="000000"/>
          <w:sz w:val="24"/>
          <w:szCs w:val="24"/>
        </w:rPr>
        <w:t xml:space="preserve"> (validation data</w:t>
      </w:r>
      <w:r w:rsidR="009E557F" w:rsidRPr="00B90526">
        <w:rPr>
          <w:color w:val="000000"/>
          <w:sz w:val="24"/>
          <w:szCs w:val="24"/>
        </w:rPr>
        <w:t xml:space="preserve"> rep</w:t>
      </w:r>
      <w:r w:rsidR="001A75A8" w:rsidRPr="00B90526">
        <w:rPr>
          <w:color w:val="000000"/>
          <w:sz w:val="24"/>
          <w:szCs w:val="24"/>
        </w:rPr>
        <w:t xml:space="preserve">resented in open squares = □; </w:t>
      </w:r>
      <w:r w:rsidR="009E557F" w:rsidRPr="00B90526">
        <w:rPr>
          <w:color w:val="000000"/>
          <w:sz w:val="24"/>
          <w:szCs w:val="24"/>
        </w:rPr>
        <w:t>reported manuscript data represented in closed triangles</w:t>
      </w:r>
      <w:r w:rsidR="006127E0" w:rsidRPr="00B90526">
        <w:rPr>
          <w:color w:val="000000"/>
          <w:sz w:val="24"/>
          <w:szCs w:val="24"/>
        </w:rPr>
        <w:t xml:space="preserve"> = ▲).</w:t>
      </w:r>
      <w:r w:rsidR="006127E0" w:rsidRPr="006127E0">
        <w:rPr>
          <w:color w:val="000000"/>
          <w:sz w:val="24"/>
          <w:szCs w:val="24"/>
        </w:rPr>
        <w:t xml:space="preserve"> Data </w:t>
      </w:r>
      <w:r w:rsidR="009E557F">
        <w:rPr>
          <w:color w:val="000000"/>
          <w:sz w:val="24"/>
          <w:szCs w:val="24"/>
        </w:rPr>
        <w:t>were</w:t>
      </w:r>
      <w:r w:rsidR="006127E0" w:rsidRPr="006127E0">
        <w:rPr>
          <w:color w:val="000000"/>
          <w:sz w:val="24"/>
          <w:szCs w:val="24"/>
        </w:rPr>
        <w:t xml:space="preserve"> fit to equation 5, a standard variable slope dose-response equation, in order to obtain EC</w:t>
      </w:r>
      <w:r w:rsidR="006127E0" w:rsidRPr="006127E0">
        <w:rPr>
          <w:color w:val="000000"/>
          <w:sz w:val="24"/>
          <w:szCs w:val="24"/>
          <w:vertAlign w:val="subscript"/>
        </w:rPr>
        <w:t>50</w:t>
      </w:r>
      <w:r w:rsidR="006127E0" w:rsidRPr="006127E0">
        <w:rPr>
          <w:color w:val="000000"/>
          <w:sz w:val="24"/>
          <w:szCs w:val="24"/>
        </w:rPr>
        <w:t xml:space="preserve"> and H</w:t>
      </w:r>
      <w:r w:rsidR="00CB79BB">
        <w:rPr>
          <w:color w:val="000000"/>
          <w:sz w:val="24"/>
          <w:szCs w:val="24"/>
        </w:rPr>
        <w:t>ill slope</w:t>
      </w:r>
      <w:r w:rsidR="006127E0" w:rsidRPr="006127E0">
        <w:rPr>
          <w:color w:val="000000"/>
          <w:sz w:val="24"/>
          <w:szCs w:val="24"/>
        </w:rPr>
        <w:t xml:space="preserve"> values.</w:t>
      </w:r>
    </w:p>
    <w:p w14:paraId="7F5F7FDB" w14:textId="77777777" w:rsidR="00127407" w:rsidRPr="006127E0" w:rsidRDefault="00127407" w:rsidP="005C413B">
      <w:pPr>
        <w:rPr>
          <w:color w:val="000000"/>
          <w:sz w:val="24"/>
          <w:szCs w:val="24"/>
        </w:rPr>
      </w:pPr>
    </w:p>
    <w:p w14:paraId="0A5C3C8F" w14:textId="5D5902D9" w:rsidR="00127407" w:rsidRDefault="00F00814" w:rsidP="005C41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Validation Experimental Methods:</w:t>
      </w:r>
      <w:r w:rsidR="00127407" w:rsidRPr="00127407">
        <w:rPr>
          <w:b/>
          <w:sz w:val="24"/>
          <w:szCs w:val="24"/>
        </w:rPr>
        <w:t xml:space="preserve"> </w:t>
      </w:r>
    </w:p>
    <w:p w14:paraId="0F8BE4A9" w14:textId="70A8C8D4" w:rsidR="00AD0F81" w:rsidRDefault="00AD0F81" w:rsidP="005C41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ED29E9">
        <w:rPr>
          <w:sz w:val="24"/>
          <w:szCs w:val="24"/>
        </w:rPr>
        <w:t>A</w:t>
      </w:r>
      <w:r w:rsidR="00127407" w:rsidRPr="00127407">
        <w:rPr>
          <w:sz w:val="24"/>
          <w:szCs w:val="24"/>
        </w:rPr>
        <w:t xml:space="preserve">ssays </w:t>
      </w:r>
      <w:r w:rsidR="00ED29E9">
        <w:rPr>
          <w:sz w:val="24"/>
          <w:szCs w:val="24"/>
        </w:rPr>
        <w:t xml:space="preserve">for both </w:t>
      </w:r>
      <w:r w:rsidR="00ED29E9" w:rsidRPr="00ED29E9">
        <w:rPr>
          <w:i/>
          <w:sz w:val="24"/>
          <w:szCs w:val="24"/>
        </w:rPr>
        <w:t>E. coli</w:t>
      </w:r>
      <w:r w:rsidR="00ED29E9">
        <w:rPr>
          <w:sz w:val="24"/>
          <w:szCs w:val="24"/>
        </w:rPr>
        <w:t xml:space="preserve"> and </w:t>
      </w:r>
      <w:r w:rsidR="00ED29E9" w:rsidRPr="00ED29E9">
        <w:rPr>
          <w:i/>
          <w:sz w:val="24"/>
          <w:szCs w:val="24"/>
        </w:rPr>
        <w:t>B. cer</w:t>
      </w:r>
      <w:r w:rsidR="00ED29E9">
        <w:rPr>
          <w:i/>
          <w:sz w:val="24"/>
          <w:szCs w:val="24"/>
        </w:rPr>
        <w:t>e</w:t>
      </w:r>
      <w:r w:rsidR="00ED29E9" w:rsidRPr="00ED29E9">
        <w:rPr>
          <w:i/>
          <w:sz w:val="24"/>
          <w:szCs w:val="24"/>
        </w:rPr>
        <w:t xml:space="preserve">us </w:t>
      </w:r>
      <w:r w:rsidR="00ED29E9" w:rsidRPr="00127407">
        <w:rPr>
          <w:sz w:val="24"/>
          <w:szCs w:val="24"/>
        </w:rPr>
        <w:t>were prepared in sextuplet</w:t>
      </w:r>
      <w:r w:rsidR="00ED29E9">
        <w:rPr>
          <w:sz w:val="24"/>
          <w:szCs w:val="24"/>
        </w:rPr>
        <w:t xml:space="preserve"> from frozen enumerated cell stocks using varied concentrations</w:t>
      </w:r>
      <w:r w:rsidR="00710303">
        <w:rPr>
          <w:sz w:val="24"/>
          <w:szCs w:val="24"/>
        </w:rPr>
        <w:t xml:space="preserve"> </w:t>
      </w:r>
      <w:r w:rsidR="00ED29E9">
        <w:rPr>
          <w:sz w:val="24"/>
          <w:szCs w:val="24"/>
        </w:rPr>
        <w:t xml:space="preserve">of LL-37 </w:t>
      </w:r>
      <w:r w:rsidR="00F2182B">
        <w:rPr>
          <w:sz w:val="24"/>
          <w:szCs w:val="24"/>
        </w:rPr>
        <w:t xml:space="preserve">and </w:t>
      </w:r>
      <w:r w:rsidR="00ED29E9">
        <w:rPr>
          <w:sz w:val="24"/>
          <w:szCs w:val="24"/>
        </w:rPr>
        <w:t xml:space="preserve">the procedures described in </w:t>
      </w:r>
      <w:r w:rsidR="003E5736">
        <w:rPr>
          <w:sz w:val="24"/>
          <w:szCs w:val="24"/>
        </w:rPr>
        <w:t xml:space="preserve">Materials and </w:t>
      </w:r>
      <w:r w:rsidR="00ED29E9">
        <w:rPr>
          <w:sz w:val="24"/>
          <w:szCs w:val="24"/>
        </w:rPr>
        <w:t>Methods</w:t>
      </w:r>
      <w:r w:rsidR="00127407" w:rsidRPr="00127407">
        <w:rPr>
          <w:sz w:val="24"/>
          <w:szCs w:val="24"/>
        </w:rPr>
        <w:t>. Following incubation</w:t>
      </w:r>
      <w:r w:rsidR="00F2182B">
        <w:rPr>
          <w:sz w:val="24"/>
          <w:szCs w:val="24"/>
        </w:rPr>
        <w:t xml:space="preserve"> for 3 hours at either 37° C (</w:t>
      </w:r>
      <w:r w:rsidR="00F2182B" w:rsidRPr="00F2182B">
        <w:rPr>
          <w:i/>
          <w:sz w:val="24"/>
          <w:szCs w:val="24"/>
        </w:rPr>
        <w:t>E. coli</w:t>
      </w:r>
      <w:r w:rsidR="00F2182B">
        <w:rPr>
          <w:sz w:val="24"/>
          <w:szCs w:val="24"/>
        </w:rPr>
        <w:t>) or 30° C (</w:t>
      </w:r>
      <w:r w:rsidR="00F2182B" w:rsidRPr="00F2182B">
        <w:rPr>
          <w:i/>
          <w:sz w:val="24"/>
          <w:szCs w:val="24"/>
        </w:rPr>
        <w:t>B. cereus</w:t>
      </w:r>
      <w:r w:rsidR="00F2182B">
        <w:rPr>
          <w:sz w:val="24"/>
          <w:szCs w:val="24"/>
        </w:rPr>
        <w:t>)</w:t>
      </w:r>
      <w:r w:rsidR="00127407" w:rsidRPr="00127407">
        <w:rPr>
          <w:sz w:val="24"/>
          <w:szCs w:val="24"/>
        </w:rPr>
        <w:t xml:space="preserve">, three of the six assay replicates </w:t>
      </w:r>
      <w:r w:rsidR="00F2182B">
        <w:rPr>
          <w:sz w:val="24"/>
          <w:szCs w:val="24"/>
        </w:rPr>
        <w:t xml:space="preserve">for each bacterial strain </w:t>
      </w:r>
      <w:r w:rsidR="00127407" w:rsidRPr="00127407">
        <w:rPr>
          <w:sz w:val="24"/>
          <w:szCs w:val="24"/>
        </w:rPr>
        <w:t xml:space="preserve">were subjected to dilution plating (onto MHB agar), while the </w:t>
      </w:r>
      <w:r w:rsidR="00F2182B">
        <w:rPr>
          <w:sz w:val="24"/>
          <w:szCs w:val="24"/>
        </w:rPr>
        <w:t>remaining</w:t>
      </w:r>
      <w:r w:rsidR="00127407" w:rsidRPr="00127407">
        <w:rPr>
          <w:sz w:val="24"/>
          <w:szCs w:val="24"/>
        </w:rPr>
        <w:t xml:space="preserve"> three replicates were </w:t>
      </w:r>
      <w:r w:rsidR="007F7487">
        <w:rPr>
          <w:sz w:val="24"/>
          <w:szCs w:val="24"/>
        </w:rPr>
        <w:t>charged</w:t>
      </w:r>
      <w:r w:rsidR="00127407" w:rsidRPr="00127407">
        <w:rPr>
          <w:sz w:val="24"/>
          <w:szCs w:val="24"/>
        </w:rPr>
        <w:t xml:space="preserve"> with </w:t>
      </w:r>
      <w:r w:rsidR="00216225">
        <w:rPr>
          <w:sz w:val="24"/>
          <w:szCs w:val="24"/>
        </w:rPr>
        <w:t xml:space="preserve">buffer containing </w:t>
      </w:r>
      <w:proofErr w:type="spellStart"/>
      <w:r w:rsidR="00127407" w:rsidRPr="00127407">
        <w:rPr>
          <w:sz w:val="24"/>
          <w:szCs w:val="24"/>
        </w:rPr>
        <w:t>resazurin</w:t>
      </w:r>
      <w:proofErr w:type="spellEnd"/>
      <w:r w:rsidR="00127407" w:rsidRPr="00127407">
        <w:rPr>
          <w:sz w:val="24"/>
          <w:szCs w:val="24"/>
        </w:rPr>
        <w:t xml:space="preserve"> and </w:t>
      </w:r>
      <w:r w:rsidR="00BE0206">
        <w:rPr>
          <w:sz w:val="24"/>
          <w:szCs w:val="24"/>
        </w:rPr>
        <w:t xml:space="preserve">the viable CFU concentration for each well determined </w:t>
      </w:r>
      <w:proofErr w:type="spellStart"/>
      <w:r w:rsidR="00127407" w:rsidRPr="00127407">
        <w:rPr>
          <w:sz w:val="24"/>
          <w:szCs w:val="24"/>
        </w:rPr>
        <w:t>fluorometrically</w:t>
      </w:r>
      <w:proofErr w:type="spellEnd"/>
      <w:r w:rsidR="00127407" w:rsidRPr="00127407">
        <w:rPr>
          <w:sz w:val="24"/>
          <w:szCs w:val="24"/>
        </w:rPr>
        <w:t xml:space="preserve"> as described in</w:t>
      </w:r>
      <w:r w:rsidR="00647F88">
        <w:rPr>
          <w:sz w:val="24"/>
          <w:szCs w:val="24"/>
        </w:rPr>
        <w:t xml:space="preserve"> Materials and</w:t>
      </w:r>
      <w:r w:rsidR="00127407" w:rsidRPr="00127407">
        <w:rPr>
          <w:sz w:val="24"/>
          <w:szCs w:val="24"/>
        </w:rPr>
        <w:t xml:space="preserve"> </w:t>
      </w:r>
      <w:r w:rsidR="00F2182B">
        <w:rPr>
          <w:sz w:val="24"/>
          <w:szCs w:val="24"/>
        </w:rPr>
        <w:t>M</w:t>
      </w:r>
      <w:r w:rsidR="00127407" w:rsidRPr="00127407">
        <w:rPr>
          <w:sz w:val="24"/>
          <w:szCs w:val="24"/>
        </w:rPr>
        <w:t xml:space="preserve">ethods. </w:t>
      </w:r>
      <w:r w:rsidR="00127407" w:rsidRPr="00DA030A">
        <w:rPr>
          <w:sz w:val="24"/>
          <w:szCs w:val="24"/>
        </w:rPr>
        <w:t>For both</w:t>
      </w:r>
      <w:r w:rsidR="00D210BA">
        <w:rPr>
          <w:sz w:val="24"/>
          <w:szCs w:val="24"/>
        </w:rPr>
        <w:t xml:space="preserve"> the </w:t>
      </w:r>
      <w:proofErr w:type="spellStart"/>
      <w:r w:rsidR="00D210BA">
        <w:rPr>
          <w:sz w:val="24"/>
          <w:szCs w:val="24"/>
        </w:rPr>
        <w:t>resazurin</w:t>
      </w:r>
      <w:proofErr w:type="spellEnd"/>
      <w:r w:rsidR="00D210BA">
        <w:rPr>
          <w:sz w:val="24"/>
          <w:szCs w:val="24"/>
        </w:rPr>
        <w:t xml:space="preserve"> and</w:t>
      </w:r>
      <w:r w:rsidR="00647F88">
        <w:rPr>
          <w:sz w:val="24"/>
          <w:szCs w:val="24"/>
        </w:rPr>
        <w:t xml:space="preserve"> dilution</w:t>
      </w:r>
      <w:r w:rsidR="00D210BA">
        <w:rPr>
          <w:sz w:val="24"/>
          <w:szCs w:val="24"/>
        </w:rPr>
        <w:t xml:space="preserve"> plating</w:t>
      </w:r>
      <w:r w:rsidR="00127407" w:rsidRPr="00DA030A">
        <w:rPr>
          <w:sz w:val="24"/>
          <w:szCs w:val="24"/>
        </w:rPr>
        <w:t xml:space="preserve"> approaches, percent survival was established for wells </w:t>
      </w:r>
      <w:r w:rsidR="00D210BA">
        <w:rPr>
          <w:sz w:val="24"/>
          <w:szCs w:val="24"/>
        </w:rPr>
        <w:t>containing</w:t>
      </w:r>
      <w:r w:rsidR="00127407" w:rsidRPr="00DA030A">
        <w:rPr>
          <w:sz w:val="24"/>
          <w:szCs w:val="24"/>
        </w:rPr>
        <w:t xml:space="preserve"> peptide </w:t>
      </w:r>
      <w:r w:rsidR="00BE0206">
        <w:rPr>
          <w:sz w:val="24"/>
          <w:szCs w:val="24"/>
        </w:rPr>
        <w:t>relative to</w:t>
      </w:r>
      <w:r w:rsidR="00127407" w:rsidRPr="00DA030A">
        <w:rPr>
          <w:sz w:val="24"/>
          <w:szCs w:val="24"/>
        </w:rPr>
        <w:t xml:space="preserve"> control wells</w:t>
      </w:r>
      <w:r w:rsidR="00BE0206">
        <w:rPr>
          <w:sz w:val="24"/>
          <w:szCs w:val="24"/>
        </w:rPr>
        <w:t xml:space="preserve"> containing no peptide</w:t>
      </w:r>
      <w:r w:rsidR="00127407" w:rsidRPr="00DA030A">
        <w:rPr>
          <w:sz w:val="24"/>
          <w:szCs w:val="24"/>
        </w:rPr>
        <w:t xml:space="preserve">. Bacterial survival data </w:t>
      </w:r>
      <w:r w:rsidR="007B2116">
        <w:rPr>
          <w:sz w:val="24"/>
          <w:szCs w:val="24"/>
        </w:rPr>
        <w:t xml:space="preserve">and associated LL-37 concentrations </w:t>
      </w:r>
      <w:r w:rsidR="00BE0206">
        <w:rPr>
          <w:sz w:val="24"/>
          <w:szCs w:val="24"/>
        </w:rPr>
        <w:t xml:space="preserve">from </w:t>
      </w:r>
      <w:proofErr w:type="spellStart"/>
      <w:r w:rsidR="00BE0206">
        <w:rPr>
          <w:sz w:val="24"/>
          <w:szCs w:val="24"/>
        </w:rPr>
        <w:t>resazurin</w:t>
      </w:r>
      <w:proofErr w:type="spellEnd"/>
      <w:r w:rsidR="00BE0206">
        <w:rPr>
          <w:sz w:val="24"/>
          <w:szCs w:val="24"/>
        </w:rPr>
        <w:t xml:space="preserve"> and plating </w:t>
      </w:r>
      <w:r w:rsidR="00D210BA">
        <w:rPr>
          <w:sz w:val="24"/>
          <w:szCs w:val="24"/>
        </w:rPr>
        <w:t xml:space="preserve">were then </w:t>
      </w:r>
      <w:r w:rsidR="00127407" w:rsidRPr="00DA030A">
        <w:rPr>
          <w:sz w:val="24"/>
          <w:szCs w:val="24"/>
        </w:rPr>
        <w:t>fit to a variable-slope sigmoi</w:t>
      </w:r>
      <w:r w:rsidR="00127407">
        <w:rPr>
          <w:sz w:val="24"/>
          <w:szCs w:val="24"/>
        </w:rPr>
        <w:t>dal regression model (equation 5</w:t>
      </w:r>
      <w:r w:rsidR="00127407" w:rsidRPr="00DA030A">
        <w:rPr>
          <w:sz w:val="24"/>
          <w:szCs w:val="24"/>
        </w:rPr>
        <w:t xml:space="preserve">) using </w:t>
      </w:r>
      <w:proofErr w:type="spellStart"/>
      <w:r w:rsidR="00127407" w:rsidRPr="00DA030A">
        <w:rPr>
          <w:sz w:val="24"/>
          <w:szCs w:val="24"/>
        </w:rPr>
        <w:t>Graphpad</w:t>
      </w:r>
      <w:proofErr w:type="spellEnd"/>
      <w:r w:rsidR="00127407" w:rsidRPr="00DA030A">
        <w:rPr>
          <w:sz w:val="24"/>
          <w:szCs w:val="24"/>
        </w:rPr>
        <w:t xml:space="preserve"> Pris</w:t>
      </w:r>
      <w:r>
        <w:rPr>
          <w:sz w:val="24"/>
          <w:szCs w:val="24"/>
        </w:rPr>
        <w:t>m 5 (</w:t>
      </w:r>
      <w:proofErr w:type="spellStart"/>
      <w:r>
        <w:rPr>
          <w:sz w:val="24"/>
          <w:szCs w:val="24"/>
        </w:rPr>
        <w:t>GraphPad</w:t>
      </w:r>
      <w:proofErr w:type="spellEnd"/>
      <w:r>
        <w:rPr>
          <w:sz w:val="24"/>
          <w:szCs w:val="24"/>
        </w:rPr>
        <w:t xml:space="preserve"> Software, Inc</w:t>
      </w:r>
      <w:r w:rsidRPr="00B90526">
        <w:rPr>
          <w:sz w:val="24"/>
          <w:szCs w:val="24"/>
        </w:rPr>
        <w:t>.)</w:t>
      </w:r>
      <w:r w:rsidR="00BE0206" w:rsidRPr="00B90526">
        <w:rPr>
          <w:sz w:val="24"/>
          <w:szCs w:val="24"/>
        </w:rPr>
        <w:t>, affording the</w:t>
      </w:r>
      <w:r w:rsidRPr="00B90526">
        <w:rPr>
          <w:sz w:val="24"/>
          <w:szCs w:val="24"/>
        </w:rPr>
        <w:t xml:space="preserve"> </w:t>
      </w:r>
      <w:r w:rsidR="00127407" w:rsidRPr="00B90526">
        <w:rPr>
          <w:sz w:val="24"/>
          <w:szCs w:val="24"/>
        </w:rPr>
        <w:t>dose-response curves shown in</w:t>
      </w:r>
      <w:r w:rsidR="00102511" w:rsidRPr="00B90526">
        <w:rPr>
          <w:sz w:val="24"/>
          <w:szCs w:val="24"/>
        </w:rPr>
        <w:t xml:space="preserve"> Figure </w:t>
      </w:r>
      <w:r w:rsidR="00161A2B">
        <w:rPr>
          <w:sz w:val="24"/>
          <w:szCs w:val="24"/>
        </w:rPr>
        <w:t>A</w:t>
      </w:r>
      <w:r w:rsidR="00127407" w:rsidRPr="00B90526">
        <w:rPr>
          <w:sz w:val="24"/>
          <w:szCs w:val="24"/>
        </w:rPr>
        <w:t>.</w:t>
      </w:r>
      <w:r w:rsidR="00102511" w:rsidRPr="00102511">
        <w:rPr>
          <w:sz w:val="24"/>
          <w:szCs w:val="24"/>
        </w:rPr>
        <w:t xml:space="preserve"> </w:t>
      </w:r>
    </w:p>
    <w:p w14:paraId="38200B40" w14:textId="7351196E" w:rsidR="006127E0" w:rsidRPr="00156F9E" w:rsidRDefault="00AD0F81" w:rsidP="005C41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102511" w:rsidRPr="00B90526">
        <w:rPr>
          <w:sz w:val="24"/>
          <w:szCs w:val="24"/>
        </w:rPr>
        <w:t xml:space="preserve">Results obtained using the </w:t>
      </w:r>
      <w:proofErr w:type="spellStart"/>
      <w:r w:rsidR="00102511" w:rsidRPr="00B90526">
        <w:rPr>
          <w:sz w:val="24"/>
          <w:szCs w:val="24"/>
        </w:rPr>
        <w:t>resazurin</w:t>
      </w:r>
      <w:proofErr w:type="spellEnd"/>
      <w:r w:rsidR="00102511" w:rsidRPr="00B90526">
        <w:rPr>
          <w:sz w:val="24"/>
          <w:szCs w:val="24"/>
        </w:rPr>
        <w:t xml:space="preserve"> </w:t>
      </w:r>
      <w:proofErr w:type="gramStart"/>
      <w:r w:rsidR="00102511" w:rsidRPr="00B90526">
        <w:rPr>
          <w:sz w:val="24"/>
          <w:szCs w:val="24"/>
        </w:rPr>
        <w:t>method were</w:t>
      </w:r>
      <w:proofErr w:type="gramEnd"/>
      <w:r w:rsidR="00102511" w:rsidRPr="00B90526">
        <w:rPr>
          <w:sz w:val="24"/>
          <w:szCs w:val="24"/>
        </w:rPr>
        <w:t xml:space="preserve"> compared to those </w:t>
      </w:r>
      <w:r w:rsidR="006F1225" w:rsidRPr="00B90526">
        <w:rPr>
          <w:sz w:val="24"/>
          <w:szCs w:val="24"/>
        </w:rPr>
        <w:t>from</w:t>
      </w:r>
      <w:r w:rsidRPr="00B90526">
        <w:rPr>
          <w:sz w:val="24"/>
          <w:szCs w:val="24"/>
        </w:rPr>
        <w:t xml:space="preserve"> </w:t>
      </w:r>
      <w:r w:rsidR="00357CEA">
        <w:rPr>
          <w:sz w:val="24"/>
          <w:szCs w:val="24"/>
        </w:rPr>
        <w:t xml:space="preserve">traditional </w:t>
      </w:r>
      <w:r w:rsidR="00102511" w:rsidRPr="00B90526">
        <w:rPr>
          <w:sz w:val="24"/>
          <w:szCs w:val="24"/>
        </w:rPr>
        <w:lastRenderedPageBreak/>
        <w:t>dilution plating (</w:t>
      </w:r>
      <w:r w:rsidR="00161A2B">
        <w:rPr>
          <w:sz w:val="24"/>
          <w:szCs w:val="24"/>
        </w:rPr>
        <w:t>Figure A</w:t>
      </w:r>
      <w:r w:rsidR="00D61C67" w:rsidRPr="00B90526">
        <w:rPr>
          <w:sz w:val="24"/>
          <w:szCs w:val="24"/>
        </w:rPr>
        <w:t xml:space="preserve"> and </w:t>
      </w:r>
      <w:r w:rsidR="00161A2B">
        <w:rPr>
          <w:sz w:val="24"/>
          <w:szCs w:val="24"/>
        </w:rPr>
        <w:t>Table A</w:t>
      </w:r>
      <w:r w:rsidRPr="00B90526">
        <w:rPr>
          <w:sz w:val="24"/>
          <w:szCs w:val="24"/>
        </w:rPr>
        <w:t xml:space="preserve">). </w:t>
      </w:r>
      <w:r w:rsidR="00D61C67" w:rsidRPr="00B90526">
        <w:rPr>
          <w:sz w:val="24"/>
          <w:szCs w:val="24"/>
        </w:rPr>
        <w:t>Furthermore</w:t>
      </w:r>
      <w:r w:rsidR="00102511" w:rsidRPr="00B90526">
        <w:rPr>
          <w:sz w:val="24"/>
          <w:szCs w:val="24"/>
        </w:rPr>
        <w:t xml:space="preserve">, </w:t>
      </w:r>
      <w:r w:rsidR="00D61C67" w:rsidRPr="00B90526">
        <w:rPr>
          <w:sz w:val="24"/>
          <w:szCs w:val="24"/>
        </w:rPr>
        <w:t xml:space="preserve">these results were compared to those </w:t>
      </w:r>
      <w:r w:rsidRPr="00B90526">
        <w:rPr>
          <w:sz w:val="24"/>
          <w:szCs w:val="24"/>
        </w:rPr>
        <w:t xml:space="preserve">reported in the manuscript </w:t>
      </w:r>
      <w:r w:rsidR="00102511" w:rsidRPr="00B90526">
        <w:rPr>
          <w:sz w:val="24"/>
          <w:szCs w:val="24"/>
        </w:rPr>
        <w:t xml:space="preserve">to provide </w:t>
      </w:r>
      <w:r w:rsidR="00D61C67" w:rsidRPr="00B90526">
        <w:rPr>
          <w:sz w:val="24"/>
          <w:szCs w:val="24"/>
        </w:rPr>
        <w:t xml:space="preserve">additional verification of results obtained using the </w:t>
      </w:r>
      <w:proofErr w:type="spellStart"/>
      <w:r w:rsidR="00D61C67" w:rsidRPr="00B90526">
        <w:rPr>
          <w:sz w:val="24"/>
          <w:szCs w:val="24"/>
        </w:rPr>
        <w:t>resazurin</w:t>
      </w:r>
      <w:proofErr w:type="spellEnd"/>
      <w:r w:rsidR="00D61C67" w:rsidRPr="00B90526">
        <w:rPr>
          <w:sz w:val="24"/>
          <w:szCs w:val="24"/>
        </w:rPr>
        <w:t xml:space="preserve">-based performance assay (Figure </w:t>
      </w:r>
      <w:r w:rsidR="00161A2B">
        <w:rPr>
          <w:sz w:val="24"/>
          <w:szCs w:val="24"/>
        </w:rPr>
        <w:t>A and Table A</w:t>
      </w:r>
      <w:bookmarkStart w:id="0" w:name="_GoBack"/>
      <w:bookmarkEnd w:id="0"/>
      <w:r w:rsidR="00D61C67" w:rsidRPr="00B90526">
        <w:rPr>
          <w:sz w:val="24"/>
          <w:szCs w:val="24"/>
        </w:rPr>
        <w:t>)</w:t>
      </w:r>
      <w:r w:rsidR="00CB79BB" w:rsidRPr="00B90526">
        <w:rPr>
          <w:sz w:val="24"/>
          <w:szCs w:val="24"/>
        </w:rPr>
        <w:t xml:space="preserve">. </w:t>
      </w:r>
      <w:r w:rsidR="00102511" w:rsidRPr="00B90526">
        <w:rPr>
          <w:sz w:val="24"/>
          <w:szCs w:val="24"/>
        </w:rPr>
        <w:t>Best-fit log (EC</w:t>
      </w:r>
      <w:r w:rsidR="00102511" w:rsidRPr="00B90526">
        <w:rPr>
          <w:sz w:val="24"/>
          <w:szCs w:val="24"/>
          <w:vertAlign w:val="subscript"/>
        </w:rPr>
        <w:t>50</w:t>
      </w:r>
      <w:r w:rsidR="00102511" w:rsidRPr="00B90526">
        <w:rPr>
          <w:sz w:val="24"/>
          <w:szCs w:val="24"/>
        </w:rPr>
        <w:t>) and H</w:t>
      </w:r>
      <w:r w:rsidR="00CB79BB" w:rsidRPr="00B90526">
        <w:rPr>
          <w:sz w:val="24"/>
          <w:szCs w:val="24"/>
        </w:rPr>
        <w:t xml:space="preserve">ill slope </w:t>
      </w:r>
      <w:r w:rsidR="00102511" w:rsidRPr="00B90526">
        <w:rPr>
          <w:sz w:val="24"/>
          <w:szCs w:val="24"/>
        </w:rPr>
        <w:t>values were used as assessment criteria for determining the extent of concordance between assay results. Here, log</w:t>
      </w:r>
      <w:r w:rsidR="009530F7" w:rsidRPr="00B90526">
        <w:rPr>
          <w:sz w:val="24"/>
          <w:szCs w:val="24"/>
        </w:rPr>
        <w:t xml:space="preserve"> </w:t>
      </w:r>
      <w:r w:rsidR="00102511" w:rsidRPr="00B90526">
        <w:rPr>
          <w:sz w:val="24"/>
          <w:szCs w:val="24"/>
        </w:rPr>
        <w:t>(EC</w:t>
      </w:r>
      <w:r w:rsidR="00102511" w:rsidRPr="00B90526">
        <w:rPr>
          <w:sz w:val="24"/>
          <w:szCs w:val="24"/>
          <w:vertAlign w:val="subscript"/>
        </w:rPr>
        <w:t>50</w:t>
      </w:r>
      <w:r w:rsidR="00102511" w:rsidRPr="00B90526">
        <w:rPr>
          <w:sz w:val="24"/>
          <w:szCs w:val="24"/>
        </w:rPr>
        <w:t xml:space="preserve">) represents the log of the concentration of LL-37 required to kill half of the bacterial population, while the </w:t>
      </w:r>
      <w:r w:rsidR="00B90526" w:rsidRPr="00B90526">
        <w:rPr>
          <w:sz w:val="24"/>
          <w:szCs w:val="24"/>
        </w:rPr>
        <w:t xml:space="preserve">Hill </w:t>
      </w:r>
      <w:r w:rsidR="00D61C67" w:rsidRPr="00B90526">
        <w:rPr>
          <w:sz w:val="24"/>
          <w:szCs w:val="24"/>
        </w:rPr>
        <w:t>slope corresponds to</w:t>
      </w:r>
      <w:r w:rsidR="00102511" w:rsidRPr="00B90526">
        <w:rPr>
          <w:sz w:val="24"/>
          <w:szCs w:val="24"/>
        </w:rPr>
        <w:t xml:space="preserve"> the steepness of the transition </w:t>
      </w:r>
      <w:r w:rsidR="00CB79BB" w:rsidRPr="00B90526">
        <w:rPr>
          <w:sz w:val="24"/>
          <w:szCs w:val="24"/>
        </w:rPr>
        <w:t xml:space="preserve">slopes of the survival curves. </w:t>
      </w:r>
      <w:r w:rsidR="00D61C67" w:rsidRPr="00B90526">
        <w:rPr>
          <w:sz w:val="24"/>
          <w:szCs w:val="24"/>
        </w:rPr>
        <w:t>Note that log</w:t>
      </w:r>
      <w:r w:rsidR="009530F7" w:rsidRPr="00B90526">
        <w:rPr>
          <w:sz w:val="24"/>
          <w:szCs w:val="24"/>
        </w:rPr>
        <w:t xml:space="preserve"> </w:t>
      </w:r>
      <w:r w:rsidR="00D61C67" w:rsidRPr="00B90526">
        <w:rPr>
          <w:sz w:val="24"/>
          <w:szCs w:val="24"/>
        </w:rPr>
        <w:t>(EC</w:t>
      </w:r>
      <w:r w:rsidR="00D61C67" w:rsidRPr="00B90526">
        <w:rPr>
          <w:sz w:val="24"/>
          <w:szCs w:val="24"/>
          <w:vertAlign w:val="subscript"/>
        </w:rPr>
        <w:t>50</w:t>
      </w:r>
      <w:r w:rsidR="00D61C67" w:rsidRPr="00B90526">
        <w:rPr>
          <w:sz w:val="24"/>
          <w:szCs w:val="24"/>
        </w:rPr>
        <w:t>) values were used here instead of EC</w:t>
      </w:r>
      <w:r w:rsidR="00D61C67" w:rsidRPr="00B90526">
        <w:rPr>
          <w:sz w:val="24"/>
          <w:szCs w:val="24"/>
          <w:vertAlign w:val="subscript"/>
        </w:rPr>
        <w:t>50</w:t>
      </w:r>
      <w:r w:rsidR="00D61C67" w:rsidRPr="00B90526">
        <w:rPr>
          <w:sz w:val="24"/>
          <w:szCs w:val="24"/>
        </w:rPr>
        <w:t xml:space="preserve"> values due to the fact that standard error could only be computed symmetrically using a log scale.  </w:t>
      </w:r>
      <w:r w:rsidR="00235D2F" w:rsidRPr="00B90526">
        <w:rPr>
          <w:sz w:val="24"/>
          <w:szCs w:val="24"/>
        </w:rPr>
        <w:t>Statistical analyses (F-test and t-test) of the log (EC</w:t>
      </w:r>
      <w:r w:rsidR="00235D2F" w:rsidRPr="00B90526">
        <w:rPr>
          <w:sz w:val="24"/>
          <w:szCs w:val="24"/>
          <w:vertAlign w:val="subscript"/>
        </w:rPr>
        <w:t>50</w:t>
      </w:r>
      <w:r w:rsidR="00235D2F" w:rsidRPr="00B90526">
        <w:rPr>
          <w:sz w:val="24"/>
          <w:szCs w:val="24"/>
        </w:rPr>
        <w:t xml:space="preserve">) and </w:t>
      </w:r>
      <w:r w:rsidR="009530F7" w:rsidRPr="00B90526">
        <w:rPr>
          <w:sz w:val="24"/>
          <w:szCs w:val="24"/>
        </w:rPr>
        <w:t>Hill slope</w:t>
      </w:r>
      <w:r w:rsidR="00235D2F" w:rsidRPr="00B90526">
        <w:rPr>
          <w:sz w:val="24"/>
          <w:szCs w:val="24"/>
        </w:rPr>
        <w:t xml:space="preserve"> values reported in the manuscript and those generated for the validation experiments via the </w:t>
      </w:r>
      <w:proofErr w:type="spellStart"/>
      <w:r w:rsidR="00235D2F" w:rsidRPr="00B90526">
        <w:rPr>
          <w:sz w:val="24"/>
          <w:szCs w:val="24"/>
        </w:rPr>
        <w:t>resazurin</w:t>
      </w:r>
      <w:proofErr w:type="spellEnd"/>
      <w:r w:rsidR="00235D2F" w:rsidRPr="00B90526">
        <w:rPr>
          <w:sz w:val="24"/>
          <w:szCs w:val="24"/>
        </w:rPr>
        <w:t xml:space="preserve"> assay and </w:t>
      </w:r>
      <w:r w:rsidR="009A392F">
        <w:rPr>
          <w:sz w:val="24"/>
          <w:szCs w:val="24"/>
        </w:rPr>
        <w:t>dilution</w:t>
      </w:r>
      <w:r w:rsidR="00235D2F" w:rsidRPr="00B90526">
        <w:rPr>
          <w:sz w:val="24"/>
          <w:szCs w:val="24"/>
        </w:rPr>
        <w:t xml:space="preserve"> plating methods revealed that the values were not significantly different (p ≤ 0.05 in all cases).</w:t>
      </w:r>
      <w:r w:rsidR="00235D2F">
        <w:rPr>
          <w:sz w:val="24"/>
          <w:szCs w:val="24"/>
        </w:rPr>
        <w:t xml:space="preserve"> </w:t>
      </w:r>
    </w:p>
    <w:p w14:paraId="405C5F01" w14:textId="77777777" w:rsidR="00235D2F" w:rsidRDefault="00235D2F" w:rsidP="005C413B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235D2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0B5C8" w14:textId="77777777" w:rsidR="00F2656A" w:rsidRDefault="00F2656A" w:rsidP="00B90526">
      <w:r>
        <w:separator/>
      </w:r>
    </w:p>
  </w:endnote>
  <w:endnote w:type="continuationSeparator" w:id="0">
    <w:p w14:paraId="4BFD4933" w14:textId="77777777" w:rsidR="00F2656A" w:rsidRDefault="00F2656A" w:rsidP="00B9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364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70277" w14:textId="363715F5" w:rsidR="00F00814" w:rsidRDefault="00F008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A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E7FDC9" w14:textId="77777777" w:rsidR="00F00814" w:rsidRDefault="00F00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3DC0B" w14:textId="77777777" w:rsidR="00F2656A" w:rsidRDefault="00F2656A" w:rsidP="00B90526">
      <w:r>
        <w:separator/>
      </w:r>
    </w:p>
  </w:footnote>
  <w:footnote w:type="continuationSeparator" w:id="0">
    <w:p w14:paraId="16C378D9" w14:textId="77777777" w:rsidR="00F2656A" w:rsidRDefault="00F2656A" w:rsidP="00B90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A7"/>
    <w:rsid w:val="00046F9C"/>
    <w:rsid w:val="00060E12"/>
    <w:rsid w:val="00072D63"/>
    <w:rsid w:val="00083479"/>
    <w:rsid w:val="00095D82"/>
    <w:rsid w:val="000D674E"/>
    <w:rsid w:val="0010093B"/>
    <w:rsid w:val="00102511"/>
    <w:rsid w:val="001245CD"/>
    <w:rsid w:val="001245F7"/>
    <w:rsid w:val="00125BCF"/>
    <w:rsid w:val="00127407"/>
    <w:rsid w:val="00156F9E"/>
    <w:rsid w:val="00161A2B"/>
    <w:rsid w:val="00193047"/>
    <w:rsid w:val="001A75A8"/>
    <w:rsid w:val="001C3BED"/>
    <w:rsid w:val="001E381A"/>
    <w:rsid w:val="00216225"/>
    <w:rsid w:val="00235D2F"/>
    <w:rsid w:val="002462EF"/>
    <w:rsid w:val="00310532"/>
    <w:rsid w:val="00330EDF"/>
    <w:rsid w:val="00344585"/>
    <w:rsid w:val="00345E9A"/>
    <w:rsid w:val="00357CEA"/>
    <w:rsid w:val="003618D3"/>
    <w:rsid w:val="003820AD"/>
    <w:rsid w:val="003C2C50"/>
    <w:rsid w:val="003D072F"/>
    <w:rsid w:val="003E5736"/>
    <w:rsid w:val="003E5E87"/>
    <w:rsid w:val="00491798"/>
    <w:rsid w:val="004A182A"/>
    <w:rsid w:val="004D67CB"/>
    <w:rsid w:val="004E50D5"/>
    <w:rsid w:val="0051140A"/>
    <w:rsid w:val="00521712"/>
    <w:rsid w:val="00546804"/>
    <w:rsid w:val="005724FC"/>
    <w:rsid w:val="00573253"/>
    <w:rsid w:val="005969DF"/>
    <w:rsid w:val="005B08F6"/>
    <w:rsid w:val="005C413B"/>
    <w:rsid w:val="006127E0"/>
    <w:rsid w:val="00647F88"/>
    <w:rsid w:val="00656BB2"/>
    <w:rsid w:val="006810B0"/>
    <w:rsid w:val="006838BF"/>
    <w:rsid w:val="006F1225"/>
    <w:rsid w:val="00710303"/>
    <w:rsid w:val="00731459"/>
    <w:rsid w:val="00736AC5"/>
    <w:rsid w:val="007B2116"/>
    <w:rsid w:val="007F7487"/>
    <w:rsid w:val="0086352B"/>
    <w:rsid w:val="0089697E"/>
    <w:rsid w:val="008D5BBE"/>
    <w:rsid w:val="008D6574"/>
    <w:rsid w:val="00903E51"/>
    <w:rsid w:val="00920287"/>
    <w:rsid w:val="0093452C"/>
    <w:rsid w:val="009530F7"/>
    <w:rsid w:val="00994176"/>
    <w:rsid w:val="00997BF4"/>
    <w:rsid w:val="009A392F"/>
    <w:rsid w:val="009E557F"/>
    <w:rsid w:val="00A20084"/>
    <w:rsid w:val="00A3494D"/>
    <w:rsid w:val="00A35C32"/>
    <w:rsid w:val="00A826A7"/>
    <w:rsid w:val="00A92251"/>
    <w:rsid w:val="00AB001E"/>
    <w:rsid w:val="00AD0F81"/>
    <w:rsid w:val="00B027DB"/>
    <w:rsid w:val="00B12DEB"/>
    <w:rsid w:val="00B3635D"/>
    <w:rsid w:val="00B90526"/>
    <w:rsid w:val="00B955DC"/>
    <w:rsid w:val="00BE0206"/>
    <w:rsid w:val="00C12392"/>
    <w:rsid w:val="00C502A8"/>
    <w:rsid w:val="00C833D9"/>
    <w:rsid w:val="00C90238"/>
    <w:rsid w:val="00CB79BB"/>
    <w:rsid w:val="00CD5237"/>
    <w:rsid w:val="00D20867"/>
    <w:rsid w:val="00D210BA"/>
    <w:rsid w:val="00D27745"/>
    <w:rsid w:val="00D336D5"/>
    <w:rsid w:val="00D51E60"/>
    <w:rsid w:val="00D61C67"/>
    <w:rsid w:val="00D703D4"/>
    <w:rsid w:val="00D87246"/>
    <w:rsid w:val="00DC295B"/>
    <w:rsid w:val="00E92BD5"/>
    <w:rsid w:val="00EC78B9"/>
    <w:rsid w:val="00ED29E9"/>
    <w:rsid w:val="00F00814"/>
    <w:rsid w:val="00F2182B"/>
    <w:rsid w:val="00F2656A"/>
    <w:rsid w:val="00F50089"/>
    <w:rsid w:val="00F6667A"/>
    <w:rsid w:val="00F83F39"/>
    <w:rsid w:val="00F87CDF"/>
    <w:rsid w:val="00F9312F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648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A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92"/>
    <w:rPr>
      <w:rFonts w:ascii="Tahoma" w:eastAsia="Calibri" w:hAnsi="Tahoma" w:cs="Tahoma"/>
      <w:sz w:val="16"/>
      <w:szCs w:val="16"/>
    </w:rPr>
  </w:style>
  <w:style w:type="paragraph" w:customStyle="1" w:styleId="Head">
    <w:name w:val="Head"/>
    <w:basedOn w:val="Normal"/>
    <w:rsid w:val="00F83F39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127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526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0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526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A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92"/>
    <w:rPr>
      <w:rFonts w:ascii="Tahoma" w:eastAsia="Calibri" w:hAnsi="Tahoma" w:cs="Tahoma"/>
      <w:sz w:val="16"/>
      <w:szCs w:val="16"/>
    </w:rPr>
  </w:style>
  <w:style w:type="paragraph" w:customStyle="1" w:styleId="Head">
    <w:name w:val="Head"/>
    <w:basedOn w:val="Normal"/>
    <w:rsid w:val="00F83F39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127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526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0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526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83FD-B087-423D-927C-5F9D3E6C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Myron Gaines</dc:creator>
  <cp:lastModifiedBy>hrdeveau</cp:lastModifiedBy>
  <cp:revision>19</cp:revision>
  <cp:lastPrinted>2014-08-29T01:17:00Z</cp:lastPrinted>
  <dcterms:created xsi:type="dcterms:W3CDTF">2014-10-02T18:39:00Z</dcterms:created>
  <dcterms:modified xsi:type="dcterms:W3CDTF">2014-12-30T17:39:00Z</dcterms:modified>
</cp:coreProperties>
</file>