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889" w:rsidRDefault="00194889" w:rsidP="00F81222">
      <w:pPr>
        <w:spacing w:line="240" w:lineRule="auto"/>
        <w:rPr>
          <w:rFonts w:cs="Arial"/>
        </w:rPr>
      </w:pPr>
      <w:bookmarkStart w:id="0" w:name="_GoBack"/>
      <w:bookmarkEnd w:id="0"/>
    </w:p>
    <w:tbl>
      <w:tblPr>
        <w:tblW w:w="8751" w:type="dxa"/>
        <w:tblInd w:w="8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99"/>
        <w:gridCol w:w="2727"/>
        <w:gridCol w:w="1031"/>
        <w:gridCol w:w="2556"/>
        <w:gridCol w:w="838"/>
      </w:tblGrid>
      <w:tr w:rsidR="00194889" w:rsidRPr="00A53EA6" w:rsidTr="00D53AA1">
        <w:trPr>
          <w:trHeight w:val="300"/>
        </w:trPr>
        <w:tc>
          <w:tcPr>
            <w:tcW w:w="1599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889" w:rsidRPr="00A53EA6" w:rsidRDefault="00194889" w:rsidP="00F8122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A53EA6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Factor</w:t>
            </w:r>
          </w:p>
        </w:tc>
        <w:tc>
          <w:tcPr>
            <w:tcW w:w="375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94889" w:rsidRPr="00A53EA6" w:rsidRDefault="00194889" w:rsidP="00F81222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53EA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Univariate</w:t>
            </w:r>
          </w:p>
        </w:tc>
        <w:tc>
          <w:tcPr>
            <w:tcW w:w="3394" w:type="dxa"/>
            <w:gridSpan w:val="2"/>
            <w:tcBorders>
              <w:top w:val="single" w:sz="12" w:space="0" w:color="auto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194889" w:rsidRPr="00A53EA6" w:rsidRDefault="00194889" w:rsidP="00F81222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53EA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Multivariate</w:t>
            </w:r>
          </w:p>
        </w:tc>
      </w:tr>
      <w:tr w:rsidR="00194889" w:rsidRPr="00A53EA6" w:rsidTr="00D53AA1">
        <w:trPr>
          <w:trHeight w:val="300"/>
        </w:trPr>
        <w:tc>
          <w:tcPr>
            <w:tcW w:w="1599" w:type="dxa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889" w:rsidRPr="00A53EA6" w:rsidRDefault="00194889" w:rsidP="00F8122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4889" w:rsidRPr="00A53EA6" w:rsidRDefault="00194889" w:rsidP="00F81222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bCs/>
                <w:i/>
                <w:sz w:val="20"/>
                <w:szCs w:val="20"/>
                <w:lang w:eastAsia="en-GB"/>
              </w:rPr>
            </w:pPr>
            <w:r w:rsidRPr="00A53EA6">
              <w:rPr>
                <w:rFonts w:eastAsia="Times New Roman" w:cs="Arial"/>
                <w:b/>
                <w:bCs/>
                <w:i/>
                <w:sz w:val="20"/>
                <w:szCs w:val="20"/>
                <w:lang w:eastAsia="en-GB"/>
              </w:rPr>
              <w:t>Coefficient (95% CI)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194889" w:rsidRPr="00A53EA6" w:rsidRDefault="00194889" w:rsidP="00F81222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bCs/>
                <w:i/>
                <w:color w:val="000000"/>
                <w:sz w:val="20"/>
                <w:szCs w:val="20"/>
                <w:lang w:eastAsia="en-GB"/>
              </w:rPr>
            </w:pPr>
            <w:r w:rsidRPr="00A53EA6">
              <w:rPr>
                <w:rFonts w:eastAsia="Times New Roman" w:cs="Arial"/>
                <w:b/>
                <w:bCs/>
                <w:i/>
                <w:color w:val="000000"/>
                <w:sz w:val="20"/>
                <w:szCs w:val="20"/>
                <w:lang w:eastAsia="en-GB"/>
              </w:rPr>
              <w:t>Sig.</w:t>
            </w:r>
          </w:p>
        </w:tc>
        <w:tc>
          <w:tcPr>
            <w:tcW w:w="2556" w:type="dxa"/>
            <w:tcBorders>
              <w:top w:val="nil"/>
              <w:left w:val="double" w:sz="4" w:space="0" w:color="auto"/>
              <w:bottom w:val="single" w:sz="12" w:space="0" w:color="auto"/>
              <w:right w:val="nil"/>
            </w:tcBorders>
            <w:vAlign w:val="center"/>
          </w:tcPr>
          <w:p w:rsidR="00194889" w:rsidRPr="00A53EA6" w:rsidRDefault="00194889" w:rsidP="00F81222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bCs/>
                <w:i/>
                <w:sz w:val="20"/>
                <w:szCs w:val="20"/>
                <w:lang w:eastAsia="en-GB"/>
              </w:rPr>
            </w:pPr>
            <w:r w:rsidRPr="00A53EA6">
              <w:rPr>
                <w:rFonts w:eastAsia="Times New Roman" w:cs="Arial"/>
                <w:b/>
                <w:bCs/>
                <w:i/>
                <w:sz w:val="20"/>
                <w:szCs w:val="20"/>
                <w:lang w:eastAsia="en-GB"/>
              </w:rPr>
              <w:t>Coefficient (95% CI)</w:t>
            </w:r>
          </w:p>
        </w:tc>
        <w:tc>
          <w:tcPr>
            <w:tcW w:w="838" w:type="dxa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:rsidR="00194889" w:rsidRPr="00A53EA6" w:rsidRDefault="00194889" w:rsidP="00F81222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bCs/>
                <w:i/>
                <w:color w:val="000000"/>
                <w:sz w:val="20"/>
                <w:szCs w:val="20"/>
                <w:lang w:eastAsia="en-GB"/>
              </w:rPr>
            </w:pPr>
            <w:r w:rsidRPr="00A53EA6">
              <w:rPr>
                <w:rFonts w:eastAsia="Times New Roman" w:cs="Arial"/>
                <w:b/>
                <w:bCs/>
                <w:i/>
                <w:color w:val="000000"/>
                <w:sz w:val="20"/>
                <w:szCs w:val="20"/>
                <w:lang w:eastAsia="en-GB"/>
              </w:rPr>
              <w:t>Sig.</w:t>
            </w:r>
          </w:p>
        </w:tc>
      </w:tr>
      <w:tr w:rsidR="00194889" w:rsidRPr="00A53EA6" w:rsidTr="00D53AA1">
        <w:trPr>
          <w:trHeight w:val="300"/>
        </w:trPr>
        <w:tc>
          <w:tcPr>
            <w:tcW w:w="8751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889" w:rsidRPr="00194889" w:rsidRDefault="00194889" w:rsidP="00F81222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bCs/>
                <w:i/>
                <w:iCs/>
                <w:sz w:val="20"/>
                <w:szCs w:val="20"/>
                <w:vertAlign w:val="superscript"/>
                <w:lang w:eastAsia="en-GB"/>
              </w:rPr>
            </w:pPr>
            <w:r>
              <w:rPr>
                <w:rFonts w:eastAsia="Times New Roman" w:cs="Arial"/>
                <w:b/>
                <w:bCs/>
                <w:i/>
                <w:iCs/>
                <w:sz w:val="20"/>
                <w:szCs w:val="20"/>
                <w:lang w:eastAsia="en-GB"/>
              </w:rPr>
              <w:t>Pulse Wave Velocity</w:t>
            </w:r>
            <w:r>
              <w:rPr>
                <w:rFonts w:eastAsia="Times New Roman" w:cs="Arial"/>
                <w:b/>
                <w:bCs/>
                <w:i/>
                <w:iCs/>
                <w:sz w:val="20"/>
                <w:szCs w:val="20"/>
                <w:vertAlign w:val="superscript"/>
                <w:lang w:eastAsia="en-GB"/>
              </w:rPr>
              <w:t>#</w:t>
            </w:r>
          </w:p>
        </w:tc>
      </w:tr>
      <w:tr w:rsidR="007F7B53" w:rsidRPr="00A53EA6" w:rsidTr="00D53AA1">
        <w:trPr>
          <w:trHeight w:val="300"/>
        </w:trPr>
        <w:tc>
          <w:tcPr>
            <w:tcW w:w="159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53" w:rsidRPr="00F81222" w:rsidRDefault="007F7B53" w:rsidP="00F81222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F81222">
              <w:rPr>
                <w:color w:val="000000"/>
                <w:sz w:val="20"/>
                <w:szCs w:val="20"/>
              </w:rPr>
              <w:t>GG (Yes)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7B53" w:rsidRPr="00F81222" w:rsidRDefault="007F7B53" w:rsidP="00F81222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81222">
              <w:rPr>
                <w:color w:val="000000"/>
                <w:sz w:val="20"/>
                <w:szCs w:val="20"/>
              </w:rPr>
              <w:t>-1.1% (-9.8%, 8.5%)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7F7B53" w:rsidRPr="00F81222" w:rsidRDefault="007F7B53" w:rsidP="00F81222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81222">
              <w:rPr>
                <w:color w:val="000000"/>
                <w:sz w:val="20"/>
                <w:szCs w:val="20"/>
              </w:rPr>
              <w:t>0.815</w:t>
            </w:r>
          </w:p>
        </w:tc>
        <w:tc>
          <w:tcPr>
            <w:tcW w:w="2556" w:type="dxa"/>
            <w:tcBorders>
              <w:top w:val="single" w:sz="4" w:space="0" w:color="auto"/>
              <w:left w:val="double" w:sz="4" w:space="0" w:color="auto"/>
              <w:right w:val="nil"/>
            </w:tcBorders>
            <w:vAlign w:val="center"/>
          </w:tcPr>
          <w:p w:rsidR="007F7B53" w:rsidRPr="00F81222" w:rsidRDefault="007F7B53" w:rsidP="00F81222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81222">
              <w:rPr>
                <w:color w:val="000000"/>
                <w:sz w:val="20"/>
                <w:szCs w:val="20"/>
              </w:rPr>
              <w:t>-1.1% (-7.3%, 5.4%)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</w:tcBorders>
            <w:vAlign w:val="center"/>
          </w:tcPr>
          <w:p w:rsidR="007F7B53" w:rsidRPr="00F81222" w:rsidRDefault="007F7B53" w:rsidP="00F81222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81222">
              <w:rPr>
                <w:color w:val="000000"/>
                <w:sz w:val="20"/>
                <w:szCs w:val="20"/>
              </w:rPr>
              <w:t>0.725</w:t>
            </w:r>
          </w:p>
        </w:tc>
      </w:tr>
      <w:tr w:rsidR="007F7B53" w:rsidRPr="00A53EA6" w:rsidTr="00D53AA1">
        <w:trPr>
          <w:trHeight w:val="300"/>
        </w:trPr>
        <w:tc>
          <w:tcPr>
            <w:tcW w:w="1599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53" w:rsidRPr="00F81222" w:rsidRDefault="007F7B53" w:rsidP="00F81222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F81222">
              <w:rPr>
                <w:color w:val="000000"/>
                <w:sz w:val="20"/>
                <w:szCs w:val="20"/>
              </w:rPr>
              <w:t>Age</w:t>
            </w:r>
          </w:p>
        </w:tc>
        <w:tc>
          <w:tcPr>
            <w:tcW w:w="2727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7B53" w:rsidRPr="00F81222" w:rsidRDefault="007F7B53" w:rsidP="00F81222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81222">
              <w:rPr>
                <w:color w:val="000000"/>
                <w:sz w:val="20"/>
                <w:szCs w:val="20"/>
              </w:rPr>
              <w:t>1.3% (1.0%, 1.6%)</w:t>
            </w:r>
          </w:p>
        </w:tc>
        <w:tc>
          <w:tcPr>
            <w:tcW w:w="1031" w:type="dxa"/>
            <w:tcBorders>
              <w:left w:val="nil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7F7B53" w:rsidRPr="00F81222" w:rsidRDefault="00D53AA1" w:rsidP="00F81222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2556" w:type="dxa"/>
            <w:tcBorders>
              <w:left w:val="double" w:sz="4" w:space="0" w:color="auto"/>
              <w:right w:val="nil"/>
            </w:tcBorders>
            <w:vAlign w:val="center"/>
          </w:tcPr>
          <w:p w:rsidR="007F7B53" w:rsidRPr="00F81222" w:rsidRDefault="007F7B53" w:rsidP="00F81222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81222">
              <w:rPr>
                <w:color w:val="000000"/>
                <w:sz w:val="20"/>
                <w:szCs w:val="20"/>
              </w:rPr>
              <w:t>1.3% (1.0%, 1.6%)</w:t>
            </w:r>
          </w:p>
        </w:tc>
        <w:tc>
          <w:tcPr>
            <w:tcW w:w="838" w:type="dxa"/>
            <w:tcBorders>
              <w:left w:val="nil"/>
            </w:tcBorders>
            <w:vAlign w:val="center"/>
          </w:tcPr>
          <w:p w:rsidR="007F7B53" w:rsidRPr="00F81222" w:rsidRDefault="00D53AA1" w:rsidP="00F81222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&lt;0.001</w:t>
            </w:r>
          </w:p>
        </w:tc>
      </w:tr>
      <w:tr w:rsidR="007F7B53" w:rsidRPr="00A53EA6" w:rsidTr="00D53AA1">
        <w:trPr>
          <w:trHeight w:val="300"/>
        </w:trPr>
        <w:tc>
          <w:tcPr>
            <w:tcW w:w="159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7B53" w:rsidRPr="00F81222" w:rsidRDefault="007F7B53" w:rsidP="00F81222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F81222">
              <w:rPr>
                <w:color w:val="000000"/>
                <w:sz w:val="20"/>
                <w:szCs w:val="20"/>
              </w:rPr>
              <w:t>Gender (Female)</w:t>
            </w:r>
          </w:p>
        </w:tc>
        <w:tc>
          <w:tcPr>
            <w:tcW w:w="2727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7B53" w:rsidRPr="00F81222" w:rsidRDefault="007F7B53" w:rsidP="00F81222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81222">
              <w:rPr>
                <w:color w:val="000000"/>
                <w:sz w:val="20"/>
                <w:szCs w:val="20"/>
              </w:rPr>
              <w:t>0.5% (-8.4%, 10.3%)</w:t>
            </w:r>
          </w:p>
        </w:tc>
        <w:tc>
          <w:tcPr>
            <w:tcW w:w="1031" w:type="dxa"/>
            <w:tcBorders>
              <w:left w:val="nil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7F7B53" w:rsidRPr="00F81222" w:rsidRDefault="007F7B53" w:rsidP="00F81222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81222">
              <w:rPr>
                <w:color w:val="000000"/>
                <w:sz w:val="20"/>
                <w:szCs w:val="20"/>
              </w:rPr>
              <w:t>0.913</w:t>
            </w:r>
          </w:p>
        </w:tc>
        <w:tc>
          <w:tcPr>
            <w:tcW w:w="2556" w:type="dxa"/>
            <w:tcBorders>
              <w:left w:val="double" w:sz="4" w:space="0" w:color="auto"/>
              <w:right w:val="nil"/>
            </w:tcBorders>
            <w:vAlign w:val="center"/>
          </w:tcPr>
          <w:p w:rsidR="007F7B53" w:rsidRPr="00F81222" w:rsidRDefault="007F7B53" w:rsidP="00F81222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81222">
              <w:rPr>
                <w:color w:val="000000"/>
                <w:sz w:val="20"/>
                <w:szCs w:val="20"/>
              </w:rPr>
              <w:t>7.2% (0.3%, 14.4%)</w:t>
            </w:r>
          </w:p>
        </w:tc>
        <w:tc>
          <w:tcPr>
            <w:tcW w:w="838" w:type="dxa"/>
            <w:tcBorders>
              <w:left w:val="nil"/>
            </w:tcBorders>
            <w:vAlign w:val="center"/>
          </w:tcPr>
          <w:p w:rsidR="007F7B53" w:rsidRPr="00F81222" w:rsidRDefault="00D53AA1" w:rsidP="00F81222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0.039</w:t>
            </w:r>
          </w:p>
        </w:tc>
      </w:tr>
      <w:tr w:rsidR="007F7B53" w:rsidRPr="00A53EA6" w:rsidTr="00D53AA1">
        <w:trPr>
          <w:trHeight w:val="300"/>
        </w:trPr>
        <w:tc>
          <w:tcPr>
            <w:tcW w:w="159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7B53" w:rsidRPr="00F81222" w:rsidRDefault="007F7B53" w:rsidP="00F81222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F81222">
              <w:rPr>
                <w:color w:val="000000"/>
                <w:sz w:val="20"/>
                <w:szCs w:val="20"/>
              </w:rPr>
              <w:t>eGFR</w:t>
            </w:r>
          </w:p>
        </w:tc>
        <w:tc>
          <w:tcPr>
            <w:tcW w:w="2727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7B53" w:rsidRPr="00F81222" w:rsidRDefault="007F7B53" w:rsidP="00F81222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81222">
              <w:rPr>
                <w:color w:val="000000"/>
                <w:sz w:val="20"/>
                <w:szCs w:val="20"/>
              </w:rPr>
              <w:t>-0.2% (-0.5%, 0.0%)</w:t>
            </w:r>
          </w:p>
        </w:tc>
        <w:tc>
          <w:tcPr>
            <w:tcW w:w="1031" w:type="dxa"/>
            <w:tcBorders>
              <w:left w:val="nil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7F7B53" w:rsidRPr="00F81222" w:rsidRDefault="007F7B53" w:rsidP="00F81222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81222">
              <w:rPr>
                <w:color w:val="000000"/>
                <w:sz w:val="20"/>
                <w:szCs w:val="20"/>
              </w:rPr>
              <w:t>0.095</w:t>
            </w:r>
          </w:p>
        </w:tc>
        <w:tc>
          <w:tcPr>
            <w:tcW w:w="2556" w:type="dxa"/>
            <w:tcBorders>
              <w:left w:val="double" w:sz="4" w:space="0" w:color="auto"/>
              <w:right w:val="nil"/>
            </w:tcBorders>
            <w:vAlign w:val="center"/>
          </w:tcPr>
          <w:p w:rsidR="007F7B53" w:rsidRPr="00F81222" w:rsidRDefault="007F7B53" w:rsidP="00F81222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81222">
              <w:rPr>
                <w:color w:val="000000"/>
                <w:sz w:val="20"/>
                <w:szCs w:val="20"/>
              </w:rPr>
              <w:t>0.0% (-0.2%, 0.1%)</w:t>
            </w:r>
          </w:p>
        </w:tc>
        <w:tc>
          <w:tcPr>
            <w:tcW w:w="838" w:type="dxa"/>
            <w:tcBorders>
              <w:left w:val="nil"/>
            </w:tcBorders>
            <w:vAlign w:val="center"/>
          </w:tcPr>
          <w:p w:rsidR="007F7B53" w:rsidRPr="00F81222" w:rsidRDefault="007F7B53" w:rsidP="00F81222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81222">
              <w:rPr>
                <w:color w:val="000000"/>
                <w:sz w:val="20"/>
                <w:szCs w:val="20"/>
              </w:rPr>
              <w:t>0.622</w:t>
            </w:r>
          </w:p>
        </w:tc>
      </w:tr>
      <w:tr w:rsidR="007F7B53" w:rsidRPr="00A53EA6" w:rsidTr="00D53AA1">
        <w:trPr>
          <w:trHeight w:val="300"/>
        </w:trPr>
        <w:tc>
          <w:tcPr>
            <w:tcW w:w="159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7B53" w:rsidRPr="00F81222" w:rsidRDefault="007F7B53" w:rsidP="00F81222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F81222">
              <w:rPr>
                <w:color w:val="000000"/>
                <w:sz w:val="20"/>
                <w:szCs w:val="20"/>
              </w:rPr>
              <w:t>BMAP</w:t>
            </w:r>
          </w:p>
        </w:tc>
        <w:tc>
          <w:tcPr>
            <w:tcW w:w="2727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7B53" w:rsidRPr="00F81222" w:rsidRDefault="007F7B53" w:rsidP="00F81222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81222">
              <w:rPr>
                <w:color w:val="000000"/>
                <w:sz w:val="20"/>
                <w:szCs w:val="20"/>
              </w:rPr>
              <w:t>0.9% (0.5%, 1.3%)</w:t>
            </w:r>
          </w:p>
        </w:tc>
        <w:tc>
          <w:tcPr>
            <w:tcW w:w="1031" w:type="dxa"/>
            <w:tcBorders>
              <w:left w:val="nil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7F7B53" w:rsidRPr="00F81222" w:rsidRDefault="00D53AA1" w:rsidP="00F81222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2556" w:type="dxa"/>
            <w:tcBorders>
              <w:left w:val="double" w:sz="4" w:space="0" w:color="auto"/>
              <w:right w:val="nil"/>
            </w:tcBorders>
            <w:vAlign w:val="center"/>
          </w:tcPr>
          <w:p w:rsidR="007F7B53" w:rsidRPr="00F81222" w:rsidRDefault="007F7B53" w:rsidP="00F81222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81222">
              <w:rPr>
                <w:color w:val="000000"/>
                <w:sz w:val="20"/>
                <w:szCs w:val="20"/>
              </w:rPr>
              <w:t>0.9% (0.6%, 1.2%)</w:t>
            </w:r>
          </w:p>
        </w:tc>
        <w:tc>
          <w:tcPr>
            <w:tcW w:w="838" w:type="dxa"/>
            <w:tcBorders>
              <w:left w:val="nil"/>
            </w:tcBorders>
            <w:vAlign w:val="center"/>
          </w:tcPr>
          <w:p w:rsidR="007F7B53" w:rsidRPr="00F81222" w:rsidRDefault="00D53AA1" w:rsidP="00F81222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&lt;0.001</w:t>
            </w:r>
          </w:p>
        </w:tc>
      </w:tr>
      <w:tr w:rsidR="007F7B53" w:rsidRPr="00A53EA6" w:rsidTr="00D53AA1">
        <w:trPr>
          <w:trHeight w:val="300"/>
        </w:trPr>
        <w:tc>
          <w:tcPr>
            <w:tcW w:w="1599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53" w:rsidRPr="00F81222" w:rsidRDefault="007F7B53" w:rsidP="00F81222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F81222">
              <w:rPr>
                <w:color w:val="000000"/>
                <w:sz w:val="20"/>
                <w:szCs w:val="20"/>
              </w:rPr>
              <w:t>Total Cholesterol</w:t>
            </w:r>
          </w:p>
        </w:tc>
        <w:tc>
          <w:tcPr>
            <w:tcW w:w="2727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7B53" w:rsidRPr="00F81222" w:rsidRDefault="007F7B53" w:rsidP="00F81222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81222">
              <w:rPr>
                <w:color w:val="000000"/>
                <w:sz w:val="20"/>
                <w:szCs w:val="20"/>
              </w:rPr>
              <w:t>3.8% (-1.0%, 8.8%)</w:t>
            </w:r>
          </w:p>
        </w:tc>
        <w:tc>
          <w:tcPr>
            <w:tcW w:w="1031" w:type="dxa"/>
            <w:tcBorders>
              <w:left w:val="nil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7F7B53" w:rsidRPr="00F81222" w:rsidRDefault="007F7B53" w:rsidP="00F81222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81222">
              <w:rPr>
                <w:color w:val="000000"/>
                <w:sz w:val="20"/>
                <w:szCs w:val="20"/>
              </w:rPr>
              <w:t>0.122</w:t>
            </w:r>
          </w:p>
        </w:tc>
        <w:tc>
          <w:tcPr>
            <w:tcW w:w="2556" w:type="dxa"/>
            <w:tcBorders>
              <w:left w:val="double" w:sz="4" w:space="0" w:color="auto"/>
              <w:right w:val="nil"/>
            </w:tcBorders>
            <w:vAlign w:val="center"/>
          </w:tcPr>
          <w:p w:rsidR="007F7B53" w:rsidRPr="00F81222" w:rsidRDefault="007F7B53" w:rsidP="00F81222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81222">
              <w:rPr>
                <w:color w:val="000000"/>
                <w:sz w:val="20"/>
                <w:szCs w:val="20"/>
              </w:rPr>
              <w:t>2.6% (-1.0%, 6.4%)</w:t>
            </w:r>
          </w:p>
        </w:tc>
        <w:tc>
          <w:tcPr>
            <w:tcW w:w="838" w:type="dxa"/>
            <w:tcBorders>
              <w:left w:val="nil"/>
            </w:tcBorders>
            <w:vAlign w:val="center"/>
          </w:tcPr>
          <w:p w:rsidR="007F7B53" w:rsidRPr="00F81222" w:rsidRDefault="007F7B53" w:rsidP="00F81222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81222">
              <w:rPr>
                <w:color w:val="000000"/>
                <w:sz w:val="20"/>
                <w:szCs w:val="20"/>
              </w:rPr>
              <w:t>0.155</w:t>
            </w:r>
          </w:p>
        </w:tc>
      </w:tr>
      <w:tr w:rsidR="007F7B53" w:rsidRPr="00A53EA6" w:rsidTr="00D53AA1">
        <w:trPr>
          <w:trHeight w:val="300"/>
        </w:trPr>
        <w:tc>
          <w:tcPr>
            <w:tcW w:w="1599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53" w:rsidRPr="00F81222" w:rsidRDefault="007F7B53" w:rsidP="00F81222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F81222">
              <w:rPr>
                <w:color w:val="000000"/>
                <w:sz w:val="20"/>
                <w:szCs w:val="20"/>
              </w:rPr>
              <w:t>Log</w:t>
            </w:r>
            <w:r w:rsidRPr="00F81222">
              <w:rPr>
                <w:color w:val="000000"/>
                <w:sz w:val="20"/>
                <w:szCs w:val="20"/>
                <w:vertAlign w:val="subscript"/>
              </w:rPr>
              <w:t>2</w:t>
            </w:r>
            <w:r w:rsidRPr="00F81222">
              <w:rPr>
                <w:color w:val="000000"/>
                <w:sz w:val="20"/>
                <w:szCs w:val="20"/>
              </w:rPr>
              <w:t>CRP</w:t>
            </w:r>
            <w:r w:rsidRPr="00F81222">
              <w:rPr>
                <w:color w:val="000000"/>
                <w:sz w:val="20"/>
                <w:szCs w:val="20"/>
                <w:vertAlign w:val="superscript"/>
              </w:rPr>
              <w:t>‡</w:t>
            </w:r>
          </w:p>
        </w:tc>
        <w:tc>
          <w:tcPr>
            <w:tcW w:w="2727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7B53" w:rsidRPr="00F81222" w:rsidRDefault="007F7B53" w:rsidP="00F81222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81222">
              <w:rPr>
                <w:color w:val="000000"/>
                <w:sz w:val="20"/>
                <w:szCs w:val="20"/>
              </w:rPr>
              <w:t>2.5% (-0.1%, 5.1%)</w:t>
            </w:r>
          </w:p>
        </w:tc>
        <w:tc>
          <w:tcPr>
            <w:tcW w:w="1031" w:type="dxa"/>
            <w:tcBorders>
              <w:left w:val="nil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7F7B53" w:rsidRPr="00F81222" w:rsidRDefault="007F7B53" w:rsidP="00F81222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81222">
              <w:rPr>
                <w:color w:val="000000"/>
                <w:sz w:val="20"/>
                <w:szCs w:val="20"/>
              </w:rPr>
              <w:t>0.057</w:t>
            </w:r>
          </w:p>
        </w:tc>
        <w:tc>
          <w:tcPr>
            <w:tcW w:w="2556" w:type="dxa"/>
            <w:tcBorders>
              <w:left w:val="double" w:sz="4" w:space="0" w:color="auto"/>
              <w:right w:val="nil"/>
            </w:tcBorders>
            <w:vAlign w:val="center"/>
          </w:tcPr>
          <w:p w:rsidR="007F7B53" w:rsidRPr="00F81222" w:rsidRDefault="007F7B53" w:rsidP="00F81222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81222">
              <w:rPr>
                <w:color w:val="000000"/>
                <w:sz w:val="20"/>
                <w:szCs w:val="20"/>
              </w:rPr>
              <w:t>0.7% (-1.1%, 2.5%)</w:t>
            </w:r>
          </w:p>
        </w:tc>
        <w:tc>
          <w:tcPr>
            <w:tcW w:w="838" w:type="dxa"/>
            <w:tcBorders>
              <w:left w:val="nil"/>
            </w:tcBorders>
            <w:vAlign w:val="center"/>
          </w:tcPr>
          <w:p w:rsidR="007F7B53" w:rsidRPr="00F81222" w:rsidRDefault="007F7B53" w:rsidP="00F81222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81222">
              <w:rPr>
                <w:color w:val="000000"/>
                <w:sz w:val="20"/>
                <w:szCs w:val="20"/>
              </w:rPr>
              <w:t>0.447</w:t>
            </w:r>
          </w:p>
        </w:tc>
      </w:tr>
      <w:tr w:rsidR="007F7B53" w:rsidRPr="00A53EA6" w:rsidTr="00D53AA1">
        <w:trPr>
          <w:trHeight w:val="300"/>
        </w:trPr>
        <w:tc>
          <w:tcPr>
            <w:tcW w:w="1599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53" w:rsidRPr="00F81222" w:rsidRDefault="007F7B53" w:rsidP="00F81222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F81222">
              <w:rPr>
                <w:color w:val="000000"/>
                <w:sz w:val="20"/>
                <w:szCs w:val="20"/>
              </w:rPr>
              <w:t>BMI</w:t>
            </w:r>
          </w:p>
        </w:tc>
        <w:tc>
          <w:tcPr>
            <w:tcW w:w="2727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7B53" w:rsidRPr="00F81222" w:rsidRDefault="007F7B53" w:rsidP="00F81222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81222">
              <w:rPr>
                <w:color w:val="000000"/>
                <w:sz w:val="20"/>
                <w:szCs w:val="20"/>
              </w:rPr>
              <w:t>1.6% (0.7%, 2.5%)</w:t>
            </w:r>
          </w:p>
        </w:tc>
        <w:tc>
          <w:tcPr>
            <w:tcW w:w="1031" w:type="dxa"/>
            <w:tcBorders>
              <w:left w:val="nil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7F7B53" w:rsidRPr="00F81222" w:rsidRDefault="00D53AA1" w:rsidP="00F81222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2556" w:type="dxa"/>
            <w:tcBorders>
              <w:left w:val="double" w:sz="4" w:space="0" w:color="auto"/>
              <w:right w:val="nil"/>
            </w:tcBorders>
            <w:vAlign w:val="center"/>
          </w:tcPr>
          <w:p w:rsidR="007F7B53" w:rsidRPr="00F81222" w:rsidRDefault="007F7B53" w:rsidP="00F81222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81222">
              <w:rPr>
                <w:color w:val="000000"/>
                <w:sz w:val="20"/>
                <w:szCs w:val="20"/>
              </w:rPr>
              <w:t>0.7% (0.0%, 1.4%)</w:t>
            </w:r>
          </w:p>
        </w:tc>
        <w:tc>
          <w:tcPr>
            <w:tcW w:w="838" w:type="dxa"/>
            <w:tcBorders>
              <w:left w:val="nil"/>
            </w:tcBorders>
            <w:vAlign w:val="center"/>
          </w:tcPr>
          <w:p w:rsidR="007F7B53" w:rsidRPr="00F81222" w:rsidRDefault="007F7B53" w:rsidP="00F81222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81222">
              <w:rPr>
                <w:color w:val="000000"/>
                <w:sz w:val="20"/>
                <w:szCs w:val="20"/>
              </w:rPr>
              <w:t>0.060</w:t>
            </w:r>
          </w:p>
        </w:tc>
      </w:tr>
      <w:tr w:rsidR="007F7B53" w:rsidRPr="00A53EA6" w:rsidTr="00D53AA1">
        <w:trPr>
          <w:trHeight w:val="300"/>
        </w:trPr>
        <w:tc>
          <w:tcPr>
            <w:tcW w:w="1599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53" w:rsidRPr="00F81222" w:rsidRDefault="007F7B53" w:rsidP="00F81222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F81222">
              <w:rPr>
                <w:color w:val="000000"/>
                <w:sz w:val="20"/>
                <w:szCs w:val="20"/>
              </w:rPr>
              <w:t>CMR HR</w:t>
            </w:r>
          </w:p>
        </w:tc>
        <w:tc>
          <w:tcPr>
            <w:tcW w:w="2727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7B53" w:rsidRPr="00F81222" w:rsidRDefault="007F7B53" w:rsidP="00F81222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81222">
              <w:rPr>
                <w:color w:val="000000"/>
                <w:sz w:val="20"/>
                <w:szCs w:val="20"/>
              </w:rPr>
              <w:t>0.2% (-0.1%, 0.6%)</w:t>
            </w:r>
          </w:p>
        </w:tc>
        <w:tc>
          <w:tcPr>
            <w:tcW w:w="1031" w:type="dxa"/>
            <w:tcBorders>
              <w:left w:val="nil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7F7B53" w:rsidRPr="00F81222" w:rsidRDefault="007F7B53" w:rsidP="00F81222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81222">
              <w:rPr>
                <w:color w:val="000000"/>
                <w:sz w:val="20"/>
                <w:szCs w:val="20"/>
              </w:rPr>
              <w:t>0.227</w:t>
            </w:r>
          </w:p>
        </w:tc>
        <w:tc>
          <w:tcPr>
            <w:tcW w:w="2556" w:type="dxa"/>
            <w:tcBorders>
              <w:left w:val="double" w:sz="4" w:space="0" w:color="auto"/>
              <w:right w:val="nil"/>
            </w:tcBorders>
            <w:vAlign w:val="center"/>
          </w:tcPr>
          <w:p w:rsidR="007F7B53" w:rsidRPr="00F81222" w:rsidRDefault="007F7B53" w:rsidP="00F81222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81222">
              <w:rPr>
                <w:color w:val="000000"/>
                <w:sz w:val="20"/>
                <w:szCs w:val="20"/>
              </w:rPr>
              <w:t>0.2% (0.0%, 0.5%)</w:t>
            </w:r>
          </w:p>
        </w:tc>
        <w:tc>
          <w:tcPr>
            <w:tcW w:w="838" w:type="dxa"/>
            <w:tcBorders>
              <w:left w:val="nil"/>
            </w:tcBorders>
            <w:vAlign w:val="center"/>
          </w:tcPr>
          <w:p w:rsidR="007F7B53" w:rsidRPr="00F81222" w:rsidRDefault="007F7B53" w:rsidP="00F81222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81222">
              <w:rPr>
                <w:color w:val="000000"/>
                <w:sz w:val="20"/>
                <w:szCs w:val="20"/>
              </w:rPr>
              <w:t>0.077</w:t>
            </w:r>
          </w:p>
        </w:tc>
      </w:tr>
      <w:tr w:rsidR="00194889" w:rsidRPr="00A53EA6" w:rsidTr="00D53AA1">
        <w:trPr>
          <w:trHeight w:val="300"/>
        </w:trPr>
        <w:tc>
          <w:tcPr>
            <w:tcW w:w="875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889" w:rsidRPr="00F81222" w:rsidRDefault="007F7B53" w:rsidP="00F81222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F81222">
              <w:rPr>
                <w:rFonts w:eastAsia="Times New Roman" w:cs="Arial"/>
                <w:b/>
                <w:bCs/>
                <w:i/>
                <w:iCs/>
                <w:sz w:val="20"/>
                <w:szCs w:val="20"/>
                <w:lang w:eastAsia="en-GB"/>
              </w:rPr>
              <w:t>Augmentation Index</w:t>
            </w:r>
          </w:p>
        </w:tc>
      </w:tr>
      <w:tr w:rsidR="007F7B53" w:rsidRPr="00A53EA6" w:rsidTr="00D53AA1">
        <w:trPr>
          <w:trHeight w:val="300"/>
        </w:trPr>
        <w:tc>
          <w:tcPr>
            <w:tcW w:w="159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53" w:rsidRPr="00F81222" w:rsidRDefault="007F7B53" w:rsidP="00F81222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F81222">
              <w:rPr>
                <w:color w:val="000000"/>
                <w:sz w:val="20"/>
                <w:szCs w:val="20"/>
              </w:rPr>
              <w:t>GG (Yes)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7B53" w:rsidRPr="00F81222" w:rsidRDefault="007F7B53" w:rsidP="00F81222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81222">
              <w:rPr>
                <w:color w:val="000000"/>
                <w:sz w:val="20"/>
                <w:szCs w:val="20"/>
              </w:rPr>
              <w:t>0.91 (-2.59, 4.40)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7F7B53" w:rsidRPr="00F81222" w:rsidRDefault="007F7B53" w:rsidP="00F81222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81222">
              <w:rPr>
                <w:color w:val="000000"/>
                <w:sz w:val="20"/>
                <w:szCs w:val="20"/>
              </w:rPr>
              <w:t>0.609</w:t>
            </w:r>
          </w:p>
        </w:tc>
        <w:tc>
          <w:tcPr>
            <w:tcW w:w="2556" w:type="dxa"/>
            <w:tcBorders>
              <w:top w:val="single" w:sz="4" w:space="0" w:color="auto"/>
              <w:left w:val="double" w:sz="4" w:space="0" w:color="auto"/>
              <w:right w:val="nil"/>
            </w:tcBorders>
            <w:vAlign w:val="center"/>
          </w:tcPr>
          <w:p w:rsidR="007F7B53" w:rsidRPr="00F81222" w:rsidRDefault="007F7B53" w:rsidP="00F81222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81222">
              <w:rPr>
                <w:color w:val="000000"/>
                <w:sz w:val="20"/>
                <w:szCs w:val="20"/>
              </w:rPr>
              <w:t>0.14 (-3.02, 3.30)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</w:tcBorders>
            <w:vAlign w:val="center"/>
          </w:tcPr>
          <w:p w:rsidR="007F7B53" w:rsidRPr="00F81222" w:rsidRDefault="007F7B53" w:rsidP="00F81222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81222">
              <w:rPr>
                <w:color w:val="000000"/>
                <w:sz w:val="20"/>
                <w:szCs w:val="20"/>
              </w:rPr>
              <w:t>0.928</w:t>
            </w:r>
          </w:p>
        </w:tc>
      </w:tr>
      <w:tr w:rsidR="007F7B53" w:rsidRPr="00A53EA6" w:rsidTr="00D53AA1">
        <w:trPr>
          <w:trHeight w:val="300"/>
        </w:trPr>
        <w:tc>
          <w:tcPr>
            <w:tcW w:w="159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7B53" w:rsidRPr="00F81222" w:rsidRDefault="007F7B53" w:rsidP="00F81222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F81222">
              <w:rPr>
                <w:color w:val="000000"/>
                <w:sz w:val="20"/>
                <w:szCs w:val="20"/>
              </w:rPr>
              <w:t>Age</w:t>
            </w:r>
          </w:p>
        </w:tc>
        <w:tc>
          <w:tcPr>
            <w:tcW w:w="2727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7B53" w:rsidRPr="00F81222" w:rsidRDefault="007F7B53" w:rsidP="00F81222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81222">
              <w:rPr>
                <w:color w:val="000000"/>
                <w:sz w:val="20"/>
                <w:szCs w:val="20"/>
              </w:rPr>
              <w:t>0.27 (0.14, 0.41)</w:t>
            </w:r>
          </w:p>
        </w:tc>
        <w:tc>
          <w:tcPr>
            <w:tcW w:w="1031" w:type="dxa"/>
            <w:tcBorders>
              <w:left w:val="nil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7F7B53" w:rsidRPr="00F81222" w:rsidRDefault="00D53AA1" w:rsidP="00F81222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2556" w:type="dxa"/>
            <w:tcBorders>
              <w:left w:val="double" w:sz="4" w:space="0" w:color="auto"/>
              <w:right w:val="nil"/>
            </w:tcBorders>
            <w:vAlign w:val="center"/>
          </w:tcPr>
          <w:p w:rsidR="007F7B53" w:rsidRPr="00F81222" w:rsidRDefault="007F7B53" w:rsidP="00F81222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81222">
              <w:rPr>
                <w:color w:val="000000"/>
                <w:sz w:val="20"/>
                <w:szCs w:val="20"/>
              </w:rPr>
              <w:t>0.41 (0.28, 0.54)</w:t>
            </w:r>
          </w:p>
        </w:tc>
        <w:tc>
          <w:tcPr>
            <w:tcW w:w="838" w:type="dxa"/>
            <w:tcBorders>
              <w:left w:val="nil"/>
            </w:tcBorders>
            <w:vAlign w:val="center"/>
          </w:tcPr>
          <w:p w:rsidR="007F7B53" w:rsidRPr="00F81222" w:rsidRDefault="00D53AA1" w:rsidP="00F81222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&lt;0.001</w:t>
            </w:r>
          </w:p>
        </w:tc>
      </w:tr>
      <w:tr w:rsidR="007F7B53" w:rsidRPr="00A53EA6" w:rsidTr="00D53AA1">
        <w:trPr>
          <w:trHeight w:val="300"/>
        </w:trPr>
        <w:tc>
          <w:tcPr>
            <w:tcW w:w="159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7B53" w:rsidRPr="00F81222" w:rsidRDefault="007F7B53" w:rsidP="00F81222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F81222">
              <w:rPr>
                <w:color w:val="000000"/>
                <w:sz w:val="20"/>
                <w:szCs w:val="20"/>
              </w:rPr>
              <w:t>Gender (Female)</w:t>
            </w:r>
          </w:p>
        </w:tc>
        <w:tc>
          <w:tcPr>
            <w:tcW w:w="2727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7B53" w:rsidRPr="00F81222" w:rsidRDefault="007F7B53" w:rsidP="00F81222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81222">
              <w:rPr>
                <w:color w:val="000000"/>
                <w:sz w:val="20"/>
                <w:szCs w:val="20"/>
              </w:rPr>
              <w:t>6.13 (2.79, 9.48)</w:t>
            </w:r>
          </w:p>
        </w:tc>
        <w:tc>
          <w:tcPr>
            <w:tcW w:w="1031" w:type="dxa"/>
            <w:tcBorders>
              <w:left w:val="nil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7F7B53" w:rsidRPr="00F81222" w:rsidRDefault="00D53AA1" w:rsidP="00F81222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2556" w:type="dxa"/>
            <w:tcBorders>
              <w:left w:val="double" w:sz="4" w:space="0" w:color="auto"/>
              <w:right w:val="nil"/>
            </w:tcBorders>
            <w:vAlign w:val="center"/>
          </w:tcPr>
          <w:p w:rsidR="007F7B53" w:rsidRPr="00F81222" w:rsidRDefault="007F7B53" w:rsidP="00F81222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81222">
              <w:rPr>
                <w:color w:val="000000"/>
                <w:sz w:val="20"/>
                <w:szCs w:val="20"/>
              </w:rPr>
              <w:t>9.40 (6.16, 12.64)</w:t>
            </w:r>
          </w:p>
        </w:tc>
        <w:tc>
          <w:tcPr>
            <w:tcW w:w="838" w:type="dxa"/>
            <w:tcBorders>
              <w:left w:val="nil"/>
            </w:tcBorders>
            <w:vAlign w:val="center"/>
          </w:tcPr>
          <w:p w:rsidR="007F7B53" w:rsidRPr="00F81222" w:rsidRDefault="00D53AA1" w:rsidP="00F81222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&lt;0.001</w:t>
            </w:r>
          </w:p>
        </w:tc>
      </w:tr>
      <w:tr w:rsidR="007F7B53" w:rsidRPr="00A53EA6" w:rsidTr="00D53AA1">
        <w:trPr>
          <w:trHeight w:val="300"/>
        </w:trPr>
        <w:tc>
          <w:tcPr>
            <w:tcW w:w="159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7B53" w:rsidRPr="00F81222" w:rsidRDefault="007F7B53" w:rsidP="00F81222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F81222">
              <w:rPr>
                <w:color w:val="000000"/>
                <w:sz w:val="20"/>
                <w:szCs w:val="20"/>
              </w:rPr>
              <w:t>eGFR</w:t>
            </w:r>
          </w:p>
        </w:tc>
        <w:tc>
          <w:tcPr>
            <w:tcW w:w="2727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7B53" w:rsidRPr="00F81222" w:rsidRDefault="007F7B53" w:rsidP="00F81222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81222">
              <w:rPr>
                <w:color w:val="000000"/>
                <w:sz w:val="20"/>
                <w:szCs w:val="20"/>
              </w:rPr>
              <w:t>0.00 (-0.10, 0.11)</w:t>
            </w:r>
          </w:p>
        </w:tc>
        <w:tc>
          <w:tcPr>
            <w:tcW w:w="1031" w:type="dxa"/>
            <w:tcBorders>
              <w:left w:val="nil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7F7B53" w:rsidRPr="00F81222" w:rsidRDefault="007F7B53" w:rsidP="00F81222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81222">
              <w:rPr>
                <w:color w:val="000000"/>
                <w:sz w:val="20"/>
                <w:szCs w:val="20"/>
              </w:rPr>
              <w:t>0.936</w:t>
            </w:r>
          </w:p>
        </w:tc>
        <w:tc>
          <w:tcPr>
            <w:tcW w:w="2556" w:type="dxa"/>
            <w:tcBorders>
              <w:left w:val="double" w:sz="4" w:space="0" w:color="auto"/>
              <w:right w:val="nil"/>
            </w:tcBorders>
            <w:vAlign w:val="center"/>
          </w:tcPr>
          <w:p w:rsidR="007F7B53" w:rsidRPr="00F81222" w:rsidRDefault="007F7B53" w:rsidP="00F81222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81222">
              <w:rPr>
                <w:color w:val="000000"/>
                <w:sz w:val="20"/>
                <w:szCs w:val="20"/>
              </w:rPr>
              <w:t>0.03 (-0.07, 0.12)</w:t>
            </w:r>
          </w:p>
        </w:tc>
        <w:tc>
          <w:tcPr>
            <w:tcW w:w="838" w:type="dxa"/>
            <w:tcBorders>
              <w:left w:val="nil"/>
            </w:tcBorders>
            <w:vAlign w:val="center"/>
          </w:tcPr>
          <w:p w:rsidR="007F7B53" w:rsidRPr="00F81222" w:rsidRDefault="007F7B53" w:rsidP="00F81222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81222">
              <w:rPr>
                <w:color w:val="000000"/>
                <w:sz w:val="20"/>
                <w:szCs w:val="20"/>
              </w:rPr>
              <w:t>0.555</w:t>
            </w:r>
          </w:p>
        </w:tc>
      </w:tr>
      <w:tr w:rsidR="007F7B53" w:rsidRPr="00A53EA6" w:rsidTr="00D53AA1">
        <w:trPr>
          <w:trHeight w:val="300"/>
        </w:trPr>
        <w:tc>
          <w:tcPr>
            <w:tcW w:w="1599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53" w:rsidRPr="00F81222" w:rsidRDefault="007F7B53" w:rsidP="00F81222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F81222">
              <w:rPr>
                <w:color w:val="000000"/>
                <w:sz w:val="20"/>
                <w:szCs w:val="20"/>
              </w:rPr>
              <w:t>BMAP</w:t>
            </w:r>
          </w:p>
        </w:tc>
        <w:tc>
          <w:tcPr>
            <w:tcW w:w="2727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7B53" w:rsidRPr="00F81222" w:rsidRDefault="007F7B53" w:rsidP="00F81222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81222">
              <w:rPr>
                <w:color w:val="000000"/>
                <w:sz w:val="20"/>
                <w:szCs w:val="20"/>
              </w:rPr>
              <w:t>0.19 (0.04, 0.34)</w:t>
            </w:r>
          </w:p>
        </w:tc>
        <w:tc>
          <w:tcPr>
            <w:tcW w:w="1031" w:type="dxa"/>
            <w:tcBorders>
              <w:left w:val="nil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7F7B53" w:rsidRPr="00F81222" w:rsidRDefault="00D53AA1" w:rsidP="00F81222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0.013</w:t>
            </w:r>
          </w:p>
        </w:tc>
        <w:tc>
          <w:tcPr>
            <w:tcW w:w="2556" w:type="dxa"/>
            <w:tcBorders>
              <w:left w:val="double" w:sz="4" w:space="0" w:color="auto"/>
              <w:right w:val="nil"/>
            </w:tcBorders>
            <w:vAlign w:val="center"/>
          </w:tcPr>
          <w:p w:rsidR="007F7B53" w:rsidRPr="00F81222" w:rsidRDefault="007F7B53" w:rsidP="00F81222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81222">
              <w:rPr>
                <w:color w:val="000000"/>
                <w:sz w:val="20"/>
                <w:szCs w:val="20"/>
              </w:rPr>
              <w:t>0.22 (0.08, 0.35)</w:t>
            </w:r>
          </w:p>
        </w:tc>
        <w:tc>
          <w:tcPr>
            <w:tcW w:w="838" w:type="dxa"/>
            <w:tcBorders>
              <w:left w:val="nil"/>
            </w:tcBorders>
            <w:vAlign w:val="center"/>
          </w:tcPr>
          <w:p w:rsidR="007F7B53" w:rsidRPr="00F81222" w:rsidRDefault="00D53AA1" w:rsidP="00F81222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0.002</w:t>
            </w:r>
          </w:p>
        </w:tc>
      </w:tr>
      <w:tr w:rsidR="007F7B53" w:rsidRPr="00A53EA6" w:rsidTr="00D53AA1">
        <w:trPr>
          <w:trHeight w:val="300"/>
        </w:trPr>
        <w:tc>
          <w:tcPr>
            <w:tcW w:w="1599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53" w:rsidRPr="00F81222" w:rsidRDefault="007F7B53" w:rsidP="00F81222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F81222">
              <w:rPr>
                <w:color w:val="000000"/>
                <w:sz w:val="20"/>
                <w:szCs w:val="20"/>
              </w:rPr>
              <w:t>Total Cholesterol</w:t>
            </w:r>
          </w:p>
        </w:tc>
        <w:tc>
          <w:tcPr>
            <w:tcW w:w="2727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7B53" w:rsidRPr="00F81222" w:rsidRDefault="007F7B53" w:rsidP="00F81222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81222">
              <w:rPr>
                <w:color w:val="000000"/>
                <w:sz w:val="20"/>
                <w:szCs w:val="20"/>
              </w:rPr>
              <w:t>-0.61 (-2.41, 1.20)</w:t>
            </w:r>
          </w:p>
        </w:tc>
        <w:tc>
          <w:tcPr>
            <w:tcW w:w="1031" w:type="dxa"/>
            <w:tcBorders>
              <w:left w:val="nil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7F7B53" w:rsidRPr="00F81222" w:rsidRDefault="007F7B53" w:rsidP="00F81222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81222">
              <w:rPr>
                <w:color w:val="000000"/>
                <w:sz w:val="20"/>
                <w:szCs w:val="20"/>
              </w:rPr>
              <w:t>0.508</w:t>
            </w:r>
          </w:p>
        </w:tc>
        <w:tc>
          <w:tcPr>
            <w:tcW w:w="2556" w:type="dxa"/>
            <w:tcBorders>
              <w:left w:val="double" w:sz="4" w:space="0" w:color="auto"/>
              <w:right w:val="nil"/>
            </w:tcBorders>
            <w:vAlign w:val="center"/>
          </w:tcPr>
          <w:p w:rsidR="007F7B53" w:rsidRPr="00F81222" w:rsidRDefault="007F7B53" w:rsidP="00F81222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81222">
              <w:rPr>
                <w:color w:val="000000"/>
                <w:sz w:val="20"/>
                <w:szCs w:val="20"/>
              </w:rPr>
              <w:t>-0.31 (-2.08, 1.46)</w:t>
            </w:r>
          </w:p>
        </w:tc>
        <w:tc>
          <w:tcPr>
            <w:tcW w:w="838" w:type="dxa"/>
            <w:tcBorders>
              <w:left w:val="nil"/>
            </w:tcBorders>
            <w:vAlign w:val="center"/>
          </w:tcPr>
          <w:p w:rsidR="007F7B53" w:rsidRPr="00F81222" w:rsidRDefault="007F7B53" w:rsidP="00F81222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81222">
              <w:rPr>
                <w:color w:val="000000"/>
                <w:sz w:val="20"/>
                <w:szCs w:val="20"/>
              </w:rPr>
              <w:t>0.725</w:t>
            </w:r>
          </w:p>
        </w:tc>
      </w:tr>
      <w:tr w:rsidR="007F7B53" w:rsidRPr="00A53EA6" w:rsidTr="00D53AA1">
        <w:trPr>
          <w:trHeight w:val="300"/>
        </w:trPr>
        <w:tc>
          <w:tcPr>
            <w:tcW w:w="1599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53" w:rsidRPr="00F81222" w:rsidRDefault="007F7B53" w:rsidP="00F81222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F81222">
              <w:rPr>
                <w:color w:val="000000"/>
                <w:sz w:val="20"/>
                <w:szCs w:val="20"/>
              </w:rPr>
              <w:t>Log</w:t>
            </w:r>
            <w:r w:rsidRPr="00F81222">
              <w:rPr>
                <w:color w:val="000000"/>
                <w:sz w:val="20"/>
                <w:szCs w:val="20"/>
                <w:vertAlign w:val="subscript"/>
              </w:rPr>
              <w:t>2</w:t>
            </w:r>
            <w:r w:rsidRPr="00F81222">
              <w:rPr>
                <w:color w:val="000000"/>
                <w:sz w:val="20"/>
                <w:szCs w:val="20"/>
              </w:rPr>
              <w:t>CRP</w:t>
            </w:r>
            <w:r w:rsidRPr="00F81222">
              <w:rPr>
                <w:color w:val="000000"/>
                <w:sz w:val="20"/>
                <w:szCs w:val="20"/>
                <w:vertAlign w:val="superscript"/>
              </w:rPr>
              <w:t>‡</w:t>
            </w:r>
          </w:p>
        </w:tc>
        <w:tc>
          <w:tcPr>
            <w:tcW w:w="2727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7B53" w:rsidRPr="00F81222" w:rsidRDefault="007F7B53" w:rsidP="00F81222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81222">
              <w:rPr>
                <w:color w:val="000000"/>
                <w:sz w:val="20"/>
                <w:szCs w:val="20"/>
              </w:rPr>
              <w:t>0.01 (-0.97, 0.99)</w:t>
            </w:r>
          </w:p>
        </w:tc>
        <w:tc>
          <w:tcPr>
            <w:tcW w:w="1031" w:type="dxa"/>
            <w:tcBorders>
              <w:left w:val="nil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7F7B53" w:rsidRPr="00F81222" w:rsidRDefault="007F7B53" w:rsidP="00F81222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81222">
              <w:rPr>
                <w:color w:val="000000"/>
                <w:sz w:val="20"/>
                <w:szCs w:val="20"/>
              </w:rPr>
              <w:t>0.982</w:t>
            </w:r>
          </w:p>
        </w:tc>
        <w:tc>
          <w:tcPr>
            <w:tcW w:w="2556" w:type="dxa"/>
            <w:tcBorders>
              <w:left w:val="double" w:sz="4" w:space="0" w:color="auto"/>
              <w:right w:val="nil"/>
            </w:tcBorders>
            <w:vAlign w:val="center"/>
          </w:tcPr>
          <w:p w:rsidR="007F7B53" w:rsidRPr="00F81222" w:rsidRDefault="007F7B53" w:rsidP="00F81222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81222">
              <w:rPr>
                <w:color w:val="000000"/>
                <w:sz w:val="20"/>
                <w:szCs w:val="20"/>
              </w:rPr>
              <w:t>-0.13 (-1.00, 0.74)</w:t>
            </w:r>
          </w:p>
        </w:tc>
        <w:tc>
          <w:tcPr>
            <w:tcW w:w="838" w:type="dxa"/>
            <w:tcBorders>
              <w:left w:val="nil"/>
            </w:tcBorders>
            <w:vAlign w:val="center"/>
          </w:tcPr>
          <w:p w:rsidR="007F7B53" w:rsidRPr="00F81222" w:rsidRDefault="007F7B53" w:rsidP="00F81222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81222">
              <w:rPr>
                <w:color w:val="000000"/>
                <w:sz w:val="20"/>
                <w:szCs w:val="20"/>
              </w:rPr>
              <w:t>0.774</w:t>
            </w:r>
          </w:p>
        </w:tc>
      </w:tr>
      <w:tr w:rsidR="007F7B53" w:rsidRPr="00A53EA6" w:rsidTr="00D53AA1">
        <w:trPr>
          <w:trHeight w:val="300"/>
        </w:trPr>
        <w:tc>
          <w:tcPr>
            <w:tcW w:w="1599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53" w:rsidRPr="00F81222" w:rsidRDefault="007F7B53" w:rsidP="00F81222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F81222">
              <w:rPr>
                <w:color w:val="000000"/>
                <w:sz w:val="20"/>
                <w:szCs w:val="20"/>
              </w:rPr>
              <w:t>BMI</w:t>
            </w:r>
          </w:p>
        </w:tc>
        <w:tc>
          <w:tcPr>
            <w:tcW w:w="2727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7B53" w:rsidRPr="00F81222" w:rsidRDefault="007F7B53" w:rsidP="00F81222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81222">
              <w:rPr>
                <w:color w:val="000000"/>
                <w:sz w:val="20"/>
                <w:szCs w:val="20"/>
              </w:rPr>
              <w:t>0.00 (-0.36, 0.36)</w:t>
            </w:r>
          </w:p>
        </w:tc>
        <w:tc>
          <w:tcPr>
            <w:tcW w:w="1031" w:type="dxa"/>
            <w:tcBorders>
              <w:left w:val="nil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7F7B53" w:rsidRPr="00F81222" w:rsidRDefault="007F7B53" w:rsidP="00F81222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81222">
              <w:rPr>
                <w:color w:val="000000"/>
                <w:sz w:val="20"/>
                <w:szCs w:val="20"/>
              </w:rPr>
              <w:t>0.988</w:t>
            </w:r>
          </w:p>
        </w:tc>
        <w:tc>
          <w:tcPr>
            <w:tcW w:w="2556" w:type="dxa"/>
            <w:tcBorders>
              <w:left w:val="double" w:sz="4" w:space="0" w:color="auto"/>
              <w:right w:val="nil"/>
            </w:tcBorders>
            <w:vAlign w:val="center"/>
          </w:tcPr>
          <w:p w:rsidR="007F7B53" w:rsidRPr="00F81222" w:rsidRDefault="007F7B53" w:rsidP="00F81222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81222">
              <w:rPr>
                <w:color w:val="000000"/>
                <w:sz w:val="20"/>
                <w:szCs w:val="20"/>
              </w:rPr>
              <w:t>-0.18 (-0.52, 0.16)</w:t>
            </w:r>
          </w:p>
        </w:tc>
        <w:tc>
          <w:tcPr>
            <w:tcW w:w="838" w:type="dxa"/>
            <w:tcBorders>
              <w:left w:val="nil"/>
            </w:tcBorders>
            <w:vAlign w:val="center"/>
          </w:tcPr>
          <w:p w:rsidR="007F7B53" w:rsidRPr="00F81222" w:rsidRDefault="007F7B53" w:rsidP="00F81222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81222">
              <w:rPr>
                <w:color w:val="000000"/>
                <w:sz w:val="20"/>
                <w:szCs w:val="20"/>
              </w:rPr>
              <w:t>0.303</w:t>
            </w:r>
          </w:p>
        </w:tc>
      </w:tr>
      <w:tr w:rsidR="007F7B53" w:rsidRPr="00A53EA6" w:rsidTr="00D53AA1">
        <w:trPr>
          <w:trHeight w:val="300"/>
        </w:trPr>
        <w:tc>
          <w:tcPr>
            <w:tcW w:w="1599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53" w:rsidRPr="00F81222" w:rsidRDefault="007F7B53" w:rsidP="00F81222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F81222">
              <w:rPr>
                <w:color w:val="000000"/>
                <w:sz w:val="20"/>
                <w:szCs w:val="20"/>
              </w:rPr>
              <w:t>CMR HR</w:t>
            </w:r>
          </w:p>
        </w:tc>
        <w:tc>
          <w:tcPr>
            <w:tcW w:w="2727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7B53" w:rsidRPr="00F81222" w:rsidRDefault="007F7B53" w:rsidP="00F81222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81222">
              <w:rPr>
                <w:color w:val="000000"/>
                <w:sz w:val="20"/>
                <w:szCs w:val="20"/>
              </w:rPr>
              <w:t>-0.11 (-0.25, 0.02)</w:t>
            </w:r>
          </w:p>
        </w:tc>
        <w:tc>
          <w:tcPr>
            <w:tcW w:w="1031" w:type="dxa"/>
            <w:tcBorders>
              <w:left w:val="nil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7F7B53" w:rsidRPr="00F81222" w:rsidRDefault="007F7B53" w:rsidP="00F81222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81222">
              <w:rPr>
                <w:color w:val="000000"/>
                <w:sz w:val="20"/>
                <w:szCs w:val="20"/>
              </w:rPr>
              <w:t>0.104</w:t>
            </w:r>
          </w:p>
        </w:tc>
        <w:tc>
          <w:tcPr>
            <w:tcW w:w="2556" w:type="dxa"/>
            <w:tcBorders>
              <w:left w:val="double" w:sz="4" w:space="0" w:color="auto"/>
              <w:right w:val="nil"/>
            </w:tcBorders>
            <w:vAlign w:val="center"/>
          </w:tcPr>
          <w:p w:rsidR="007F7B53" w:rsidRPr="00F81222" w:rsidRDefault="007F7B53" w:rsidP="00F81222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81222">
              <w:rPr>
                <w:color w:val="000000"/>
                <w:sz w:val="20"/>
                <w:szCs w:val="20"/>
              </w:rPr>
              <w:t>-0.10 (-0.23, 0.04)</w:t>
            </w:r>
          </w:p>
        </w:tc>
        <w:tc>
          <w:tcPr>
            <w:tcW w:w="838" w:type="dxa"/>
            <w:tcBorders>
              <w:left w:val="nil"/>
            </w:tcBorders>
            <w:vAlign w:val="center"/>
          </w:tcPr>
          <w:p w:rsidR="007F7B53" w:rsidRPr="00F81222" w:rsidRDefault="007F7B53" w:rsidP="00F81222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81222">
              <w:rPr>
                <w:color w:val="000000"/>
                <w:sz w:val="20"/>
                <w:szCs w:val="20"/>
              </w:rPr>
              <w:t>0.165</w:t>
            </w:r>
          </w:p>
        </w:tc>
      </w:tr>
      <w:tr w:rsidR="00194889" w:rsidRPr="00A53EA6" w:rsidTr="00D53AA1">
        <w:trPr>
          <w:trHeight w:val="300"/>
        </w:trPr>
        <w:tc>
          <w:tcPr>
            <w:tcW w:w="875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889" w:rsidRPr="00F81222" w:rsidRDefault="007F7B53" w:rsidP="00F81222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F81222">
              <w:rPr>
                <w:rFonts w:eastAsia="Times New Roman" w:cs="Arial"/>
                <w:b/>
                <w:bCs/>
                <w:i/>
                <w:iCs/>
                <w:sz w:val="20"/>
                <w:szCs w:val="20"/>
                <w:lang w:eastAsia="en-GB"/>
              </w:rPr>
              <w:t>Ascending Aortic Distensibility</w:t>
            </w:r>
            <w:r w:rsidR="00194889" w:rsidRPr="00F81222">
              <w:rPr>
                <w:rFonts w:eastAsia="Times New Roman" w:cs="Arial"/>
                <w:b/>
                <w:bCs/>
                <w:i/>
                <w:iCs/>
                <w:sz w:val="20"/>
                <w:szCs w:val="20"/>
                <w:vertAlign w:val="superscript"/>
                <w:lang w:eastAsia="en-GB"/>
              </w:rPr>
              <w:t>#</w:t>
            </w:r>
          </w:p>
        </w:tc>
      </w:tr>
      <w:tr w:rsidR="007F7B53" w:rsidRPr="00A53EA6" w:rsidTr="00D53AA1">
        <w:trPr>
          <w:trHeight w:val="300"/>
        </w:trPr>
        <w:tc>
          <w:tcPr>
            <w:tcW w:w="159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53" w:rsidRPr="00F81222" w:rsidRDefault="007F7B53" w:rsidP="00F81222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F81222">
              <w:rPr>
                <w:color w:val="000000"/>
                <w:sz w:val="20"/>
                <w:szCs w:val="20"/>
              </w:rPr>
              <w:t>GG (Yes)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7B53" w:rsidRPr="00F81222" w:rsidRDefault="007F7B53" w:rsidP="00F81222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81222">
              <w:rPr>
                <w:color w:val="000000"/>
                <w:sz w:val="20"/>
                <w:szCs w:val="20"/>
              </w:rPr>
              <w:t>1.9% (-24.7%, 38.0%)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7F7B53" w:rsidRPr="00F81222" w:rsidRDefault="007F7B53" w:rsidP="00F81222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81222">
              <w:rPr>
                <w:color w:val="000000"/>
                <w:sz w:val="20"/>
                <w:szCs w:val="20"/>
              </w:rPr>
              <w:t>0.900</w:t>
            </w:r>
          </w:p>
        </w:tc>
        <w:tc>
          <w:tcPr>
            <w:tcW w:w="2556" w:type="dxa"/>
            <w:tcBorders>
              <w:top w:val="single" w:sz="4" w:space="0" w:color="auto"/>
              <w:left w:val="double" w:sz="4" w:space="0" w:color="auto"/>
              <w:right w:val="nil"/>
            </w:tcBorders>
            <w:vAlign w:val="center"/>
          </w:tcPr>
          <w:p w:rsidR="007F7B53" w:rsidRPr="00F81222" w:rsidRDefault="007F7B53" w:rsidP="00F81222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81222">
              <w:rPr>
                <w:color w:val="000000"/>
                <w:sz w:val="20"/>
                <w:szCs w:val="20"/>
              </w:rPr>
              <w:t>-7.4% (-26.7%, 17.0%)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</w:tcBorders>
            <w:vAlign w:val="center"/>
          </w:tcPr>
          <w:p w:rsidR="007F7B53" w:rsidRPr="00F81222" w:rsidRDefault="007F7B53" w:rsidP="00F81222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81222">
              <w:rPr>
                <w:color w:val="000000"/>
                <w:sz w:val="20"/>
                <w:szCs w:val="20"/>
              </w:rPr>
              <w:t>0.515</w:t>
            </w:r>
          </w:p>
        </w:tc>
      </w:tr>
      <w:tr w:rsidR="007F7B53" w:rsidRPr="00A53EA6" w:rsidTr="00D53AA1">
        <w:trPr>
          <w:trHeight w:val="300"/>
        </w:trPr>
        <w:tc>
          <w:tcPr>
            <w:tcW w:w="159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7B53" w:rsidRPr="00F81222" w:rsidRDefault="007F7B53" w:rsidP="00F81222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F81222">
              <w:rPr>
                <w:color w:val="000000"/>
                <w:sz w:val="20"/>
                <w:szCs w:val="20"/>
              </w:rPr>
              <w:t>Age</w:t>
            </w:r>
          </w:p>
        </w:tc>
        <w:tc>
          <w:tcPr>
            <w:tcW w:w="2727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7B53" w:rsidRPr="00F81222" w:rsidRDefault="007F7B53" w:rsidP="00F81222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81222">
              <w:rPr>
                <w:color w:val="000000"/>
                <w:sz w:val="20"/>
                <w:szCs w:val="20"/>
              </w:rPr>
              <w:t>-4.5% (-5.3%, -3.6%)</w:t>
            </w:r>
          </w:p>
        </w:tc>
        <w:tc>
          <w:tcPr>
            <w:tcW w:w="1031" w:type="dxa"/>
            <w:tcBorders>
              <w:left w:val="nil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7F7B53" w:rsidRPr="00F81222" w:rsidRDefault="00D53AA1" w:rsidP="00F81222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2556" w:type="dxa"/>
            <w:tcBorders>
              <w:left w:val="double" w:sz="4" w:space="0" w:color="auto"/>
              <w:right w:val="nil"/>
            </w:tcBorders>
            <w:vAlign w:val="center"/>
          </w:tcPr>
          <w:p w:rsidR="007F7B53" w:rsidRPr="00F81222" w:rsidRDefault="007F7B53" w:rsidP="00F81222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81222">
              <w:rPr>
                <w:color w:val="000000"/>
                <w:sz w:val="20"/>
                <w:szCs w:val="20"/>
              </w:rPr>
              <w:t>-4.8% (-5.7%, -3.9%)</w:t>
            </w:r>
          </w:p>
        </w:tc>
        <w:tc>
          <w:tcPr>
            <w:tcW w:w="838" w:type="dxa"/>
            <w:tcBorders>
              <w:left w:val="nil"/>
            </w:tcBorders>
            <w:vAlign w:val="center"/>
          </w:tcPr>
          <w:p w:rsidR="007F7B53" w:rsidRPr="00F81222" w:rsidRDefault="00D53AA1" w:rsidP="00F81222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&lt;0.001</w:t>
            </w:r>
          </w:p>
        </w:tc>
      </w:tr>
      <w:tr w:rsidR="007F7B53" w:rsidRPr="00A53EA6" w:rsidTr="00D53AA1">
        <w:trPr>
          <w:trHeight w:val="300"/>
        </w:trPr>
        <w:tc>
          <w:tcPr>
            <w:tcW w:w="159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7B53" w:rsidRPr="00F81222" w:rsidRDefault="007F7B53" w:rsidP="00F81222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F81222">
              <w:rPr>
                <w:color w:val="000000"/>
                <w:sz w:val="20"/>
                <w:szCs w:val="20"/>
              </w:rPr>
              <w:t>Gender (Female)</w:t>
            </w:r>
          </w:p>
        </w:tc>
        <w:tc>
          <w:tcPr>
            <w:tcW w:w="2727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7B53" w:rsidRPr="00F81222" w:rsidRDefault="007F7B53" w:rsidP="00F81222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81222">
              <w:rPr>
                <w:color w:val="000000"/>
                <w:sz w:val="20"/>
                <w:szCs w:val="20"/>
              </w:rPr>
              <w:t>15.8% (-14.4%, 56.6%)</w:t>
            </w:r>
          </w:p>
        </w:tc>
        <w:tc>
          <w:tcPr>
            <w:tcW w:w="1031" w:type="dxa"/>
            <w:tcBorders>
              <w:left w:val="nil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7F7B53" w:rsidRPr="00F81222" w:rsidRDefault="007F7B53" w:rsidP="00F81222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81222">
              <w:rPr>
                <w:color w:val="000000"/>
                <w:sz w:val="20"/>
                <w:szCs w:val="20"/>
              </w:rPr>
              <w:t>0.339</w:t>
            </w:r>
          </w:p>
        </w:tc>
        <w:tc>
          <w:tcPr>
            <w:tcW w:w="2556" w:type="dxa"/>
            <w:tcBorders>
              <w:left w:val="double" w:sz="4" w:space="0" w:color="auto"/>
              <w:right w:val="nil"/>
            </w:tcBorders>
            <w:vAlign w:val="center"/>
          </w:tcPr>
          <w:p w:rsidR="007F7B53" w:rsidRPr="00F81222" w:rsidRDefault="007F7B53" w:rsidP="00F81222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81222">
              <w:rPr>
                <w:color w:val="000000"/>
                <w:sz w:val="20"/>
                <w:szCs w:val="20"/>
              </w:rPr>
              <w:t>-10.3% (-29.2%, 13.5%)</w:t>
            </w:r>
          </w:p>
        </w:tc>
        <w:tc>
          <w:tcPr>
            <w:tcW w:w="838" w:type="dxa"/>
            <w:tcBorders>
              <w:left w:val="nil"/>
            </w:tcBorders>
            <w:vAlign w:val="center"/>
          </w:tcPr>
          <w:p w:rsidR="007F7B53" w:rsidRPr="00F81222" w:rsidRDefault="007F7B53" w:rsidP="00F81222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81222">
              <w:rPr>
                <w:color w:val="000000"/>
                <w:sz w:val="20"/>
                <w:szCs w:val="20"/>
              </w:rPr>
              <w:t>0.360</w:t>
            </w:r>
          </w:p>
        </w:tc>
      </w:tr>
      <w:tr w:rsidR="007F7B53" w:rsidRPr="00A53EA6" w:rsidTr="00D53AA1">
        <w:trPr>
          <w:trHeight w:val="300"/>
        </w:trPr>
        <w:tc>
          <w:tcPr>
            <w:tcW w:w="159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7B53" w:rsidRPr="00F81222" w:rsidRDefault="007F7B53" w:rsidP="00F81222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F81222">
              <w:rPr>
                <w:color w:val="000000"/>
                <w:sz w:val="20"/>
                <w:szCs w:val="20"/>
              </w:rPr>
              <w:t>eGFR</w:t>
            </w:r>
          </w:p>
        </w:tc>
        <w:tc>
          <w:tcPr>
            <w:tcW w:w="2727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7B53" w:rsidRPr="00F81222" w:rsidRDefault="007F7B53" w:rsidP="00F81222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81222">
              <w:rPr>
                <w:color w:val="000000"/>
                <w:sz w:val="20"/>
                <w:szCs w:val="20"/>
              </w:rPr>
              <w:t>0.4% (-0.5%, 1.3%)</w:t>
            </w:r>
          </w:p>
        </w:tc>
        <w:tc>
          <w:tcPr>
            <w:tcW w:w="1031" w:type="dxa"/>
            <w:tcBorders>
              <w:left w:val="nil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7F7B53" w:rsidRPr="00F81222" w:rsidRDefault="007F7B53" w:rsidP="00F81222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81222">
              <w:rPr>
                <w:color w:val="000000"/>
                <w:sz w:val="20"/>
                <w:szCs w:val="20"/>
              </w:rPr>
              <w:t>0.414</w:t>
            </w:r>
          </w:p>
        </w:tc>
        <w:tc>
          <w:tcPr>
            <w:tcW w:w="2556" w:type="dxa"/>
            <w:tcBorders>
              <w:left w:val="double" w:sz="4" w:space="0" w:color="auto"/>
              <w:right w:val="nil"/>
            </w:tcBorders>
            <w:vAlign w:val="center"/>
          </w:tcPr>
          <w:p w:rsidR="007F7B53" w:rsidRPr="00F81222" w:rsidRDefault="007F7B53" w:rsidP="00F81222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81222">
              <w:rPr>
                <w:color w:val="000000"/>
                <w:sz w:val="20"/>
                <w:szCs w:val="20"/>
              </w:rPr>
              <w:t>0.0% (-0.7%, 0.6%)</w:t>
            </w:r>
          </w:p>
        </w:tc>
        <w:tc>
          <w:tcPr>
            <w:tcW w:w="838" w:type="dxa"/>
            <w:tcBorders>
              <w:left w:val="nil"/>
            </w:tcBorders>
            <w:vAlign w:val="center"/>
          </w:tcPr>
          <w:p w:rsidR="007F7B53" w:rsidRPr="00F81222" w:rsidRDefault="007F7B53" w:rsidP="00F81222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81222">
              <w:rPr>
                <w:color w:val="000000"/>
                <w:sz w:val="20"/>
                <w:szCs w:val="20"/>
              </w:rPr>
              <w:t>0.914</w:t>
            </w:r>
          </w:p>
        </w:tc>
      </w:tr>
      <w:tr w:rsidR="007F7B53" w:rsidRPr="00A53EA6" w:rsidTr="00D53AA1">
        <w:trPr>
          <w:trHeight w:val="300"/>
        </w:trPr>
        <w:tc>
          <w:tcPr>
            <w:tcW w:w="1599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53" w:rsidRPr="00F81222" w:rsidRDefault="007F7B53" w:rsidP="00F81222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F81222">
              <w:rPr>
                <w:color w:val="000000"/>
                <w:sz w:val="20"/>
                <w:szCs w:val="20"/>
              </w:rPr>
              <w:t>BMAP</w:t>
            </w:r>
          </w:p>
        </w:tc>
        <w:tc>
          <w:tcPr>
            <w:tcW w:w="2727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7B53" w:rsidRPr="00F81222" w:rsidRDefault="007F7B53" w:rsidP="00F81222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81222">
              <w:rPr>
                <w:color w:val="000000"/>
                <w:sz w:val="20"/>
                <w:szCs w:val="20"/>
              </w:rPr>
              <w:t>-0.8% (-2.1%, 0.6%)</w:t>
            </w:r>
          </w:p>
        </w:tc>
        <w:tc>
          <w:tcPr>
            <w:tcW w:w="1031" w:type="dxa"/>
            <w:tcBorders>
              <w:left w:val="nil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7F7B53" w:rsidRPr="00F81222" w:rsidRDefault="007F7B53" w:rsidP="00F81222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81222">
              <w:rPr>
                <w:color w:val="000000"/>
                <w:sz w:val="20"/>
                <w:szCs w:val="20"/>
              </w:rPr>
              <w:t>0.246</w:t>
            </w:r>
          </w:p>
        </w:tc>
        <w:tc>
          <w:tcPr>
            <w:tcW w:w="2556" w:type="dxa"/>
            <w:tcBorders>
              <w:left w:val="double" w:sz="4" w:space="0" w:color="auto"/>
              <w:right w:val="nil"/>
            </w:tcBorders>
            <w:vAlign w:val="center"/>
          </w:tcPr>
          <w:p w:rsidR="007F7B53" w:rsidRPr="00F81222" w:rsidRDefault="007F7B53" w:rsidP="00F81222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81222">
              <w:rPr>
                <w:color w:val="000000"/>
                <w:sz w:val="20"/>
                <w:szCs w:val="20"/>
              </w:rPr>
              <w:t>-0.9% (-1.9%, 0.1%)</w:t>
            </w:r>
          </w:p>
        </w:tc>
        <w:tc>
          <w:tcPr>
            <w:tcW w:w="838" w:type="dxa"/>
            <w:tcBorders>
              <w:left w:val="nil"/>
            </w:tcBorders>
            <w:vAlign w:val="center"/>
          </w:tcPr>
          <w:p w:rsidR="007F7B53" w:rsidRPr="00F81222" w:rsidRDefault="007F7B53" w:rsidP="00F81222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81222">
              <w:rPr>
                <w:color w:val="000000"/>
                <w:sz w:val="20"/>
                <w:szCs w:val="20"/>
              </w:rPr>
              <w:t>0.087</w:t>
            </w:r>
          </w:p>
        </w:tc>
      </w:tr>
      <w:tr w:rsidR="007F7B53" w:rsidRPr="00A53EA6" w:rsidTr="00D53AA1">
        <w:trPr>
          <w:trHeight w:val="300"/>
        </w:trPr>
        <w:tc>
          <w:tcPr>
            <w:tcW w:w="1599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53" w:rsidRPr="00F81222" w:rsidRDefault="007F7B53" w:rsidP="00F81222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F81222">
              <w:rPr>
                <w:color w:val="000000"/>
                <w:sz w:val="20"/>
                <w:szCs w:val="20"/>
              </w:rPr>
              <w:t>Total Cholesterol</w:t>
            </w:r>
          </w:p>
        </w:tc>
        <w:tc>
          <w:tcPr>
            <w:tcW w:w="2727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7B53" w:rsidRPr="00F81222" w:rsidRDefault="007F7B53" w:rsidP="00F81222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81222">
              <w:rPr>
                <w:color w:val="000000"/>
                <w:sz w:val="20"/>
                <w:szCs w:val="20"/>
              </w:rPr>
              <w:t>4.7% (-10.3%, 22.2%)</w:t>
            </w:r>
          </w:p>
        </w:tc>
        <w:tc>
          <w:tcPr>
            <w:tcW w:w="1031" w:type="dxa"/>
            <w:tcBorders>
              <w:left w:val="nil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7F7B53" w:rsidRPr="00F81222" w:rsidRDefault="007F7B53" w:rsidP="00F81222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81222">
              <w:rPr>
                <w:color w:val="000000"/>
                <w:sz w:val="20"/>
                <w:szCs w:val="20"/>
              </w:rPr>
              <w:t>0.556</w:t>
            </w:r>
          </w:p>
        </w:tc>
        <w:tc>
          <w:tcPr>
            <w:tcW w:w="2556" w:type="dxa"/>
            <w:tcBorders>
              <w:left w:val="double" w:sz="4" w:space="0" w:color="auto"/>
              <w:right w:val="nil"/>
            </w:tcBorders>
            <w:vAlign w:val="center"/>
          </w:tcPr>
          <w:p w:rsidR="007F7B53" w:rsidRPr="00F81222" w:rsidRDefault="007F7B53" w:rsidP="00F81222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81222">
              <w:rPr>
                <w:color w:val="000000"/>
                <w:sz w:val="20"/>
                <w:szCs w:val="20"/>
              </w:rPr>
              <w:t>2.5% (-10.1%, 16.9%)</w:t>
            </w:r>
          </w:p>
        </w:tc>
        <w:tc>
          <w:tcPr>
            <w:tcW w:w="838" w:type="dxa"/>
            <w:tcBorders>
              <w:left w:val="nil"/>
            </w:tcBorders>
            <w:vAlign w:val="center"/>
          </w:tcPr>
          <w:p w:rsidR="007F7B53" w:rsidRPr="00F81222" w:rsidRDefault="007F7B53" w:rsidP="00F81222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81222">
              <w:rPr>
                <w:color w:val="000000"/>
                <w:sz w:val="20"/>
                <w:szCs w:val="20"/>
              </w:rPr>
              <w:t>0.708</w:t>
            </w:r>
          </w:p>
        </w:tc>
      </w:tr>
      <w:tr w:rsidR="007F7B53" w:rsidRPr="00A53EA6" w:rsidTr="00D53AA1">
        <w:trPr>
          <w:trHeight w:val="300"/>
        </w:trPr>
        <w:tc>
          <w:tcPr>
            <w:tcW w:w="1599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53" w:rsidRPr="00F81222" w:rsidRDefault="007F7B53" w:rsidP="00F81222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F81222">
              <w:rPr>
                <w:color w:val="000000"/>
                <w:sz w:val="20"/>
                <w:szCs w:val="20"/>
              </w:rPr>
              <w:t>Log</w:t>
            </w:r>
            <w:r w:rsidRPr="00F81222">
              <w:rPr>
                <w:color w:val="000000"/>
                <w:sz w:val="20"/>
                <w:szCs w:val="20"/>
                <w:vertAlign w:val="subscript"/>
              </w:rPr>
              <w:t>2</w:t>
            </w:r>
            <w:r w:rsidRPr="00F81222">
              <w:rPr>
                <w:color w:val="000000"/>
                <w:sz w:val="20"/>
                <w:szCs w:val="20"/>
              </w:rPr>
              <w:t>CRP</w:t>
            </w:r>
            <w:r w:rsidRPr="00F81222">
              <w:rPr>
                <w:color w:val="000000"/>
                <w:sz w:val="20"/>
                <w:szCs w:val="20"/>
                <w:vertAlign w:val="superscript"/>
              </w:rPr>
              <w:t>‡</w:t>
            </w:r>
          </w:p>
        </w:tc>
        <w:tc>
          <w:tcPr>
            <w:tcW w:w="2727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7B53" w:rsidRPr="00F81222" w:rsidRDefault="007F7B53" w:rsidP="00F81222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81222">
              <w:rPr>
                <w:color w:val="000000"/>
                <w:sz w:val="20"/>
                <w:szCs w:val="20"/>
              </w:rPr>
              <w:t>-1.6% (-9.4%, 6.9%)</w:t>
            </w:r>
          </w:p>
        </w:tc>
        <w:tc>
          <w:tcPr>
            <w:tcW w:w="1031" w:type="dxa"/>
            <w:tcBorders>
              <w:left w:val="nil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7F7B53" w:rsidRPr="00F81222" w:rsidRDefault="007F7B53" w:rsidP="00F81222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81222">
              <w:rPr>
                <w:color w:val="000000"/>
                <w:sz w:val="20"/>
                <w:szCs w:val="20"/>
              </w:rPr>
              <w:t>0.698</w:t>
            </w:r>
          </w:p>
        </w:tc>
        <w:tc>
          <w:tcPr>
            <w:tcW w:w="2556" w:type="dxa"/>
            <w:tcBorders>
              <w:left w:val="double" w:sz="4" w:space="0" w:color="auto"/>
              <w:right w:val="nil"/>
            </w:tcBorders>
            <w:vAlign w:val="center"/>
          </w:tcPr>
          <w:p w:rsidR="007F7B53" w:rsidRPr="00F81222" w:rsidRDefault="007F7B53" w:rsidP="00F81222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81222">
              <w:rPr>
                <w:color w:val="000000"/>
                <w:sz w:val="20"/>
                <w:szCs w:val="20"/>
              </w:rPr>
              <w:t>-0.2% (-6.3%, 6.2%)</w:t>
            </w:r>
          </w:p>
        </w:tc>
        <w:tc>
          <w:tcPr>
            <w:tcW w:w="838" w:type="dxa"/>
            <w:tcBorders>
              <w:left w:val="nil"/>
            </w:tcBorders>
            <w:vAlign w:val="center"/>
          </w:tcPr>
          <w:p w:rsidR="007F7B53" w:rsidRPr="00F81222" w:rsidRDefault="007F7B53" w:rsidP="00F81222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81222">
              <w:rPr>
                <w:color w:val="000000"/>
                <w:sz w:val="20"/>
                <w:szCs w:val="20"/>
              </w:rPr>
              <w:t>0.939</w:t>
            </w:r>
          </w:p>
        </w:tc>
      </w:tr>
      <w:tr w:rsidR="007F7B53" w:rsidRPr="00A53EA6" w:rsidTr="00D53AA1">
        <w:trPr>
          <w:trHeight w:val="300"/>
        </w:trPr>
        <w:tc>
          <w:tcPr>
            <w:tcW w:w="1599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53" w:rsidRPr="00F81222" w:rsidRDefault="007F7B53" w:rsidP="00F81222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F81222">
              <w:rPr>
                <w:color w:val="000000"/>
                <w:sz w:val="20"/>
                <w:szCs w:val="20"/>
              </w:rPr>
              <w:t>BMI</w:t>
            </w:r>
          </w:p>
        </w:tc>
        <w:tc>
          <w:tcPr>
            <w:tcW w:w="2727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7B53" w:rsidRPr="00F81222" w:rsidRDefault="007F7B53" w:rsidP="00F81222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81222">
              <w:rPr>
                <w:color w:val="000000"/>
                <w:sz w:val="20"/>
                <w:szCs w:val="20"/>
              </w:rPr>
              <w:t>-0.4% (-3.5%, 2.7%)</w:t>
            </w:r>
          </w:p>
        </w:tc>
        <w:tc>
          <w:tcPr>
            <w:tcW w:w="1031" w:type="dxa"/>
            <w:tcBorders>
              <w:left w:val="nil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7F7B53" w:rsidRPr="00F81222" w:rsidRDefault="007F7B53" w:rsidP="00F81222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81222">
              <w:rPr>
                <w:color w:val="000000"/>
                <w:sz w:val="20"/>
                <w:szCs w:val="20"/>
              </w:rPr>
              <w:t>0.778</w:t>
            </w:r>
          </w:p>
        </w:tc>
        <w:tc>
          <w:tcPr>
            <w:tcW w:w="2556" w:type="dxa"/>
            <w:tcBorders>
              <w:left w:val="double" w:sz="4" w:space="0" w:color="auto"/>
              <w:right w:val="nil"/>
            </w:tcBorders>
            <w:vAlign w:val="center"/>
          </w:tcPr>
          <w:p w:rsidR="007F7B53" w:rsidRPr="00F81222" w:rsidRDefault="007F7B53" w:rsidP="00F81222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81222">
              <w:rPr>
                <w:color w:val="000000"/>
                <w:sz w:val="20"/>
                <w:szCs w:val="20"/>
              </w:rPr>
              <w:t>2.3% (-0.2%, 4.9%)</w:t>
            </w:r>
          </w:p>
        </w:tc>
        <w:tc>
          <w:tcPr>
            <w:tcW w:w="838" w:type="dxa"/>
            <w:tcBorders>
              <w:left w:val="nil"/>
            </w:tcBorders>
            <w:vAlign w:val="center"/>
          </w:tcPr>
          <w:p w:rsidR="007F7B53" w:rsidRPr="00F81222" w:rsidRDefault="007F7B53" w:rsidP="00F81222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81222">
              <w:rPr>
                <w:color w:val="000000"/>
                <w:sz w:val="20"/>
                <w:szCs w:val="20"/>
              </w:rPr>
              <w:t>0.069</w:t>
            </w:r>
          </w:p>
        </w:tc>
      </w:tr>
      <w:tr w:rsidR="007F7B53" w:rsidRPr="00A53EA6" w:rsidTr="00D53AA1">
        <w:trPr>
          <w:trHeight w:val="300"/>
        </w:trPr>
        <w:tc>
          <w:tcPr>
            <w:tcW w:w="1599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53" w:rsidRPr="00F81222" w:rsidRDefault="007F7B53" w:rsidP="00F81222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F81222">
              <w:rPr>
                <w:color w:val="000000"/>
                <w:sz w:val="20"/>
                <w:szCs w:val="20"/>
              </w:rPr>
              <w:lastRenderedPageBreak/>
              <w:t>CMR HR</w:t>
            </w:r>
          </w:p>
        </w:tc>
        <w:tc>
          <w:tcPr>
            <w:tcW w:w="2727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7B53" w:rsidRPr="00F81222" w:rsidRDefault="007F7B53" w:rsidP="00F81222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81222">
              <w:rPr>
                <w:color w:val="000000"/>
                <w:sz w:val="20"/>
                <w:szCs w:val="20"/>
              </w:rPr>
              <w:t>-0.1% (-1.2%, 1.1%)</w:t>
            </w:r>
          </w:p>
        </w:tc>
        <w:tc>
          <w:tcPr>
            <w:tcW w:w="1031" w:type="dxa"/>
            <w:tcBorders>
              <w:left w:val="nil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7F7B53" w:rsidRPr="00F81222" w:rsidRDefault="007F7B53" w:rsidP="00F81222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81222">
              <w:rPr>
                <w:color w:val="000000"/>
                <w:sz w:val="20"/>
                <w:szCs w:val="20"/>
              </w:rPr>
              <w:t>0.886</w:t>
            </w:r>
          </w:p>
        </w:tc>
        <w:tc>
          <w:tcPr>
            <w:tcW w:w="2556" w:type="dxa"/>
            <w:tcBorders>
              <w:left w:val="double" w:sz="4" w:space="0" w:color="auto"/>
              <w:right w:val="nil"/>
            </w:tcBorders>
            <w:vAlign w:val="center"/>
          </w:tcPr>
          <w:p w:rsidR="007F7B53" w:rsidRPr="00F81222" w:rsidRDefault="007F7B53" w:rsidP="00F81222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81222">
              <w:rPr>
                <w:color w:val="000000"/>
                <w:sz w:val="20"/>
                <w:szCs w:val="20"/>
              </w:rPr>
              <w:t>-0.8% (-1.8%, 0.1%)</w:t>
            </w:r>
          </w:p>
        </w:tc>
        <w:tc>
          <w:tcPr>
            <w:tcW w:w="838" w:type="dxa"/>
            <w:tcBorders>
              <w:left w:val="nil"/>
            </w:tcBorders>
            <w:vAlign w:val="center"/>
          </w:tcPr>
          <w:p w:rsidR="007F7B53" w:rsidRPr="00F81222" w:rsidRDefault="007F7B53" w:rsidP="00F81222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81222">
              <w:rPr>
                <w:color w:val="000000"/>
                <w:sz w:val="20"/>
                <w:szCs w:val="20"/>
              </w:rPr>
              <w:t>0.093</w:t>
            </w:r>
          </w:p>
        </w:tc>
      </w:tr>
      <w:tr w:rsidR="00194889" w:rsidRPr="00A53EA6" w:rsidTr="00D53AA1">
        <w:trPr>
          <w:trHeight w:val="300"/>
        </w:trPr>
        <w:tc>
          <w:tcPr>
            <w:tcW w:w="875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889" w:rsidRPr="00F81222" w:rsidRDefault="00F81222" w:rsidP="00F81222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bCs/>
                <w:i/>
                <w:iCs/>
                <w:sz w:val="20"/>
                <w:szCs w:val="20"/>
                <w:vertAlign w:val="superscript"/>
                <w:lang w:eastAsia="en-GB"/>
              </w:rPr>
            </w:pPr>
            <w:r w:rsidRPr="00F81222">
              <w:rPr>
                <w:rFonts w:eastAsia="Times New Roman" w:cs="Arial"/>
                <w:b/>
                <w:bCs/>
                <w:i/>
                <w:iCs/>
                <w:sz w:val="20"/>
                <w:szCs w:val="20"/>
                <w:lang w:eastAsia="en-GB"/>
              </w:rPr>
              <w:t>Left Ventricular Mass Index</w:t>
            </w:r>
            <w:r w:rsidRPr="00F81222">
              <w:rPr>
                <w:rFonts w:eastAsia="Times New Roman" w:cs="Arial"/>
                <w:b/>
                <w:bCs/>
                <w:i/>
                <w:iCs/>
                <w:sz w:val="20"/>
                <w:szCs w:val="20"/>
                <w:vertAlign w:val="superscript"/>
                <w:lang w:eastAsia="en-GB"/>
              </w:rPr>
              <w:t>#</w:t>
            </w:r>
          </w:p>
        </w:tc>
      </w:tr>
      <w:tr w:rsidR="007F7B53" w:rsidRPr="00A53EA6" w:rsidTr="00D53AA1">
        <w:trPr>
          <w:trHeight w:val="300"/>
        </w:trPr>
        <w:tc>
          <w:tcPr>
            <w:tcW w:w="159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53" w:rsidRPr="00F81222" w:rsidRDefault="007F7B53" w:rsidP="00F81222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F81222">
              <w:rPr>
                <w:color w:val="000000"/>
                <w:sz w:val="20"/>
                <w:szCs w:val="20"/>
              </w:rPr>
              <w:t>GG (Yes)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7B53" w:rsidRPr="00F81222" w:rsidRDefault="007F7B53" w:rsidP="00F81222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81222">
              <w:rPr>
                <w:color w:val="000000"/>
                <w:sz w:val="20"/>
                <w:szCs w:val="20"/>
              </w:rPr>
              <w:t>-1.6% (-10.2%, 7.8%)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7F7B53" w:rsidRPr="00F81222" w:rsidRDefault="007F7B53" w:rsidP="00F81222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81222">
              <w:rPr>
                <w:color w:val="000000"/>
                <w:sz w:val="20"/>
                <w:szCs w:val="20"/>
              </w:rPr>
              <w:t>0.733</w:t>
            </w:r>
          </w:p>
        </w:tc>
        <w:tc>
          <w:tcPr>
            <w:tcW w:w="2556" w:type="dxa"/>
            <w:tcBorders>
              <w:top w:val="single" w:sz="4" w:space="0" w:color="auto"/>
              <w:left w:val="double" w:sz="4" w:space="0" w:color="auto"/>
              <w:right w:val="nil"/>
            </w:tcBorders>
            <w:vAlign w:val="center"/>
          </w:tcPr>
          <w:p w:rsidR="007F7B53" w:rsidRPr="00F81222" w:rsidRDefault="007F7B53" w:rsidP="00F81222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81222">
              <w:rPr>
                <w:color w:val="000000"/>
                <w:sz w:val="20"/>
                <w:szCs w:val="20"/>
              </w:rPr>
              <w:t>-0.2% (-7.2%, 7.4%)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</w:tcBorders>
            <w:vAlign w:val="center"/>
          </w:tcPr>
          <w:p w:rsidR="007F7B53" w:rsidRPr="00F81222" w:rsidRDefault="007F7B53" w:rsidP="00F81222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81222">
              <w:rPr>
                <w:color w:val="000000"/>
                <w:sz w:val="20"/>
                <w:szCs w:val="20"/>
              </w:rPr>
              <w:t>0.965</w:t>
            </w:r>
          </w:p>
        </w:tc>
      </w:tr>
      <w:tr w:rsidR="007F7B53" w:rsidRPr="00A53EA6" w:rsidTr="00D53AA1">
        <w:trPr>
          <w:trHeight w:val="300"/>
        </w:trPr>
        <w:tc>
          <w:tcPr>
            <w:tcW w:w="159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7B53" w:rsidRPr="00F81222" w:rsidRDefault="007F7B53" w:rsidP="00F81222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F81222">
              <w:rPr>
                <w:color w:val="000000"/>
                <w:sz w:val="20"/>
                <w:szCs w:val="20"/>
              </w:rPr>
              <w:t>Age</w:t>
            </w:r>
          </w:p>
        </w:tc>
        <w:tc>
          <w:tcPr>
            <w:tcW w:w="2727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7B53" w:rsidRPr="00F81222" w:rsidRDefault="007F7B53" w:rsidP="00F81222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81222">
              <w:rPr>
                <w:color w:val="000000"/>
                <w:sz w:val="20"/>
                <w:szCs w:val="20"/>
              </w:rPr>
              <w:t>0.2% (-0.2%, 0.5%)</w:t>
            </w:r>
          </w:p>
        </w:tc>
        <w:tc>
          <w:tcPr>
            <w:tcW w:w="1031" w:type="dxa"/>
            <w:tcBorders>
              <w:left w:val="nil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7F7B53" w:rsidRPr="00F81222" w:rsidRDefault="007F7B53" w:rsidP="00F81222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81222">
              <w:rPr>
                <w:color w:val="000000"/>
                <w:sz w:val="20"/>
                <w:szCs w:val="20"/>
              </w:rPr>
              <w:t>0.348</w:t>
            </w:r>
          </w:p>
        </w:tc>
        <w:tc>
          <w:tcPr>
            <w:tcW w:w="2556" w:type="dxa"/>
            <w:tcBorders>
              <w:left w:val="double" w:sz="4" w:space="0" w:color="auto"/>
              <w:right w:val="nil"/>
            </w:tcBorders>
            <w:vAlign w:val="center"/>
          </w:tcPr>
          <w:p w:rsidR="007F7B53" w:rsidRPr="00F81222" w:rsidRDefault="007F7B53" w:rsidP="00F81222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81222">
              <w:rPr>
                <w:color w:val="000000"/>
                <w:sz w:val="20"/>
                <w:szCs w:val="20"/>
              </w:rPr>
              <w:t>0.0% (-0.3%, 0.3%)</w:t>
            </w:r>
          </w:p>
        </w:tc>
        <w:tc>
          <w:tcPr>
            <w:tcW w:w="838" w:type="dxa"/>
            <w:tcBorders>
              <w:left w:val="nil"/>
            </w:tcBorders>
            <w:vAlign w:val="center"/>
          </w:tcPr>
          <w:p w:rsidR="007F7B53" w:rsidRPr="00F81222" w:rsidRDefault="007F7B53" w:rsidP="00F81222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81222">
              <w:rPr>
                <w:color w:val="000000"/>
                <w:sz w:val="20"/>
                <w:szCs w:val="20"/>
              </w:rPr>
              <w:t>0.895</w:t>
            </w:r>
          </w:p>
        </w:tc>
      </w:tr>
      <w:tr w:rsidR="007F7B53" w:rsidRPr="00A53EA6" w:rsidTr="00D53AA1">
        <w:trPr>
          <w:trHeight w:val="300"/>
        </w:trPr>
        <w:tc>
          <w:tcPr>
            <w:tcW w:w="159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7B53" w:rsidRPr="00F81222" w:rsidRDefault="007F7B53" w:rsidP="00F81222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F81222">
              <w:rPr>
                <w:color w:val="000000"/>
                <w:sz w:val="20"/>
                <w:szCs w:val="20"/>
              </w:rPr>
              <w:t>Gender (Female)</w:t>
            </w:r>
          </w:p>
        </w:tc>
        <w:tc>
          <w:tcPr>
            <w:tcW w:w="2727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7B53" w:rsidRPr="00F81222" w:rsidRDefault="007F7B53" w:rsidP="00F81222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81222">
              <w:rPr>
                <w:color w:val="000000"/>
                <w:sz w:val="20"/>
                <w:szCs w:val="20"/>
              </w:rPr>
              <w:t>-25.3% (-30.7%, -19.4%)</w:t>
            </w:r>
          </w:p>
        </w:tc>
        <w:tc>
          <w:tcPr>
            <w:tcW w:w="1031" w:type="dxa"/>
            <w:tcBorders>
              <w:left w:val="nil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7F7B53" w:rsidRPr="00F81222" w:rsidRDefault="00D53AA1" w:rsidP="00F81222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2556" w:type="dxa"/>
            <w:tcBorders>
              <w:left w:val="double" w:sz="4" w:space="0" w:color="auto"/>
              <w:right w:val="nil"/>
            </w:tcBorders>
            <w:vAlign w:val="center"/>
          </w:tcPr>
          <w:p w:rsidR="007F7B53" w:rsidRPr="00F81222" w:rsidRDefault="007F7B53" w:rsidP="00F81222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81222">
              <w:rPr>
                <w:color w:val="000000"/>
                <w:sz w:val="20"/>
                <w:szCs w:val="20"/>
              </w:rPr>
              <w:t>-24.1% (-29.6%, -18.2%)</w:t>
            </w:r>
          </w:p>
        </w:tc>
        <w:tc>
          <w:tcPr>
            <w:tcW w:w="838" w:type="dxa"/>
            <w:tcBorders>
              <w:left w:val="nil"/>
            </w:tcBorders>
            <w:vAlign w:val="center"/>
          </w:tcPr>
          <w:p w:rsidR="007F7B53" w:rsidRPr="00F81222" w:rsidRDefault="007F7B53" w:rsidP="00F81222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1222">
              <w:rPr>
                <w:b/>
                <w:bCs/>
                <w:color w:val="000000"/>
                <w:sz w:val="20"/>
                <w:szCs w:val="20"/>
              </w:rPr>
              <w:t>&lt;0.001</w:t>
            </w:r>
          </w:p>
        </w:tc>
      </w:tr>
      <w:tr w:rsidR="007F7B53" w:rsidRPr="00A53EA6" w:rsidTr="00D53AA1">
        <w:trPr>
          <w:trHeight w:val="300"/>
        </w:trPr>
        <w:tc>
          <w:tcPr>
            <w:tcW w:w="159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7B53" w:rsidRPr="00F81222" w:rsidRDefault="007F7B53" w:rsidP="00F81222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F81222">
              <w:rPr>
                <w:color w:val="000000"/>
                <w:sz w:val="20"/>
                <w:szCs w:val="20"/>
              </w:rPr>
              <w:t>eGFR</w:t>
            </w:r>
          </w:p>
        </w:tc>
        <w:tc>
          <w:tcPr>
            <w:tcW w:w="2727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7B53" w:rsidRPr="00F81222" w:rsidRDefault="007F7B53" w:rsidP="00F81222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81222">
              <w:rPr>
                <w:color w:val="000000"/>
                <w:sz w:val="20"/>
                <w:szCs w:val="20"/>
              </w:rPr>
              <w:t>0.3% (0.0%, 0.5%)</w:t>
            </w:r>
          </w:p>
        </w:tc>
        <w:tc>
          <w:tcPr>
            <w:tcW w:w="1031" w:type="dxa"/>
            <w:tcBorders>
              <w:left w:val="nil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7F7B53" w:rsidRPr="00F81222" w:rsidRDefault="00F81222" w:rsidP="00F81222">
            <w:pPr>
              <w:spacing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F81222">
              <w:rPr>
                <w:bCs/>
                <w:color w:val="000000"/>
                <w:sz w:val="20"/>
                <w:szCs w:val="20"/>
              </w:rPr>
              <w:t>0.050</w:t>
            </w:r>
          </w:p>
        </w:tc>
        <w:tc>
          <w:tcPr>
            <w:tcW w:w="2556" w:type="dxa"/>
            <w:tcBorders>
              <w:left w:val="double" w:sz="4" w:space="0" w:color="auto"/>
              <w:right w:val="nil"/>
            </w:tcBorders>
            <w:vAlign w:val="center"/>
          </w:tcPr>
          <w:p w:rsidR="007F7B53" w:rsidRPr="00F81222" w:rsidRDefault="007F7B53" w:rsidP="00F81222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81222">
              <w:rPr>
                <w:color w:val="000000"/>
                <w:sz w:val="20"/>
                <w:szCs w:val="20"/>
              </w:rPr>
              <w:t>0.3% (0.1%, 0.5%)</w:t>
            </w:r>
          </w:p>
        </w:tc>
        <w:tc>
          <w:tcPr>
            <w:tcW w:w="838" w:type="dxa"/>
            <w:tcBorders>
              <w:left w:val="nil"/>
            </w:tcBorders>
            <w:vAlign w:val="center"/>
          </w:tcPr>
          <w:p w:rsidR="007F7B53" w:rsidRPr="00F81222" w:rsidRDefault="00D53AA1" w:rsidP="00F81222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0.008</w:t>
            </w:r>
          </w:p>
        </w:tc>
      </w:tr>
      <w:tr w:rsidR="007F7B53" w:rsidRPr="00A53EA6" w:rsidTr="00D53AA1">
        <w:trPr>
          <w:trHeight w:val="300"/>
        </w:trPr>
        <w:tc>
          <w:tcPr>
            <w:tcW w:w="1599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53" w:rsidRPr="00F81222" w:rsidRDefault="007F7B53" w:rsidP="00F81222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F81222">
              <w:rPr>
                <w:color w:val="000000"/>
                <w:sz w:val="20"/>
                <w:szCs w:val="20"/>
              </w:rPr>
              <w:t>BMAP</w:t>
            </w:r>
          </w:p>
        </w:tc>
        <w:tc>
          <w:tcPr>
            <w:tcW w:w="2727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7B53" w:rsidRPr="00F81222" w:rsidRDefault="007F7B53" w:rsidP="00F81222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81222">
              <w:rPr>
                <w:color w:val="000000"/>
                <w:sz w:val="20"/>
                <w:szCs w:val="20"/>
              </w:rPr>
              <w:t>0.5% (0.1%, 0.9%)</w:t>
            </w:r>
          </w:p>
        </w:tc>
        <w:tc>
          <w:tcPr>
            <w:tcW w:w="1031" w:type="dxa"/>
            <w:tcBorders>
              <w:left w:val="nil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7F7B53" w:rsidRPr="00F81222" w:rsidRDefault="00D53AA1" w:rsidP="00F81222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0.012</w:t>
            </w:r>
          </w:p>
        </w:tc>
        <w:tc>
          <w:tcPr>
            <w:tcW w:w="2556" w:type="dxa"/>
            <w:tcBorders>
              <w:left w:val="double" w:sz="4" w:space="0" w:color="auto"/>
              <w:right w:val="nil"/>
            </w:tcBorders>
            <w:vAlign w:val="center"/>
          </w:tcPr>
          <w:p w:rsidR="007F7B53" w:rsidRPr="00F81222" w:rsidRDefault="007F7B53" w:rsidP="00F81222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81222">
              <w:rPr>
                <w:color w:val="000000"/>
                <w:sz w:val="20"/>
                <w:szCs w:val="20"/>
              </w:rPr>
              <w:t>0.5% (0.1%, 0.8%)</w:t>
            </w:r>
          </w:p>
        </w:tc>
        <w:tc>
          <w:tcPr>
            <w:tcW w:w="838" w:type="dxa"/>
            <w:tcBorders>
              <w:left w:val="nil"/>
            </w:tcBorders>
            <w:vAlign w:val="center"/>
          </w:tcPr>
          <w:p w:rsidR="007F7B53" w:rsidRPr="00F81222" w:rsidRDefault="00D53AA1" w:rsidP="00F81222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0.005</w:t>
            </w:r>
          </w:p>
        </w:tc>
      </w:tr>
      <w:tr w:rsidR="007F7B53" w:rsidRPr="00A53EA6" w:rsidTr="00D53AA1">
        <w:trPr>
          <w:trHeight w:val="300"/>
        </w:trPr>
        <w:tc>
          <w:tcPr>
            <w:tcW w:w="1599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53" w:rsidRPr="00F81222" w:rsidRDefault="007F7B53" w:rsidP="00F81222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F81222">
              <w:rPr>
                <w:color w:val="000000"/>
                <w:sz w:val="20"/>
                <w:szCs w:val="20"/>
              </w:rPr>
              <w:t>Total Cholesterol</w:t>
            </w:r>
          </w:p>
        </w:tc>
        <w:tc>
          <w:tcPr>
            <w:tcW w:w="2727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7B53" w:rsidRPr="00F81222" w:rsidRDefault="007F7B53" w:rsidP="00F81222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81222">
              <w:rPr>
                <w:color w:val="000000"/>
                <w:sz w:val="20"/>
                <w:szCs w:val="20"/>
              </w:rPr>
              <w:t>-2.9% (-7.4%, 1.7%)</w:t>
            </w:r>
          </w:p>
        </w:tc>
        <w:tc>
          <w:tcPr>
            <w:tcW w:w="1031" w:type="dxa"/>
            <w:tcBorders>
              <w:left w:val="nil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7F7B53" w:rsidRPr="00F81222" w:rsidRDefault="007F7B53" w:rsidP="00F81222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81222">
              <w:rPr>
                <w:color w:val="000000"/>
                <w:sz w:val="20"/>
                <w:szCs w:val="20"/>
              </w:rPr>
              <w:t>0.210</w:t>
            </w:r>
          </w:p>
        </w:tc>
        <w:tc>
          <w:tcPr>
            <w:tcW w:w="2556" w:type="dxa"/>
            <w:tcBorders>
              <w:left w:val="double" w:sz="4" w:space="0" w:color="auto"/>
              <w:right w:val="nil"/>
            </w:tcBorders>
            <w:vAlign w:val="center"/>
          </w:tcPr>
          <w:p w:rsidR="007F7B53" w:rsidRPr="00F81222" w:rsidRDefault="007F7B53" w:rsidP="00F81222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81222">
              <w:rPr>
                <w:color w:val="000000"/>
                <w:sz w:val="20"/>
                <w:szCs w:val="20"/>
              </w:rPr>
              <w:t>-1.2% (-5.1%, 2.9%)</w:t>
            </w:r>
          </w:p>
        </w:tc>
        <w:tc>
          <w:tcPr>
            <w:tcW w:w="838" w:type="dxa"/>
            <w:tcBorders>
              <w:left w:val="nil"/>
            </w:tcBorders>
            <w:vAlign w:val="center"/>
          </w:tcPr>
          <w:p w:rsidR="007F7B53" w:rsidRPr="00F81222" w:rsidRDefault="007F7B53" w:rsidP="00F81222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81222">
              <w:rPr>
                <w:color w:val="000000"/>
                <w:sz w:val="20"/>
                <w:szCs w:val="20"/>
              </w:rPr>
              <w:t>0.555</w:t>
            </w:r>
          </w:p>
        </w:tc>
      </w:tr>
      <w:tr w:rsidR="007F7B53" w:rsidRPr="00A53EA6" w:rsidTr="00D53AA1">
        <w:trPr>
          <w:trHeight w:val="300"/>
        </w:trPr>
        <w:tc>
          <w:tcPr>
            <w:tcW w:w="1599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53" w:rsidRPr="00F81222" w:rsidRDefault="007F7B53" w:rsidP="00F81222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F81222">
              <w:rPr>
                <w:color w:val="000000"/>
                <w:sz w:val="20"/>
                <w:szCs w:val="20"/>
              </w:rPr>
              <w:t>Log</w:t>
            </w:r>
            <w:r w:rsidRPr="00F81222">
              <w:rPr>
                <w:color w:val="000000"/>
                <w:sz w:val="20"/>
                <w:szCs w:val="20"/>
                <w:vertAlign w:val="subscript"/>
              </w:rPr>
              <w:t>2</w:t>
            </w:r>
            <w:r w:rsidRPr="00F81222">
              <w:rPr>
                <w:color w:val="000000"/>
                <w:sz w:val="20"/>
                <w:szCs w:val="20"/>
              </w:rPr>
              <w:t>CRP</w:t>
            </w:r>
            <w:r w:rsidRPr="00F81222">
              <w:rPr>
                <w:color w:val="000000"/>
                <w:sz w:val="20"/>
                <w:szCs w:val="20"/>
                <w:vertAlign w:val="superscript"/>
              </w:rPr>
              <w:t>‡</w:t>
            </w:r>
          </w:p>
        </w:tc>
        <w:tc>
          <w:tcPr>
            <w:tcW w:w="2727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7B53" w:rsidRPr="00F81222" w:rsidRDefault="007F7B53" w:rsidP="00F81222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81222">
              <w:rPr>
                <w:color w:val="000000"/>
                <w:sz w:val="20"/>
                <w:szCs w:val="20"/>
              </w:rPr>
              <w:t>0.4% (-2.1%, 2.8%)</w:t>
            </w:r>
          </w:p>
        </w:tc>
        <w:tc>
          <w:tcPr>
            <w:tcW w:w="1031" w:type="dxa"/>
            <w:tcBorders>
              <w:left w:val="nil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7F7B53" w:rsidRPr="00F81222" w:rsidRDefault="007F7B53" w:rsidP="00F81222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81222">
              <w:rPr>
                <w:color w:val="000000"/>
                <w:sz w:val="20"/>
                <w:szCs w:val="20"/>
              </w:rPr>
              <w:t>0.772</w:t>
            </w:r>
          </w:p>
        </w:tc>
        <w:tc>
          <w:tcPr>
            <w:tcW w:w="2556" w:type="dxa"/>
            <w:tcBorders>
              <w:left w:val="double" w:sz="4" w:space="0" w:color="auto"/>
              <w:right w:val="nil"/>
            </w:tcBorders>
            <w:vAlign w:val="center"/>
          </w:tcPr>
          <w:p w:rsidR="007F7B53" w:rsidRPr="00F81222" w:rsidRDefault="007F7B53" w:rsidP="00F81222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81222">
              <w:rPr>
                <w:color w:val="000000"/>
                <w:sz w:val="20"/>
                <w:szCs w:val="20"/>
              </w:rPr>
              <w:t>0.4% (-1.6%, 2.4%)</w:t>
            </w:r>
          </w:p>
        </w:tc>
        <w:tc>
          <w:tcPr>
            <w:tcW w:w="838" w:type="dxa"/>
            <w:tcBorders>
              <w:left w:val="nil"/>
            </w:tcBorders>
            <w:vAlign w:val="center"/>
          </w:tcPr>
          <w:p w:rsidR="007F7B53" w:rsidRPr="00F81222" w:rsidRDefault="007F7B53" w:rsidP="00F81222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81222">
              <w:rPr>
                <w:color w:val="000000"/>
                <w:sz w:val="20"/>
                <w:szCs w:val="20"/>
              </w:rPr>
              <w:t>0.724</w:t>
            </w:r>
          </w:p>
        </w:tc>
      </w:tr>
      <w:tr w:rsidR="007F7B53" w:rsidRPr="00A53EA6" w:rsidTr="00D53AA1">
        <w:trPr>
          <w:trHeight w:val="300"/>
        </w:trPr>
        <w:tc>
          <w:tcPr>
            <w:tcW w:w="1599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53" w:rsidRPr="00F81222" w:rsidRDefault="007F7B53" w:rsidP="00F81222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F81222">
              <w:rPr>
                <w:color w:val="000000"/>
                <w:sz w:val="20"/>
                <w:szCs w:val="20"/>
              </w:rPr>
              <w:t>CMR HR</w:t>
            </w:r>
          </w:p>
        </w:tc>
        <w:tc>
          <w:tcPr>
            <w:tcW w:w="2727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7B53" w:rsidRPr="00F81222" w:rsidRDefault="007F7B53" w:rsidP="00F81222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81222">
              <w:rPr>
                <w:color w:val="000000"/>
                <w:sz w:val="20"/>
                <w:szCs w:val="20"/>
              </w:rPr>
              <w:t>-0.5% (-0.8%, -0.2%)</w:t>
            </w:r>
          </w:p>
        </w:tc>
        <w:tc>
          <w:tcPr>
            <w:tcW w:w="1031" w:type="dxa"/>
            <w:tcBorders>
              <w:left w:val="nil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7F7B53" w:rsidRPr="00F81222" w:rsidRDefault="00D53AA1" w:rsidP="00F81222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2556" w:type="dxa"/>
            <w:tcBorders>
              <w:left w:val="double" w:sz="4" w:space="0" w:color="auto"/>
              <w:right w:val="nil"/>
            </w:tcBorders>
            <w:vAlign w:val="center"/>
          </w:tcPr>
          <w:p w:rsidR="007F7B53" w:rsidRPr="00F81222" w:rsidRDefault="007F7B53" w:rsidP="00F81222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81222">
              <w:rPr>
                <w:color w:val="000000"/>
                <w:sz w:val="20"/>
                <w:szCs w:val="20"/>
              </w:rPr>
              <w:t>-0.4% (-0.7%, 0.0%)</w:t>
            </w:r>
          </w:p>
        </w:tc>
        <w:tc>
          <w:tcPr>
            <w:tcW w:w="838" w:type="dxa"/>
            <w:tcBorders>
              <w:left w:val="nil"/>
            </w:tcBorders>
            <w:vAlign w:val="center"/>
          </w:tcPr>
          <w:p w:rsidR="007F7B53" w:rsidRPr="00F81222" w:rsidRDefault="00D53AA1" w:rsidP="00F81222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0.026</w:t>
            </w:r>
          </w:p>
        </w:tc>
      </w:tr>
    </w:tbl>
    <w:p w:rsidR="007F7B53" w:rsidRPr="00E81A1B" w:rsidRDefault="007F7B53" w:rsidP="00F81222">
      <w:pPr>
        <w:spacing w:line="240" w:lineRule="auto"/>
        <w:rPr>
          <w:rFonts w:cs="Arial"/>
          <w:sz w:val="20"/>
          <w:szCs w:val="20"/>
        </w:rPr>
      </w:pPr>
      <w:proofErr w:type="gramStart"/>
      <w:r w:rsidRPr="00F95F00">
        <w:rPr>
          <w:rFonts w:cs="Arial"/>
          <w:sz w:val="20"/>
          <w:szCs w:val="20"/>
        </w:rPr>
        <w:t>p-Values</w:t>
      </w:r>
      <w:proofErr w:type="gramEnd"/>
      <w:r w:rsidRPr="00F95F00">
        <w:rPr>
          <w:rFonts w:cs="Arial"/>
          <w:sz w:val="20"/>
          <w:szCs w:val="20"/>
        </w:rPr>
        <w:t xml:space="preserve"> from linear regression analysis</w:t>
      </w:r>
    </w:p>
    <w:p w:rsidR="007F7B53" w:rsidRDefault="007F7B53" w:rsidP="00F81222">
      <w:pPr>
        <w:spacing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#Outcome was l</w:t>
      </w:r>
      <w:r w:rsidRPr="00F95F00">
        <w:rPr>
          <w:rFonts w:cs="Arial"/>
          <w:sz w:val="20"/>
          <w:szCs w:val="20"/>
        </w:rPr>
        <w:t>og</w:t>
      </w:r>
      <w:r w:rsidRPr="007F7B53">
        <w:rPr>
          <w:rFonts w:cs="Arial"/>
          <w:sz w:val="20"/>
          <w:szCs w:val="20"/>
          <w:vertAlign w:val="subscript"/>
        </w:rPr>
        <w:t>2</w:t>
      </w:r>
      <w:r>
        <w:rPr>
          <w:rFonts w:cs="Arial"/>
          <w:sz w:val="20"/>
          <w:szCs w:val="20"/>
        </w:rPr>
        <w:t>-t</w:t>
      </w:r>
      <w:r w:rsidRPr="00F95F00">
        <w:rPr>
          <w:rFonts w:cs="Arial"/>
          <w:sz w:val="20"/>
          <w:szCs w:val="20"/>
        </w:rPr>
        <w:t>ransformed prior to analysis to normalise the distribution. Quoted coefficients represent the percentage increase in the outcome for an increase in one of the factors (or for the stated categ</w:t>
      </w:r>
      <w:r>
        <w:rPr>
          <w:rFonts w:cs="Arial"/>
          <w:sz w:val="20"/>
          <w:szCs w:val="20"/>
        </w:rPr>
        <w:t>ory relative to the reference).</w:t>
      </w:r>
    </w:p>
    <w:p w:rsidR="007F7B53" w:rsidRDefault="007F7B53" w:rsidP="00F81222">
      <w:pPr>
        <w:spacing w:line="240" w:lineRule="auto"/>
        <w:rPr>
          <w:rFonts w:cs="Arial"/>
          <w:sz w:val="20"/>
          <w:szCs w:val="20"/>
        </w:rPr>
      </w:pPr>
      <w:r w:rsidRPr="002A5A33">
        <w:rPr>
          <w:rFonts w:cs="Arial"/>
          <w:sz w:val="20"/>
          <w:szCs w:val="20"/>
        </w:rPr>
        <w:t>‡</w:t>
      </w:r>
      <w:r>
        <w:rPr>
          <w:rFonts w:cs="Arial"/>
          <w:sz w:val="20"/>
          <w:szCs w:val="20"/>
        </w:rPr>
        <w:t>hs</w:t>
      </w:r>
      <w:r w:rsidRPr="002A5A33">
        <w:rPr>
          <w:rFonts w:cs="Arial"/>
          <w:sz w:val="20"/>
          <w:szCs w:val="20"/>
        </w:rPr>
        <w:t>CRP was log</w:t>
      </w:r>
      <w:r w:rsidRPr="007F7B53">
        <w:rPr>
          <w:rFonts w:cs="Arial"/>
          <w:sz w:val="20"/>
          <w:szCs w:val="20"/>
          <w:vertAlign w:val="subscript"/>
        </w:rPr>
        <w:t>2</w:t>
      </w:r>
      <w:r w:rsidRPr="002A5A33">
        <w:rPr>
          <w:rFonts w:cs="Arial"/>
          <w:sz w:val="20"/>
          <w:szCs w:val="20"/>
        </w:rPr>
        <w:t>-transformed, hence the quoted coefficients relate to an increase of one unit in the log (i.e. a two-fold increase)</w:t>
      </w:r>
    </w:p>
    <w:p w:rsidR="00DB0C18" w:rsidRDefault="007F7B53" w:rsidP="00F81222">
      <w:pPr>
        <w:spacing w:line="240" w:lineRule="auto"/>
      </w:pPr>
      <w:r>
        <w:rPr>
          <w:rFonts w:cs="Arial"/>
          <w:sz w:val="20"/>
          <w:szCs w:val="20"/>
        </w:rPr>
        <w:t>Key: eGFR (estimated glomerular filtration rate; BMAP (brachial mean arterial pressure); CMR HR (cardiac magnetic resonance heart rate); hsCRP (high sensitive C-reactive protein; BMI (body mass index)</w:t>
      </w:r>
    </w:p>
    <w:sectPr w:rsidR="00DB0C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889"/>
    <w:rsid w:val="00030EAA"/>
    <w:rsid w:val="00194889"/>
    <w:rsid w:val="001E2B09"/>
    <w:rsid w:val="00357424"/>
    <w:rsid w:val="0049718C"/>
    <w:rsid w:val="00755286"/>
    <w:rsid w:val="007F7B53"/>
    <w:rsid w:val="00AB2BAB"/>
    <w:rsid w:val="00D53AA1"/>
    <w:rsid w:val="00F81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88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88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3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Sourabh Chand</dc:creator>
  <cp:lastModifiedBy>Sourabh Chand</cp:lastModifiedBy>
  <cp:revision>3</cp:revision>
  <dcterms:created xsi:type="dcterms:W3CDTF">2014-12-14T16:28:00Z</dcterms:created>
  <dcterms:modified xsi:type="dcterms:W3CDTF">2014-12-14T16:38:00Z</dcterms:modified>
</cp:coreProperties>
</file>