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83" w:rsidRPr="00326A83" w:rsidRDefault="00326A83" w:rsidP="005E10CB">
      <w:pPr>
        <w:keepNext/>
        <w:spacing w:line="240" w:lineRule="auto"/>
        <w:jc w:val="left"/>
        <w:outlineLvl w:val="0"/>
        <w:rPr>
          <w:rFonts w:eastAsia="Times New Roman" w:cs="Times New Roman"/>
          <w:bCs/>
          <w:sz w:val="24"/>
          <w:szCs w:val="24"/>
        </w:rPr>
      </w:pPr>
      <w:r w:rsidRPr="00326A83">
        <w:rPr>
          <w:rFonts w:eastAsia="Times New Roman" w:cs="Times New Roman"/>
          <w:b/>
          <w:bCs/>
          <w:sz w:val="24"/>
          <w:szCs w:val="24"/>
        </w:rPr>
        <w:t>Appendix S</w:t>
      </w:r>
      <w:r w:rsidR="002A5D22">
        <w:rPr>
          <w:rFonts w:eastAsia="Times New Roman" w:cs="Times New Roman"/>
          <w:b/>
          <w:bCs/>
          <w:sz w:val="24"/>
          <w:szCs w:val="24"/>
        </w:rPr>
        <w:t>10</w:t>
      </w:r>
      <w:r w:rsidRPr="00326A83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561F3D">
        <w:rPr>
          <w:rFonts w:eastAsia="Times New Roman" w:cs="Times New Roman"/>
          <w:b/>
          <w:bCs/>
          <w:sz w:val="24"/>
          <w:szCs w:val="24"/>
        </w:rPr>
        <w:t>Annual</w:t>
      </w:r>
      <w:r w:rsidR="003F7E6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61F3D">
        <w:rPr>
          <w:rFonts w:eastAsia="Times New Roman" w:cs="Times New Roman"/>
          <w:b/>
          <w:bCs/>
          <w:sz w:val="24"/>
          <w:szCs w:val="24"/>
        </w:rPr>
        <w:t>f</w:t>
      </w:r>
      <w:r w:rsidRPr="00326A83">
        <w:rPr>
          <w:rFonts w:eastAsia="Times New Roman" w:cs="Times New Roman"/>
          <w:b/>
          <w:bCs/>
          <w:sz w:val="24"/>
          <w:szCs w:val="24"/>
        </w:rPr>
        <w:t xml:space="preserve">atality rates compared to population sizes for </w:t>
      </w:r>
      <w:r w:rsidR="00416932" w:rsidRPr="00326A83">
        <w:rPr>
          <w:rFonts w:eastAsia="Times New Roman" w:cs="Times New Roman"/>
          <w:b/>
          <w:bCs/>
          <w:sz w:val="24"/>
          <w:szCs w:val="24"/>
        </w:rPr>
        <w:t xml:space="preserve">species </w:t>
      </w:r>
      <w:r w:rsidR="00416932">
        <w:rPr>
          <w:rFonts w:eastAsia="Times New Roman" w:cs="Times New Roman"/>
          <w:b/>
          <w:bCs/>
          <w:sz w:val="24"/>
          <w:szCs w:val="24"/>
        </w:rPr>
        <w:t xml:space="preserve">of </w:t>
      </w:r>
      <w:r w:rsidRPr="00326A83">
        <w:rPr>
          <w:rFonts w:eastAsia="Times New Roman" w:cs="Times New Roman"/>
          <w:b/>
          <w:bCs/>
          <w:sz w:val="24"/>
          <w:szCs w:val="24"/>
        </w:rPr>
        <w:t>small passerine</w:t>
      </w:r>
      <w:r w:rsidR="00416932">
        <w:rPr>
          <w:rFonts w:eastAsia="Times New Roman" w:cs="Times New Roman"/>
          <w:b/>
          <w:bCs/>
          <w:sz w:val="24"/>
          <w:szCs w:val="24"/>
        </w:rPr>
        <w:t>s</w:t>
      </w:r>
      <w:r w:rsidRPr="00326A83">
        <w:rPr>
          <w:rFonts w:eastAsia="Times New Roman" w:cs="Times New Roman"/>
          <w:b/>
          <w:bCs/>
          <w:sz w:val="24"/>
          <w:szCs w:val="24"/>
        </w:rPr>
        <w:t xml:space="preserve"> found </w:t>
      </w:r>
      <w:r w:rsidR="003F7E64">
        <w:rPr>
          <w:rFonts w:eastAsia="Times New Roman" w:cs="Times New Roman"/>
          <w:b/>
          <w:bCs/>
          <w:sz w:val="24"/>
          <w:szCs w:val="24"/>
        </w:rPr>
        <w:t xml:space="preserve">as fatalities </w:t>
      </w:r>
      <w:r w:rsidRPr="00326A83">
        <w:rPr>
          <w:rFonts w:eastAsia="Times New Roman" w:cs="Times New Roman"/>
          <w:b/>
          <w:bCs/>
          <w:sz w:val="24"/>
          <w:szCs w:val="24"/>
        </w:rPr>
        <w:t xml:space="preserve">in </w:t>
      </w:r>
      <w:r w:rsidR="00561F3D">
        <w:rPr>
          <w:rFonts w:eastAsia="Times New Roman" w:cs="Times New Roman"/>
          <w:b/>
          <w:bCs/>
          <w:sz w:val="24"/>
          <w:szCs w:val="24"/>
        </w:rPr>
        <w:t xml:space="preserve">116 </w:t>
      </w:r>
      <w:r w:rsidRPr="00326A83">
        <w:rPr>
          <w:rFonts w:eastAsia="Times New Roman" w:cs="Times New Roman"/>
          <w:b/>
          <w:bCs/>
          <w:sz w:val="24"/>
          <w:szCs w:val="24"/>
        </w:rPr>
        <w:t>available studies conducted at wind energy facilities in the United States and Canada.</w:t>
      </w:r>
      <w:r w:rsidRPr="00326A83">
        <w:rPr>
          <w:rFonts w:eastAsia="Times New Roman" w:cs="Times New Roman"/>
          <w:bCs/>
          <w:sz w:val="24"/>
          <w:szCs w:val="24"/>
        </w:rPr>
        <w:t xml:space="preserve"> The estimated average number </w:t>
      </w:r>
      <w:r w:rsidR="00906268">
        <w:rPr>
          <w:rFonts w:eastAsia="Times New Roman" w:cs="Times New Roman"/>
          <w:bCs/>
          <w:sz w:val="24"/>
          <w:szCs w:val="24"/>
        </w:rPr>
        <w:t xml:space="preserve">and percent of population </w:t>
      </w:r>
      <w:r w:rsidRPr="00326A83">
        <w:rPr>
          <w:rFonts w:eastAsia="Times New Roman" w:cs="Times New Roman"/>
          <w:bCs/>
          <w:sz w:val="24"/>
          <w:szCs w:val="24"/>
        </w:rPr>
        <w:t xml:space="preserve">killed each year after low and high bias adjustments were applied </w:t>
      </w:r>
      <w:r w:rsidR="00391DA7">
        <w:rPr>
          <w:rFonts w:eastAsia="Times New Roman" w:cs="Times New Roman"/>
          <w:bCs/>
          <w:sz w:val="24"/>
          <w:szCs w:val="24"/>
        </w:rPr>
        <w:t xml:space="preserve">and adjusted for operating capacity </w:t>
      </w:r>
      <w:r w:rsidRPr="00326A83">
        <w:rPr>
          <w:rFonts w:eastAsia="Times New Roman" w:cs="Times New Roman"/>
          <w:bCs/>
          <w:sz w:val="24"/>
          <w:szCs w:val="24"/>
        </w:rPr>
        <w:t>(</w:t>
      </w:r>
      <w:r w:rsidR="00561F3D">
        <w:rPr>
          <w:rFonts w:eastAsia="Times New Roman" w:cs="Times New Roman"/>
          <w:bCs/>
          <w:sz w:val="24"/>
          <w:szCs w:val="24"/>
        </w:rPr>
        <w:t>see Appendix S9</w:t>
      </w:r>
      <w:r w:rsidRPr="00326A83">
        <w:rPr>
          <w:rFonts w:eastAsia="Times New Roman" w:cs="Times New Roman"/>
          <w:bCs/>
          <w:sz w:val="24"/>
          <w:szCs w:val="24"/>
        </w:rPr>
        <w:t>)</w:t>
      </w:r>
      <w:r w:rsidR="00906268">
        <w:rPr>
          <w:rFonts w:eastAsia="Times New Roman" w:cs="Times New Roman"/>
          <w:bCs/>
          <w:sz w:val="24"/>
          <w:szCs w:val="24"/>
        </w:rPr>
        <w:t>; estimated</w:t>
      </w:r>
      <w:r w:rsidRPr="00326A83">
        <w:rPr>
          <w:rFonts w:eastAsia="Times New Roman" w:cs="Times New Roman"/>
          <w:bCs/>
          <w:sz w:val="24"/>
          <w:szCs w:val="24"/>
        </w:rPr>
        <w:t xml:space="preserve"> population size</w:t>
      </w:r>
      <w:r w:rsidR="006A03C5">
        <w:rPr>
          <w:rFonts w:eastAsia="Times New Roman" w:cs="Times New Roman"/>
          <w:bCs/>
          <w:sz w:val="24"/>
          <w:szCs w:val="24"/>
        </w:rPr>
        <w:t>, and the proportion of the population that these estimates represent</w:t>
      </w:r>
      <w:r w:rsidRPr="00326A83">
        <w:rPr>
          <w:rFonts w:eastAsia="Times New Roman" w:cs="Times New Roman"/>
          <w:bCs/>
          <w:sz w:val="24"/>
          <w:szCs w:val="24"/>
        </w:rPr>
        <w:t>.</w:t>
      </w:r>
      <w:r w:rsidR="00561F3D">
        <w:rPr>
          <w:rFonts w:eastAsia="Times New Roman" w:cs="Times New Roman"/>
          <w:bCs/>
          <w:sz w:val="24"/>
          <w:szCs w:val="24"/>
        </w:rPr>
        <w:t xml:space="preserve"> Based on actual fatalities found both during scheduled searches and incidentally.</w:t>
      </w:r>
    </w:p>
    <w:p w:rsidR="00326A83" w:rsidRPr="00326A83" w:rsidRDefault="00326A83" w:rsidP="00326A83">
      <w:pPr>
        <w:spacing w:line="240" w:lineRule="auto"/>
        <w:rPr>
          <w:rFonts w:eastAsia="Times New Roman" w:cs="Times New Roman"/>
          <w:sz w:val="24"/>
          <w:szCs w:val="24"/>
        </w:rPr>
      </w:pPr>
    </w:p>
    <w:tbl>
      <w:tblPr>
        <w:tblW w:w="10829" w:type="dxa"/>
        <w:tblLayout w:type="fixed"/>
        <w:tblLook w:val="04A0"/>
      </w:tblPr>
      <w:tblGrid>
        <w:gridCol w:w="2729"/>
        <w:gridCol w:w="2566"/>
        <w:gridCol w:w="900"/>
        <w:gridCol w:w="845"/>
        <w:gridCol w:w="1405"/>
        <w:gridCol w:w="1124"/>
        <w:gridCol w:w="1260"/>
      </w:tblGrid>
      <w:tr w:rsidR="002A5D22" w:rsidRPr="00326A83" w:rsidTr="00952808">
        <w:trPr>
          <w:cantSplit/>
          <w:trHeight w:val="20"/>
          <w:tblHeader/>
        </w:trPr>
        <w:tc>
          <w:tcPr>
            <w:tcW w:w="272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2A5D22" w:rsidRPr="00326A83" w:rsidRDefault="002A5D22" w:rsidP="00952808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26A83">
              <w:rPr>
                <w:rFonts w:eastAsia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2566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2A5D22" w:rsidRPr="00326A83" w:rsidRDefault="002A5D22" w:rsidP="0095280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A83">
              <w:rPr>
                <w:rFonts w:eastAsia="Times New Roman" w:cs="Times New Roman"/>
                <w:b/>
                <w:bCs/>
                <w:color w:val="000000"/>
              </w:rPr>
              <w:t>Scientific Name</w:t>
            </w:r>
          </w:p>
        </w:tc>
        <w:tc>
          <w:tcPr>
            <w:tcW w:w="90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2A5D22" w:rsidRPr="00326A83" w:rsidRDefault="002A5D22" w:rsidP="009528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26A83">
              <w:rPr>
                <w:rFonts w:eastAsia="Times New Roman" w:cs="Times New Roman"/>
                <w:b/>
                <w:bCs/>
                <w:color w:val="000000"/>
              </w:rPr>
              <w:t xml:space="preserve">Ave est (low bias) </w:t>
            </w:r>
            <w:r w:rsidR="003F7E64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84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2A5D22" w:rsidRPr="00326A83" w:rsidRDefault="002A5D22" w:rsidP="009528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A83">
              <w:rPr>
                <w:rFonts w:eastAsia="Times New Roman" w:cs="Times New Roman"/>
                <w:b/>
                <w:bCs/>
                <w:color w:val="000000"/>
              </w:rPr>
              <w:t xml:space="preserve">Ave est (high bias) </w:t>
            </w:r>
            <w:r w:rsidR="003F7E64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40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2A5D22" w:rsidRPr="00326A83" w:rsidRDefault="002A5D22" w:rsidP="009528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26A83">
              <w:rPr>
                <w:rFonts w:eastAsia="Times New Roman" w:cs="Times New Roman"/>
                <w:b/>
                <w:bCs/>
                <w:color w:val="000000"/>
              </w:rPr>
              <w:t xml:space="preserve">Pop est for North America </w:t>
            </w:r>
            <w:r w:rsidR="003F7E64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112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2A5D22" w:rsidRPr="00326A83" w:rsidRDefault="002A5D22" w:rsidP="003F7E6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26A83">
              <w:rPr>
                <w:rFonts w:eastAsia="Times New Roman" w:cs="Times New Roman"/>
                <w:b/>
                <w:bCs/>
                <w:color w:val="000000"/>
              </w:rPr>
              <w:t>% pop affected (low bias)</w:t>
            </w:r>
            <w:r w:rsidRPr="00326A83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="003F7E64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d</w:t>
            </w:r>
          </w:p>
        </w:tc>
        <w:tc>
          <w:tcPr>
            <w:tcW w:w="126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2A5D22" w:rsidRPr="00326A83" w:rsidRDefault="002A5D22" w:rsidP="009528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26A83">
              <w:rPr>
                <w:rFonts w:eastAsia="Times New Roman" w:cs="Times New Roman"/>
                <w:b/>
                <w:bCs/>
                <w:color w:val="000000"/>
              </w:rPr>
              <w:t>% pop affected (high bias)</w:t>
            </w:r>
            <w:r w:rsidR="003F7E64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e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Acadian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Empidonax virescens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4,500,000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alder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Empidonax alnorum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American goldfinch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Carduelis tristis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American pipit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Anthus rubescens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18,000,000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American redstart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ruticilla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American robin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Turdus migratorius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300,000,000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American tree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Spizella arborea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ash-throated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Myiarchus cinerascens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5,200,000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bank swallow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Riparia riparia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barn swallow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Hirundo rustica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4864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33,000,000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bay-breasted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castanea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Bell's vireo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Vireo bellii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3,600,000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Bewick's wren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Thryomanes bewickii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black-and-white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Mniotilta varia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Blackburnian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fusca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black-capped chickadee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Poecile atricapilla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41,000,000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black-headed grosbeak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Pheucticus melanocephalus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blackpoll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striata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black-tailed gnatcatcher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Polioptila melanura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black-throated blue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caerulescens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black-throated gray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nigrescens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2,400,000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black-throated green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Setophaga virens 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black-throated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Amphispiza bilineata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blue jay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Cyanocitta cristata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blue-headed vireo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Vireo solitarius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blue-winged warbler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Vermivora cyanoptera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810,000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lastRenderedPageBreak/>
              <w:t>bobolink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Dolichonyx oryzivorus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Brewer's blackbird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Euphagus cyanocephalus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Brewer's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Spizella breweri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brown creeper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Certhia americana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8,500,000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brown thrasher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Toxostoma rufum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4,900,000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brown-headed cowbird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Molothrus ater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Bullock's oriole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Icterus bullockii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6,200,000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bushtit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Psaltriparus minimus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2,300,000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Canada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Cardellina canadensis 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Cape May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tigrina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Cassin's vireo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Vireo cassinii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cedar waxwing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Bombycilla cedrorum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cerulean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cerulea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chestnut-collared longspur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Calcarius ornatus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chestnut-sided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pensylvanica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chipping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Spizella passerina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210,000,000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cliff swallow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Petrochelidon pyrrhonota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common grackle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Quiscalus quiscula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61,000,000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common yellowthroat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Geothlypis trichas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4802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83,000,000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dark-eyed junco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Junco hyemalis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6928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3922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dickcissel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Spiza americana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eastern bluebird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Sialia sialis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eastern kingbird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Tyrannus </w:t>
            </w:r>
            <w:proofErr w:type="spellStart"/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tyrannus</w:t>
            </w:r>
            <w:proofErr w:type="spellEnd"/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eastern meadowlark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Sturnella magna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eastern phoebe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Sayornis phoebe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eastern towhee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Pipilo erythrophthalmus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28,000,000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eastern wood-pewee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Contopus virens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5,500,000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European starling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Sturnus vulgaris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7494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4409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57,000,000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evening grosbeak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Coccothraustes vespertinus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3,900,000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field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Spizella pusilla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7,600,000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0.010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fox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Passerella iliaca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golden-crowned kinglet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Regulus satrapa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10384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6174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96,000,000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lastRenderedPageBreak/>
              <w:t>golden-crowned sparrow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Zonotrichia atricapilla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grasshopper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Ammodramus savannarum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gray catbird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Dumetella carolinensis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gray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Empidonax wrightii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gray vireo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Vireo vicinior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gray-cheeked thrush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Catharus minimus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15,000,000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green-tailed towhee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Pipilo chlorurus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4,100,000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Hammond's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Empidonax hammondii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hermit thrush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Catharus guttatus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hooded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citrina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horned lark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Eremophila alpestris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29597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17643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house finch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Haemorhous mexicanus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house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house wren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Troglodytes aedon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indigo bunting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Passerina cyanea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78,000,000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Kentucky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Geothlypis formosa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1,100,000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Lapland longspur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Calcarius lapponicus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lark bunting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Calamospiza melanocorys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9,100,000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lark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Chondestes grammacus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6,900,000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Le Conte's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Ammodramus leconteii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least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Empidonax minimus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36,000,000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lesser goldfinch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Carduelis psaltria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3,900,000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Lincoln's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Melospiza lincolnii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loggerhead shrike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Lanius ludovicianus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4,900,000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MacGillivray's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Geothlypis tolmiei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magnolia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magnolia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marsh wren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Cistothorus palustris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mountain bluebird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Sialia currucoides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4,600,000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mourning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Geothlypis philadelphia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Nashville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Oreothlypis ruficapilla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northern mockingbird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Mimus polyglottos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northern Parula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americana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13,000,000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lastRenderedPageBreak/>
              <w:t>northern rough-winged swallow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Stelgidopteryx serripennis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14,000,000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northern shrike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Lanius excubitor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366CD4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2,000,000</w:t>
            </w:r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northern waterthrush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Parkesia noveboracensis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oak titmouse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Baeolophus inornatus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orange-crowned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Oreothlypis celata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3379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orchard oriole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Icterus spurius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9,200,000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ovenbird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Seiurus aurocapilla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Pacific-slope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Empidonax difficilis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7,300,000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palm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palmarum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Philadelphia vireo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Vireo philadelphicus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pine siskin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Carduelis pinus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pine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pinus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prairie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discolor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3,500,000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purple finch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Haemorhous purpureus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6,300,000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purple martin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Progne subis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red crossbill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Loxia curvirostra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red-breasted nuthatch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Sitta canadensis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red-eyed vireo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Vireo olivaceus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6713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red-winged blackbird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Agelaius phoeniceus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rock wren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Salpinctes obsoletus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2,800,000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rose-breasted grosbeak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Pheucticus ludovicianus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4,100,000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ruby-crowned kinglet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Regulus calendula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5479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366CD4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 xml:space="preserve">sage </w:t>
            </w:r>
            <w:proofErr w:type="spellStart"/>
            <w:r w:rsidRPr="00952808">
              <w:rPr>
                <w:rFonts w:cs="Times New Roman"/>
                <w:color w:val="000000"/>
                <w:sz w:val="20"/>
                <w:szCs w:val="20"/>
              </w:rPr>
              <w:t>sparrow</w:t>
            </w:r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Artemisiospiza belli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sage thrasher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Oreoscoptes montanus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5,900,000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savannah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Passerculus sandwichensis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4444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Say's phoebe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Sayornis saya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scarlet tanager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Piranga olivacea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2,200,000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scissor-tailed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Tyrannus forficatus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8,700,000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sedge wren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Cistothorus platensis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6,200,000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snow bunting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Plectrophenax nivalis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song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Melospiza melodia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spotted towhee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Pipilo maculatus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2,200,000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lastRenderedPageBreak/>
              <w:t>Steller's jay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Cyanocitta stelleri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100,000,000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Swainson's thrush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Catharus ustulatus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swamp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Melospiza georgiana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Tennessee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Oreothlypis peregrina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Townsend's solitaire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Myadestes townsendi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970,000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Townsend's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townsendi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tree swallow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Tachycineta bicolor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6913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3917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tricolored blackbird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Agelaius tricolor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366CD4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300,000</w:t>
            </w:r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tufted titmouse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Baeolophus bicolor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blackbird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bluebird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corvid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crowned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empidonax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kingbird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kinglet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meadowlark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nuthatch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passerine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4825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swallow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thrasher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thrush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vireo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unidentified wren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varied thrush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Ixoreus naevius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veery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Catharus fuscescens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vesper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Pooecetes gramineus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28,000,000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warbling vireo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Vireo gilvus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49,000,000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western bluebird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Sialia mexicana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4,500,000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lastRenderedPageBreak/>
              <w:t>western flycatcher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Empidonax difficilis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366CD4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9,300,000</w:t>
            </w:r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western kingbird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Tyrannus verticalis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21,000,000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western meadowlark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Sturnella neglecta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5908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western scrub-jay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Aphelocoma californica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western tanager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Piranga ludoviciana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western wood-pewee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Contopus sordidulus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white-breasted nuthatch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Sitta carolinensis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8,300,000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white-crowned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Zonotrichia leucophrys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white-eyed vireo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Vireo griseus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18,000,000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white-throated sparrow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Zonotrichia albicollis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white-winged crossbill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Loxia leucoptera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Wilson's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Cardellina pusilla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winter wren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Troglodytes hiemalis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wood thrush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Hylocichla mustelina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yellow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petechia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90,000,000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yellow-bellied flycatcher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Empidonax flaviventris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12,000,000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yellow-breasted Chat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Icteria virens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0A4" w:rsidRPr="00326A83" w:rsidTr="00952808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yellow-headed blackbird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Xanthocephalus </w:t>
            </w:r>
            <w:proofErr w:type="spellStart"/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xanthocephalus</w:t>
            </w:r>
            <w:proofErr w:type="spellEnd"/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yellow-rumped warbler</w:t>
            </w:r>
          </w:p>
        </w:tc>
        <w:tc>
          <w:tcPr>
            <w:tcW w:w="2566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Setophaga coronata</w:t>
            </w:r>
          </w:p>
        </w:tc>
        <w:tc>
          <w:tcPr>
            <w:tcW w:w="90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84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405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130,000,000</w:t>
            </w:r>
          </w:p>
        </w:tc>
        <w:tc>
          <w:tcPr>
            <w:tcW w:w="1124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300A4" w:rsidRPr="00326A83" w:rsidTr="000B614E">
        <w:trPr>
          <w:cantSplit/>
          <w:trHeight w:val="20"/>
        </w:trPr>
        <w:tc>
          <w:tcPr>
            <w:tcW w:w="2729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yellow-throated vireo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Vireo flavifrons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952808" w:rsidRDefault="00B300A4" w:rsidP="0095280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808">
              <w:rPr>
                <w:rFonts w:cs="Times New Roman"/>
                <w:color w:val="000000"/>
                <w:sz w:val="20"/>
                <w:szCs w:val="20"/>
              </w:rPr>
              <w:t>3,500,000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B300A4" w:rsidRPr="00B300A4" w:rsidRDefault="00B300A4" w:rsidP="00B300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00A4">
              <w:rPr>
                <w:rFonts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4C2997" w:rsidRPr="00326A83" w:rsidTr="000B614E">
        <w:trPr>
          <w:cantSplit/>
          <w:trHeight w:val="20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4C2997" w:rsidRPr="00326A83" w:rsidRDefault="004C2997" w:rsidP="00D17375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26A83"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4C2997" w:rsidRPr="00326A83" w:rsidRDefault="004C2997" w:rsidP="00D17375">
            <w:pPr>
              <w:spacing w:line="240" w:lineRule="auto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000000"/>
              </w:rPr>
              <w:t>156</w:t>
            </w:r>
            <w:r w:rsidRPr="00326A83">
              <w:rPr>
                <w:rFonts w:eastAsia="Times New Roman" w:cs="Times New Roman"/>
                <w:b/>
                <w:iCs/>
                <w:color w:val="000000"/>
              </w:rPr>
              <w:t xml:space="preserve"> species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4C2997" w:rsidRPr="00DB68FF" w:rsidRDefault="004C2997" w:rsidP="0086669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8FF">
              <w:rPr>
                <w:rFonts w:cs="Times New Roman"/>
                <w:color w:val="000000"/>
                <w:sz w:val="20"/>
                <w:szCs w:val="20"/>
              </w:rPr>
              <w:t>229,765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4C2997" w:rsidRPr="00DB68FF" w:rsidRDefault="004C2997" w:rsidP="0086669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8FF">
              <w:rPr>
                <w:rFonts w:cs="Times New Roman"/>
                <w:color w:val="000000"/>
                <w:sz w:val="20"/>
                <w:szCs w:val="20"/>
              </w:rPr>
              <w:t>133,993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:rsidR="004C2997" w:rsidRPr="00326A83" w:rsidRDefault="004C2997" w:rsidP="00D173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:rsidR="004C2997" w:rsidRPr="00326A83" w:rsidRDefault="004C2997" w:rsidP="00D173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:rsidR="004C2997" w:rsidRPr="00326A83" w:rsidRDefault="004C2997" w:rsidP="00D173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A03C5" w:rsidRPr="00326A83" w:rsidTr="000B614E">
        <w:trPr>
          <w:cantSplit/>
          <w:trHeight w:val="20"/>
        </w:trPr>
        <w:tc>
          <w:tcPr>
            <w:tcW w:w="10829" w:type="dxa"/>
            <w:gridSpan w:val="7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  <w:hideMark/>
          </w:tcPr>
          <w:p w:rsidR="00EE2463" w:rsidRPr="00EE2463" w:rsidRDefault="003F7E64" w:rsidP="00EE246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vertAlign w:val="superscript"/>
              </w:rPr>
              <w:t>a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 xml:space="preserve"> Average </w:t>
            </w:r>
            <w:r w:rsidR="006A03C5" w:rsidRPr="007C7199">
              <w:rPr>
                <w:rFonts w:eastAsia="Times New Roman" w:cs="Times New Roman"/>
                <w:sz w:val="18"/>
              </w:rPr>
              <w:t xml:space="preserve">estimated number of fatalities each 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>year</w:t>
            </w:r>
            <w:r w:rsidR="006A03C5" w:rsidRPr="007C7199">
              <w:rPr>
                <w:rFonts w:eastAsia="Times New Roman" w:cs="Times New Roman"/>
                <w:sz w:val="18"/>
              </w:rPr>
              <w:t xml:space="preserve"> adjusted by the bias value that was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 xml:space="preserve"> the lowest</w:t>
            </w:r>
            <w:r w:rsidR="00B93E09">
              <w:rPr>
                <w:rFonts w:eastAsia="Times New Roman" w:cs="Times New Roman"/>
                <w:bCs/>
                <w:color w:val="000000"/>
                <w:sz w:val="18"/>
              </w:rPr>
              <w:t xml:space="preserve"> </w:t>
            </w:r>
            <w:r w:rsidR="00EE2463" w:rsidRPr="00EE2463">
              <w:rPr>
                <w:rFonts w:eastAsia="Times New Roman" w:cs="Times New Roman"/>
                <w:bCs/>
                <w:color w:val="000000"/>
                <w:sz w:val="18"/>
              </w:rPr>
              <w:t xml:space="preserve">and for operating capacity (see text and </w:t>
            </w:r>
            <w:r w:rsidR="00EE2463" w:rsidRPr="00EE2463">
              <w:rPr>
                <w:rFonts w:eastAsia="Times New Roman" w:cs="Times New Roman"/>
                <w:bCs/>
                <w:color w:val="000000"/>
                <w:sz w:val="18"/>
                <w:szCs w:val="24"/>
              </w:rPr>
              <w:t>Appendix S9)</w:t>
            </w:r>
          </w:p>
          <w:p w:rsidR="006A03C5" w:rsidRPr="007C7199" w:rsidRDefault="003F7E64" w:rsidP="00EE246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vertAlign w:val="superscript"/>
              </w:rPr>
              <w:t>b</w:t>
            </w:r>
            <w:r w:rsidR="006A03C5" w:rsidRPr="007C7199">
              <w:rPr>
                <w:rFonts w:eastAsia="Times New Roman" w:cs="Times New Roman"/>
                <w:sz w:val="18"/>
              </w:rPr>
              <w:t xml:space="preserve"> 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 xml:space="preserve">Average </w:t>
            </w:r>
            <w:r w:rsidR="006A03C5" w:rsidRPr="007C7199">
              <w:rPr>
                <w:rFonts w:eastAsia="Times New Roman" w:cs="Times New Roman"/>
                <w:sz w:val="18"/>
              </w:rPr>
              <w:t xml:space="preserve">estimated number of fatalities each 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>year</w:t>
            </w:r>
            <w:r w:rsidR="006A03C5" w:rsidRPr="007C7199">
              <w:rPr>
                <w:rFonts w:eastAsia="Times New Roman" w:cs="Times New Roman"/>
                <w:sz w:val="18"/>
              </w:rPr>
              <w:t xml:space="preserve"> adjusted by the bias value that was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 xml:space="preserve"> the highest</w:t>
            </w:r>
            <w:r w:rsidR="00EE2463">
              <w:rPr>
                <w:rFonts w:eastAsia="Times New Roman" w:cs="Times New Roman"/>
                <w:bCs/>
                <w:color w:val="000000"/>
                <w:sz w:val="18"/>
              </w:rPr>
              <w:t xml:space="preserve"> </w:t>
            </w:r>
            <w:r w:rsidR="00EE2463" w:rsidRPr="00EE2463">
              <w:rPr>
                <w:rFonts w:eastAsia="Times New Roman" w:cs="Times New Roman"/>
                <w:bCs/>
                <w:color w:val="000000"/>
                <w:sz w:val="18"/>
              </w:rPr>
              <w:t xml:space="preserve">and for operating capacity (see text and </w:t>
            </w:r>
            <w:r w:rsidR="00EE2463" w:rsidRPr="00EE2463">
              <w:rPr>
                <w:rFonts w:eastAsia="Times New Roman" w:cs="Times New Roman"/>
                <w:bCs/>
                <w:color w:val="000000"/>
                <w:sz w:val="18"/>
                <w:szCs w:val="24"/>
              </w:rPr>
              <w:t>Appendix S9)</w:t>
            </w:r>
          </w:p>
          <w:p w:rsidR="006A03C5" w:rsidRPr="007C7199" w:rsidRDefault="003F7E64" w:rsidP="003F7E64">
            <w:pPr>
              <w:spacing w:line="240" w:lineRule="auto"/>
              <w:rPr>
                <w:rFonts w:eastAsia="Times New Roman" w:cs="Times New Roman"/>
                <w:sz w:val="18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18"/>
                <w:vertAlign w:val="superscript"/>
              </w:rPr>
              <w:t>c</w:t>
            </w:r>
            <w:r w:rsidR="006A03C5" w:rsidRPr="007C7199">
              <w:rPr>
                <w:rFonts w:eastAsia="Times New Roman" w:cs="Times New Roman"/>
                <w:sz w:val="18"/>
                <w:vertAlign w:val="superscript"/>
              </w:rPr>
              <w:t xml:space="preserve"> </w:t>
            </w:r>
            <w:r w:rsidR="006A03C5" w:rsidRPr="007C7199">
              <w:rPr>
                <w:rFonts w:eastAsia="Times New Roman" w:cs="Times New Roman"/>
                <w:sz w:val="18"/>
              </w:rPr>
              <w:t>Population estimates obtained from the Partners in Flight Landbird</w:t>
            </w:r>
            <w:r w:rsidR="006A03C5">
              <w:rPr>
                <w:rFonts w:eastAsia="Times New Roman" w:cs="Times New Roman"/>
                <w:sz w:val="18"/>
              </w:rPr>
              <w:t xml:space="preserve"> Population Estimates Database </w:t>
            </w:r>
            <w:r w:rsidR="006A03C5" w:rsidRPr="007C7199">
              <w:rPr>
                <w:rFonts w:eastAsia="Times New Roman" w:cs="Times New Roman"/>
                <w:noProof/>
                <w:sz w:val="18"/>
              </w:rPr>
              <w:t>[1]</w:t>
            </w:r>
          </w:p>
          <w:p w:rsidR="006A03C5" w:rsidRPr="007C7199" w:rsidRDefault="003F7E64" w:rsidP="003F7E64">
            <w:pPr>
              <w:spacing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vertAlign w:val="superscript"/>
              </w:rPr>
              <w:t>d</w:t>
            </w:r>
            <w:r w:rsidR="006A03C5" w:rsidRPr="007C7199">
              <w:rPr>
                <w:rFonts w:eastAsia="Times New Roman" w:cs="Times New Roman"/>
                <w:sz w:val="18"/>
              </w:rPr>
              <w:t xml:space="preserve"> 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 xml:space="preserve">Percent of population affected </w:t>
            </w:r>
            <w:r w:rsidR="006A03C5" w:rsidRPr="007C7199">
              <w:rPr>
                <w:rFonts w:eastAsia="Times New Roman" w:cs="Times New Roman"/>
                <w:sz w:val="18"/>
              </w:rPr>
              <w:t xml:space="preserve">annually, </w:t>
            </w:r>
            <w:r w:rsidR="00A81994">
              <w:rPr>
                <w:rFonts w:eastAsia="Times New Roman" w:cs="Times New Roman"/>
                <w:sz w:val="18"/>
              </w:rPr>
              <w:t xml:space="preserve">using the estimate </w:t>
            </w:r>
            <w:r w:rsidR="006A03C5" w:rsidRPr="007C7199">
              <w:rPr>
                <w:rFonts w:eastAsia="Times New Roman" w:cs="Times New Roman"/>
                <w:sz w:val="18"/>
              </w:rPr>
              <w:t>adjusted by the bias value that was the lowest</w:t>
            </w:r>
          </w:p>
          <w:p w:rsidR="006A03C5" w:rsidRPr="007C7199" w:rsidRDefault="003F7E64" w:rsidP="003F7E64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</w:rPr>
            </w:pPr>
            <w:r>
              <w:rPr>
                <w:rFonts w:eastAsia="Times New Roman" w:cs="Times New Roman"/>
                <w:sz w:val="18"/>
                <w:vertAlign w:val="superscript"/>
              </w:rPr>
              <w:t>e</w:t>
            </w:r>
            <w:r w:rsidR="006A03C5" w:rsidRPr="007C7199">
              <w:rPr>
                <w:rFonts w:eastAsia="Times New Roman" w:cs="Times New Roman"/>
                <w:sz w:val="18"/>
                <w:vertAlign w:val="superscript"/>
              </w:rPr>
              <w:t xml:space="preserve"> 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 xml:space="preserve">Percent of population affected </w:t>
            </w:r>
            <w:r w:rsidR="006A03C5" w:rsidRPr="007C7199">
              <w:rPr>
                <w:rFonts w:eastAsia="Times New Roman" w:cs="Times New Roman"/>
                <w:sz w:val="18"/>
              </w:rPr>
              <w:t xml:space="preserve">annually, </w:t>
            </w:r>
            <w:r w:rsidR="00A81994">
              <w:rPr>
                <w:rFonts w:eastAsia="Times New Roman" w:cs="Times New Roman"/>
                <w:sz w:val="18"/>
              </w:rPr>
              <w:t xml:space="preserve">using the estimate </w:t>
            </w:r>
            <w:r w:rsidR="006A03C5" w:rsidRPr="007C7199">
              <w:rPr>
                <w:rFonts w:eastAsia="Times New Roman" w:cs="Times New Roman"/>
                <w:sz w:val="18"/>
              </w:rPr>
              <w:t>adjusted by the bias value that was the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 xml:space="preserve"> highest</w:t>
            </w:r>
          </w:p>
          <w:p w:rsidR="006A03C5" w:rsidRPr="007C7199" w:rsidRDefault="00391DA7" w:rsidP="003F7E64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vertAlign w:val="superscript"/>
              </w:rPr>
              <w:t>f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  <w:vertAlign w:val="superscript"/>
              </w:rPr>
              <w:t xml:space="preserve"> 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>Only a global estimate was available</w:t>
            </w:r>
          </w:p>
          <w:p w:rsidR="006A03C5" w:rsidRPr="007C7199" w:rsidRDefault="00391DA7" w:rsidP="003F7E64">
            <w:pPr>
              <w:spacing w:line="240" w:lineRule="auto"/>
              <w:rPr>
                <w:rFonts w:eastAsia="Times New Roman" w:cs="Times New Roman"/>
                <w:bCs/>
                <w:color w:val="000000"/>
                <w:sz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vertAlign w:val="superscript"/>
              </w:rPr>
              <w:t>g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  <w:vertAlign w:val="superscript"/>
              </w:rPr>
              <w:t xml:space="preserve"> 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>Recently divided into two species: sagebrush sparrow (</w:t>
            </w:r>
            <w:r w:rsidR="006A03C5" w:rsidRPr="00E82390">
              <w:rPr>
                <w:rFonts w:eastAsia="Times New Roman" w:cs="Times New Roman"/>
                <w:bCs/>
                <w:i/>
                <w:color w:val="000000"/>
                <w:sz w:val="18"/>
              </w:rPr>
              <w:t>Artemisiospiza nevadensis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>) and Bell’s sparrow (</w:t>
            </w:r>
            <w:r w:rsidR="006A03C5" w:rsidRPr="00E82390">
              <w:rPr>
                <w:rFonts w:eastAsia="Times New Roman" w:cs="Times New Roman"/>
                <w:bCs/>
                <w:i/>
                <w:color w:val="000000"/>
                <w:sz w:val="18"/>
              </w:rPr>
              <w:t>A. belli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>)</w:t>
            </w:r>
            <w:r w:rsidR="006A03C5">
              <w:rPr>
                <w:rFonts w:eastAsia="Times New Roman" w:cs="Times New Roman"/>
                <w:bCs/>
                <w:color w:val="000000"/>
                <w:sz w:val="18"/>
              </w:rPr>
              <w:t xml:space="preserve"> [2]</w:t>
            </w:r>
          </w:p>
          <w:p w:rsidR="006A03C5" w:rsidRPr="007C7199" w:rsidRDefault="00391DA7" w:rsidP="00391DA7">
            <w:pPr>
              <w:spacing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vertAlign w:val="superscript"/>
              </w:rPr>
              <w:t>h</w:t>
            </w:r>
            <w:r w:rsidR="004C2997">
              <w:rPr>
                <w:rFonts w:eastAsia="Times New Roman" w:cs="Times New Roman"/>
                <w:bCs/>
                <w:color w:val="000000"/>
                <w:sz w:val="18"/>
                <w:vertAlign w:val="superscript"/>
              </w:rPr>
              <w:t xml:space="preserve"> </w:t>
            </w:r>
            <w:r w:rsidR="006A03C5" w:rsidRPr="007C7199">
              <w:rPr>
                <w:rFonts w:eastAsia="Times New Roman" w:cs="Times New Roman"/>
                <w:bCs/>
                <w:color w:val="000000"/>
                <w:sz w:val="18"/>
              </w:rPr>
              <w:t>Population estimate is the summed values for cordilleran and Pacific-slope flycatcher</w:t>
            </w:r>
          </w:p>
        </w:tc>
      </w:tr>
    </w:tbl>
    <w:p w:rsidR="00326A83" w:rsidRPr="00326A83" w:rsidRDefault="00326A83" w:rsidP="00D24849"/>
    <w:p w:rsidR="0051545F" w:rsidRDefault="00D24849" w:rsidP="006A03C5">
      <w:pPr>
        <w:keepNext/>
      </w:pPr>
      <w:r>
        <w:lastRenderedPageBreak/>
        <w:t>Reference</w:t>
      </w:r>
      <w:r w:rsidR="006A03C5">
        <w:t>s</w:t>
      </w:r>
      <w:r>
        <w:t>:</w:t>
      </w:r>
    </w:p>
    <w:p w:rsidR="00D26E40" w:rsidRDefault="00D24849" w:rsidP="006A03C5">
      <w:pPr>
        <w:keepNext/>
        <w:keepLines/>
        <w:widowControl w:val="0"/>
        <w:adjustRightInd w:val="0"/>
        <w:spacing w:after="120" w:line="240" w:lineRule="auto"/>
        <w:ind w:left="720" w:hanging="720"/>
        <w:textAlignment w:val="baseline"/>
        <w:rPr>
          <w:rFonts w:eastAsia="Times New Roman" w:cs="Times New Roman"/>
          <w:noProof/>
          <w:szCs w:val="24"/>
        </w:rPr>
      </w:pPr>
      <w:r w:rsidRPr="00D24849">
        <w:rPr>
          <w:rFonts w:eastAsia="Times New Roman" w:cs="Times New Roman"/>
          <w:noProof/>
          <w:szCs w:val="24"/>
        </w:rPr>
        <w:t xml:space="preserve">1. </w:t>
      </w:r>
      <w:r w:rsidR="00D26E40" w:rsidRPr="00D26E40">
        <w:rPr>
          <w:rFonts w:eastAsia="Times New Roman" w:cs="Times New Roman"/>
          <w:noProof/>
          <w:szCs w:val="24"/>
        </w:rPr>
        <w:t xml:space="preserve">Partners in Flight Science Committee (2013) Population Estimates Database, version 2013. Available at </w:t>
      </w:r>
      <w:hyperlink r:id="rId7" w:history="1">
        <w:r w:rsidR="00D26E40" w:rsidRPr="00D26E40">
          <w:rPr>
            <w:rFonts w:eastAsia="Times New Roman" w:cs="Times New Roman"/>
            <w:color w:val="0000FF"/>
            <w:szCs w:val="24"/>
            <w:u w:val="single"/>
          </w:rPr>
          <w:t>http://rmbo.org/pifpop</w:t>
        </w:r>
        <w:r w:rsidR="00D26E40" w:rsidRPr="00D26E40">
          <w:rPr>
            <w:rFonts w:eastAsia="Times New Roman" w:cs="Times New Roman"/>
            <w:color w:val="0000FF"/>
            <w:szCs w:val="24"/>
            <w:u w:val="single"/>
          </w:rPr>
          <w:t>e</w:t>
        </w:r>
        <w:r w:rsidR="00D26E40" w:rsidRPr="00D26E40">
          <w:rPr>
            <w:rFonts w:eastAsia="Times New Roman" w:cs="Times New Roman"/>
            <w:color w:val="0000FF"/>
            <w:szCs w:val="24"/>
            <w:u w:val="single"/>
          </w:rPr>
          <w:t>stimates</w:t>
        </w:r>
      </w:hyperlink>
      <w:r w:rsidR="00D26E40" w:rsidRPr="00D26E40">
        <w:rPr>
          <w:rFonts w:eastAsia="Times New Roman" w:cs="Times New Roman"/>
          <w:noProof/>
          <w:szCs w:val="24"/>
        </w:rPr>
        <w:t>. Accessed on 31 December 2013.</w:t>
      </w:r>
    </w:p>
    <w:p w:rsidR="00D24849" w:rsidRPr="00B3353F" w:rsidRDefault="00B3353F" w:rsidP="00B3353F">
      <w:pPr>
        <w:keepLines/>
        <w:widowControl w:val="0"/>
        <w:adjustRightInd w:val="0"/>
        <w:spacing w:after="120" w:line="240" w:lineRule="auto"/>
        <w:ind w:left="720" w:hanging="720"/>
        <w:textAlignment w:val="baseline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2</w:t>
      </w:r>
      <w:r w:rsidRPr="00D24849">
        <w:rPr>
          <w:rFonts w:eastAsia="Times New Roman" w:cs="Times New Roman"/>
          <w:noProof/>
          <w:szCs w:val="24"/>
        </w:rPr>
        <w:t xml:space="preserve">. </w:t>
      </w:r>
      <w:r>
        <w:rPr>
          <w:rFonts w:eastAsia="Times New Roman" w:cs="Times New Roman"/>
          <w:noProof/>
          <w:szCs w:val="24"/>
        </w:rPr>
        <w:t>Chesser</w:t>
      </w:r>
      <w:r w:rsidRPr="00B3353F">
        <w:rPr>
          <w:rFonts w:eastAsia="Times New Roman" w:cs="Times New Roman"/>
          <w:noProof/>
          <w:szCs w:val="24"/>
        </w:rPr>
        <w:t xml:space="preserve"> RT, Banks RC, Barker FK</w:t>
      </w:r>
      <w:r>
        <w:rPr>
          <w:rFonts w:eastAsia="Times New Roman" w:cs="Times New Roman"/>
          <w:noProof/>
          <w:szCs w:val="24"/>
        </w:rPr>
        <w:t>, Cicero</w:t>
      </w:r>
      <w:r w:rsidRPr="00B3353F">
        <w:rPr>
          <w:rFonts w:eastAsia="Times New Roman" w:cs="Times New Roman"/>
          <w:noProof/>
          <w:szCs w:val="24"/>
        </w:rPr>
        <w:t xml:space="preserve"> C, Dunn JL, </w:t>
      </w:r>
      <w:r>
        <w:rPr>
          <w:rFonts w:eastAsia="Times New Roman" w:cs="Times New Roman"/>
          <w:noProof/>
          <w:szCs w:val="24"/>
        </w:rPr>
        <w:t>et al.</w:t>
      </w:r>
      <w:r w:rsidRPr="00B3353F">
        <w:rPr>
          <w:rFonts w:eastAsia="Times New Roman" w:cs="Times New Roman"/>
          <w:noProof/>
          <w:szCs w:val="24"/>
        </w:rPr>
        <w:t xml:space="preserve"> (2013) Fifty-fourth supplement to the American Ornithologists' Union </w:t>
      </w:r>
      <w:r>
        <w:rPr>
          <w:rFonts w:eastAsia="Times New Roman" w:cs="Times New Roman"/>
          <w:noProof/>
          <w:szCs w:val="24"/>
        </w:rPr>
        <w:t>C</w:t>
      </w:r>
      <w:r w:rsidRPr="00B3353F">
        <w:rPr>
          <w:rFonts w:eastAsia="Times New Roman" w:cs="Times New Roman"/>
          <w:noProof/>
          <w:szCs w:val="24"/>
        </w:rPr>
        <w:t xml:space="preserve">heck-list of North American birds. </w:t>
      </w:r>
      <w:r w:rsidRPr="00B3353F">
        <w:rPr>
          <w:rFonts w:eastAsia="Times New Roman" w:cs="Times New Roman"/>
          <w:iCs/>
          <w:noProof/>
          <w:szCs w:val="24"/>
        </w:rPr>
        <w:t>Auk</w:t>
      </w:r>
      <w:r w:rsidRPr="00B3353F">
        <w:rPr>
          <w:rFonts w:eastAsia="Times New Roman" w:cs="Times New Roman"/>
          <w:noProof/>
          <w:szCs w:val="24"/>
        </w:rPr>
        <w:t xml:space="preserve"> </w:t>
      </w:r>
      <w:r w:rsidRPr="00B3353F">
        <w:rPr>
          <w:rFonts w:eastAsia="Times New Roman" w:cs="Times New Roman"/>
          <w:iCs/>
          <w:noProof/>
          <w:szCs w:val="24"/>
        </w:rPr>
        <w:t>130</w:t>
      </w:r>
      <w:r w:rsidRPr="00B3353F">
        <w:rPr>
          <w:rFonts w:eastAsia="Times New Roman" w:cs="Times New Roman"/>
          <w:noProof/>
          <w:szCs w:val="24"/>
        </w:rPr>
        <w:t>(3)</w:t>
      </w:r>
      <w:r>
        <w:rPr>
          <w:rFonts w:eastAsia="Times New Roman" w:cs="Times New Roman"/>
          <w:noProof/>
          <w:szCs w:val="24"/>
        </w:rPr>
        <w:t>:</w:t>
      </w:r>
      <w:r w:rsidRPr="00B3353F">
        <w:rPr>
          <w:rFonts w:eastAsia="Times New Roman" w:cs="Times New Roman"/>
          <w:noProof/>
          <w:szCs w:val="24"/>
        </w:rPr>
        <w:t xml:space="preserve"> 558-572.</w:t>
      </w:r>
    </w:p>
    <w:sectPr w:rsidR="00D24849" w:rsidRPr="00B3353F" w:rsidSect="00326A8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9A" w:rsidRDefault="009E709A" w:rsidP="00DE1F3A">
      <w:pPr>
        <w:spacing w:line="240" w:lineRule="auto"/>
      </w:pPr>
      <w:r>
        <w:separator/>
      </w:r>
    </w:p>
  </w:endnote>
  <w:endnote w:type="continuationSeparator" w:id="0">
    <w:p w:rsidR="009E709A" w:rsidRDefault="009E709A" w:rsidP="00DE1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9745"/>
      <w:docPartObj>
        <w:docPartGallery w:val="Page Numbers (Bottom of Page)"/>
        <w:docPartUnique/>
      </w:docPartObj>
    </w:sdtPr>
    <w:sdtContent>
      <w:p w:rsidR="0086669B" w:rsidRDefault="00CB17B1">
        <w:pPr>
          <w:pStyle w:val="Footer"/>
          <w:jc w:val="center"/>
        </w:pPr>
        <w:fldSimple w:instr=" PAGE   \* MERGEFORMAT ">
          <w:r w:rsidR="00D26E40">
            <w:rPr>
              <w:noProof/>
            </w:rPr>
            <w:t>7</w:t>
          </w:r>
        </w:fldSimple>
      </w:p>
    </w:sdtContent>
  </w:sdt>
  <w:p w:rsidR="0086669B" w:rsidRDefault="00866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9A" w:rsidRDefault="009E709A" w:rsidP="00DE1F3A">
      <w:pPr>
        <w:spacing w:line="240" w:lineRule="auto"/>
      </w:pPr>
      <w:r>
        <w:separator/>
      </w:r>
    </w:p>
  </w:footnote>
  <w:footnote w:type="continuationSeparator" w:id="0">
    <w:p w:rsidR="009E709A" w:rsidRDefault="009E709A" w:rsidP="00DE1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26C"/>
    <w:multiLevelType w:val="hybridMultilevel"/>
    <w:tmpl w:val="F074393C"/>
    <w:lvl w:ilvl="0" w:tplc="328C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CA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2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A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A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0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A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81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E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FC1386"/>
    <w:multiLevelType w:val="hybridMultilevel"/>
    <w:tmpl w:val="65AE3ED6"/>
    <w:lvl w:ilvl="0" w:tplc="025271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881CA">
      <w:start w:val="1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2D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A5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84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44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AE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68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8E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B4C03"/>
    <w:multiLevelType w:val="hybridMultilevel"/>
    <w:tmpl w:val="960CCD80"/>
    <w:lvl w:ilvl="0" w:tplc="39C0F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46370">
      <w:start w:val="1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0D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6B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A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AE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6A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07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27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976F4"/>
    <w:multiLevelType w:val="hybridMultilevel"/>
    <w:tmpl w:val="92320E7A"/>
    <w:lvl w:ilvl="0" w:tplc="A3FA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0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0BA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66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6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0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E0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E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E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8267C3"/>
    <w:multiLevelType w:val="hybridMultilevel"/>
    <w:tmpl w:val="F390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128A8"/>
    <w:multiLevelType w:val="hybridMultilevel"/>
    <w:tmpl w:val="AB4059C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65FF4"/>
    <w:multiLevelType w:val="hybridMultilevel"/>
    <w:tmpl w:val="D6E6EB7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3347B"/>
    <w:multiLevelType w:val="hybridMultilevel"/>
    <w:tmpl w:val="3300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11F"/>
    <w:multiLevelType w:val="hybridMultilevel"/>
    <w:tmpl w:val="581C9E94"/>
    <w:lvl w:ilvl="0" w:tplc="3934D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6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EB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04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61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8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2B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21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A4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47631"/>
    <w:multiLevelType w:val="hybridMultilevel"/>
    <w:tmpl w:val="02747C06"/>
    <w:lvl w:ilvl="0" w:tplc="8DB02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8A2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A07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2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40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29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0C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6C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61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8B1A87"/>
    <w:multiLevelType w:val="hybridMultilevel"/>
    <w:tmpl w:val="C12A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62F8A"/>
    <w:multiLevelType w:val="hybridMultilevel"/>
    <w:tmpl w:val="134A6E9C"/>
    <w:lvl w:ilvl="0" w:tplc="1BA4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4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2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83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2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0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EA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ED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367C91"/>
    <w:multiLevelType w:val="hybridMultilevel"/>
    <w:tmpl w:val="2ECCCA94"/>
    <w:lvl w:ilvl="0" w:tplc="06AE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65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0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8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E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01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CF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84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E260A1"/>
    <w:multiLevelType w:val="hybridMultilevel"/>
    <w:tmpl w:val="9FCA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F5AFB"/>
    <w:multiLevelType w:val="hybridMultilevel"/>
    <w:tmpl w:val="2448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A0A15"/>
    <w:multiLevelType w:val="hybridMultilevel"/>
    <w:tmpl w:val="0B88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83"/>
    <w:rsid w:val="00004DAA"/>
    <w:rsid w:val="00010B23"/>
    <w:rsid w:val="00043C56"/>
    <w:rsid w:val="00053247"/>
    <w:rsid w:val="000670DE"/>
    <w:rsid w:val="000B614E"/>
    <w:rsid w:val="00226EC1"/>
    <w:rsid w:val="0023401F"/>
    <w:rsid w:val="00260F6D"/>
    <w:rsid w:val="002A0432"/>
    <w:rsid w:val="002A5D22"/>
    <w:rsid w:val="00303689"/>
    <w:rsid w:val="00326A83"/>
    <w:rsid w:val="00366CD4"/>
    <w:rsid w:val="00391DA7"/>
    <w:rsid w:val="003B7078"/>
    <w:rsid w:val="003F5B28"/>
    <w:rsid w:val="003F7E64"/>
    <w:rsid w:val="00413CF7"/>
    <w:rsid w:val="00416932"/>
    <w:rsid w:val="00434A28"/>
    <w:rsid w:val="00452F93"/>
    <w:rsid w:val="00465E05"/>
    <w:rsid w:val="00481BEC"/>
    <w:rsid w:val="004C2997"/>
    <w:rsid w:val="0051545F"/>
    <w:rsid w:val="00525D66"/>
    <w:rsid w:val="00561F3D"/>
    <w:rsid w:val="005B1BC3"/>
    <w:rsid w:val="005E10CB"/>
    <w:rsid w:val="006837DF"/>
    <w:rsid w:val="006A03C5"/>
    <w:rsid w:val="006E24A3"/>
    <w:rsid w:val="006E72E9"/>
    <w:rsid w:val="007A1EB0"/>
    <w:rsid w:val="007B6B1B"/>
    <w:rsid w:val="007C7199"/>
    <w:rsid w:val="007E54AE"/>
    <w:rsid w:val="0081149D"/>
    <w:rsid w:val="0086669B"/>
    <w:rsid w:val="008C63AC"/>
    <w:rsid w:val="00906268"/>
    <w:rsid w:val="00925FAA"/>
    <w:rsid w:val="00941B66"/>
    <w:rsid w:val="00952808"/>
    <w:rsid w:val="00954C56"/>
    <w:rsid w:val="00980862"/>
    <w:rsid w:val="009E53E9"/>
    <w:rsid w:val="009E709A"/>
    <w:rsid w:val="009F0638"/>
    <w:rsid w:val="009F3719"/>
    <w:rsid w:val="00A16615"/>
    <w:rsid w:val="00A36389"/>
    <w:rsid w:val="00A676A4"/>
    <w:rsid w:val="00A73A21"/>
    <w:rsid w:val="00A81994"/>
    <w:rsid w:val="00AF5349"/>
    <w:rsid w:val="00B01E59"/>
    <w:rsid w:val="00B16AB5"/>
    <w:rsid w:val="00B300A4"/>
    <w:rsid w:val="00B3353F"/>
    <w:rsid w:val="00B93E09"/>
    <w:rsid w:val="00B95DDE"/>
    <w:rsid w:val="00B961A0"/>
    <w:rsid w:val="00BA2F12"/>
    <w:rsid w:val="00BD6880"/>
    <w:rsid w:val="00C20A56"/>
    <w:rsid w:val="00C70B92"/>
    <w:rsid w:val="00CB17B1"/>
    <w:rsid w:val="00CF4D72"/>
    <w:rsid w:val="00D17375"/>
    <w:rsid w:val="00D24849"/>
    <w:rsid w:val="00D26E40"/>
    <w:rsid w:val="00D97D2B"/>
    <w:rsid w:val="00DE1F3A"/>
    <w:rsid w:val="00E32C7B"/>
    <w:rsid w:val="00E642B1"/>
    <w:rsid w:val="00E726A4"/>
    <w:rsid w:val="00E82390"/>
    <w:rsid w:val="00EB4C61"/>
    <w:rsid w:val="00EE2463"/>
    <w:rsid w:val="00F83A20"/>
    <w:rsid w:val="00F859C0"/>
    <w:rsid w:val="00F91F50"/>
    <w:rsid w:val="00FA4B2D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49"/>
    <w:pPr>
      <w:spacing w:after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A83"/>
    <w:pPr>
      <w:keepNext/>
      <w:spacing w:before="360" w:after="240"/>
      <w:outlineLvl w:val="0"/>
    </w:pPr>
    <w:rPr>
      <w:rFonts w:eastAsiaTheme="majorEastAsia" w:cstheme="majorBid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83"/>
    <w:pPr>
      <w:keepNext/>
      <w:spacing w:before="18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83"/>
    <w:pPr>
      <w:keepNext/>
      <w:keepLines/>
      <w:spacing w:before="200" w:after="120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A83"/>
    <w:pPr>
      <w:keepNext/>
      <w:outlineLvl w:val="3"/>
    </w:pPr>
    <w:rPr>
      <w:rFonts w:eastAsiaTheme="majorEastAsia" w:cstheme="majorBidi"/>
      <w:bCs/>
      <w:i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26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26A83"/>
    <w:pPr>
      <w:keepNext/>
      <w:spacing w:line="240" w:lineRule="auto"/>
      <w:ind w:left="720" w:hanging="720"/>
      <w:outlineLvl w:val="5"/>
    </w:pPr>
    <w:rPr>
      <w:rFonts w:eastAsia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26A83"/>
    <w:pPr>
      <w:spacing w:line="240" w:lineRule="auto"/>
      <w:ind w:left="702" w:hanging="702"/>
      <w:outlineLvl w:val="6"/>
    </w:pPr>
    <w:rPr>
      <w:rFonts w:eastAsia="Times New Roman" w:cs="Times New Roman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26A83"/>
    <w:pPr>
      <w:jc w:val="center"/>
      <w:outlineLvl w:val="7"/>
    </w:pPr>
    <w:rPr>
      <w:rFonts w:eastAsia="Times New Roman" w:cs="Times New Roman"/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A8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26A8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A83"/>
    <w:rPr>
      <w:rFonts w:ascii="Times New Roman" w:eastAsiaTheme="majorEastAsia" w:hAnsi="Times New Roman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A83"/>
    <w:rPr>
      <w:rFonts w:ascii="Times New Roman" w:eastAsiaTheme="majorEastAsia" w:hAnsi="Times New Roman" w:cstheme="majorBidi"/>
      <w:bCs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26A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26A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26A83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26A83"/>
    <w:rPr>
      <w:rFonts w:ascii="Times New Roman" w:eastAsia="Times New Roman" w:hAnsi="Times New Roman" w:cs="Times New Roman"/>
      <w:b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26A83"/>
  </w:style>
  <w:style w:type="paragraph" w:styleId="DocumentMap">
    <w:name w:val="Document Map"/>
    <w:basedOn w:val="Normal"/>
    <w:link w:val="DocumentMapChar"/>
    <w:uiPriority w:val="99"/>
    <w:semiHidden/>
    <w:unhideWhenUsed/>
    <w:rsid w:val="00326A8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6A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A83"/>
    <w:pPr>
      <w:ind w:left="720"/>
      <w:contextualSpacing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326A83"/>
    <w:rPr>
      <w:sz w:val="16"/>
      <w:szCs w:val="16"/>
    </w:rPr>
  </w:style>
  <w:style w:type="paragraph" w:styleId="CommentText">
    <w:name w:val="annotation text"/>
    <w:aliases w:val=" Char,Char"/>
    <w:basedOn w:val="Normal"/>
    <w:link w:val="CommentTextChar"/>
    <w:uiPriority w:val="99"/>
    <w:unhideWhenUsed/>
    <w:rsid w:val="00326A83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aliases w:val=" Char Char,Char Char"/>
    <w:basedOn w:val="DefaultParagraphFont"/>
    <w:link w:val="CommentText"/>
    <w:uiPriority w:val="99"/>
    <w:rsid w:val="00326A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8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8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t,BT,Durham Body Text,vv,Outline-1,Body text,bt1,bt2,Test,o,Example,b,Todd Text,bt3,SD-body"/>
    <w:basedOn w:val="Normal"/>
    <w:link w:val="BodyTextChar"/>
    <w:rsid w:val="00326A83"/>
    <w:pPr>
      <w:spacing w:after="91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Char">
    <w:name w:val="Body Text Char"/>
    <w:aliases w:val="bt Char,BT Char,Durham Body Text Char,vv Char,Outline-1 Char,Body text Char,bt1 Char,bt2 Char,Test Char,o Char,Example Char,b Char,Todd Text Char,bt3 Char,SD-body Char"/>
    <w:basedOn w:val="DefaultParagraphFont"/>
    <w:link w:val="BodyText"/>
    <w:rsid w:val="00326A83"/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32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A83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6A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A83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6A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26A83"/>
  </w:style>
  <w:style w:type="paragraph" w:styleId="TOC1">
    <w:name w:val="toc 1"/>
    <w:basedOn w:val="Normal"/>
    <w:next w:val="Normal"/>
    <w:autoRedefine/>
    <w:uiPriority w:val="39"/>
    <w:unhideWhenUsed/>
    <w:rsid w:val="00326A83"/>
    <w:pPr>
      <w:keepNext/>
      <w:tabs>
        <w:tab w:val="right" w:leader="dot" w:pos="9350"/>
      </w:tabs>
      <w:spacing w:before="120" w:after="120"/>
      <w:ind w:right="432"/>
    </w:pPr>
    <w:rPr>
      <w:rFonts w:eastAsia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26A83"/>
    <w:pPr>
      <w:spacing w:after="120"/>
      <w:ind w:left="216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A8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A8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A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6A8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6A8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6A83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326A83"/>
    <w:pPr>
      <w:ind w:left="1166" w:hanging="720"/>
    </w:pPr>
    <w:rPr>
      <w:rFonts w:eastAsia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26A83"/>
    <w:pPr>
      <w:ind w:left="662"/>
    </w:pPr>
    <w:rPr>
      <w:rFonts w:eastAsia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26A83"/>
    <w:pPr>
      <w:keepLines/>
      <w:spacing w:after="120"/>
      <w:ind w:left="720" w:right="432" w:hanging="720"/>
    </w:pPr>
    <w:rPr>
      <w:rFonts w:eastAsia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326A83"/>
  </w:style>
  <w:style w:type="numbering" w:customStyle="1" w:styleId="NoList2">
    <w:name w:val="No List2"/>
    <w:next w:val="NoList"/>
    <w:uiPriority w:val="99"/>
    <w:semiHidden/>
    <w:unhideWhenUsed/>
    <w:rsid w:val="00326A83"/>
  </w:style>
  <w:style w:type="table" w:customStyle="1" w:styleId="TableGrid1">
    <w:name w:val="Table Grid1"/>
    <w:basedOn w:val="TableNormal"/>
    <w:next w:val="TableGrid"/>
    <w:uiPriority w:val="59"/>
    <w:rsid w:val="00326A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326A83"/>
  </w:style>
  <w:style w:type="character" w:styleId="LineNumber">
    <w:name w:val="line number"/>
    <w:basedOn w:val="DefaultParagraphFont"/>
    <w:uiPriority w:val="99"/>
    <w:semiHidden/>
    <w:unhideWhenUsed/>
    <w:rsid w:val="00326A83"/>
  </w:style>
  <w:style w:type="numbering" w:customStyle="1" w:styleId="NoList21">
    <w:name w:val="No List21"/>
    <w:next w:val="NoList"/>
    <w:uiPriority w:val="99"/>
    <w:semiHidden/>
    <w:unhideWhenUsed/>
    <w:rsid w:val="00326A83"/>
  </w:style>
  <w:style w:type="table" w:customStyle="1" w:styleId="TableGrid11">
    <w:name w:val="Table Grid11"/>
    <w:basedOn w:val="TableNormal"/>
    <w:next w:val="TableGrid"/>
    <w:uiPriority w:val="59"/>
    <w:rsid w:val="00326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326A83"/>
  </w:style>
  <w:style w:type="numbering" w:customStyle="1" w:styleId="NoList3">
    <w:name w:val="No List3"/>
    <w:next w:val="NoList"/>
    <w:uiPriority w:val="99"/>
    <w:semiHidden/>
    <w:unhideWhenUsed/>
    <w:rsid w:val="00326A83"/>
  </w:style>
  <w:style w:type="table" w:customStyle="1" w:styleId="TableGrid2">
    <w:name w:val="Table Grid2"/>
    <w:basedOn w:val="TableNormal"/>
    <w:next w:val="TableGrid"/>
    <w:uiPriority w:val="59"/>
    <w:rsid w:val="00326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326A83"/>
  </w:style>
  <w:style w:type="numbering" w:customStyle="1" w:styleId="NoList4">
    <w:name w:val="No List4"/>
    <w:next w:val="NoList"/>
    <w:uiPriority w:val="99"/>
    <w:semiHidden/>
    <w:unhideWhenUsed/>
    <w:rsid w:val="00326A83"/>
  </w:style>
  <w:style w:type="table" w:customStyle="1" w:styleId="TableGrid3">
    <w:name w:val="Table Grid3"/>
    <w:basedOn w:val="TableNormal"/>
    <w:next w:val="TableGrid"/>
    <w:uiPriority w:val="59"/>
    <w:rsid w:val="00326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326A83"/>
  </w:style>
  <w:style w:type="character" w:customStyle="1" w:styleId="apple-converted-space">
    <w:name w:val="apple-converted-space"/>
    <w:rsid w:val="00326A83"/>
  </w:style>
  <w:style w:type="numbering" w:customStyle="1" w:styleId="NoList5">
    <w:name w:val="No List5"/>
    <w:next w:val="NoList"/>
    <w:uiPriority w:val="99"/>
    <w:semiHidden/>
    <w:unhideWhenUsed/>
    <w:rsid w:val="00326A83"/>
  </w:style>
  <w:style w:type="table" w:customStyle="1" w:styleId="TableGrid4">
    <w:name w:val="Table Grid4"/>
    <w:basedOn w:val="TableNormal"/>
    <w:next w:val="TableGrid"/>
    <w:uiPriority w:val="59"/>
    <w:rsid w:val="00326A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326A83"/>
  </w:style>
  <w:style w:type="numbering" w:customStyle="1" w:styleId="NoList22">
    <w:name w:val="No List22"/>
    <w:next w:val="NoList"/>
    <w:uiPriority w:val="99"/>
    <w:semiHidden/>
    <w:unhideWhenUsed/>
    <w:rsid w:val="00326A83"/>
  </w:style>
  <w:style w:type="table" w:customStyle="1" w:styleId="TableGrid12">
    <w:name w:val="Table Grid12"/>
    <w:basedOn w:val="TableNormal"/>
    <w:next w:val="TableGrid"/>
    <w:uiPriority w:val="59"/>
    <w:rsid w:val="00326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326A83"/>
  </w:style>
  <w:style w:type="numbering" w:customStyle="1" w:styleId="NoList31">
    <w:name w:val="No List31"/>
    <w:next w:val="NoList"/>
    <w:uiPriority w:val="99"/>
    <w:semiHidden/>
    <w:unhideWhenUsed/>
    <w:rsid w:val="00326A83"/>
  </w:style>
  <w:style w:type="numbering" w:customStyle="1" w:styleId="NoList121">
    <w:name w:val="No List121"/>
    <w:next w:val="NoList"/>
    <w:uiPriority w:val="99"/>
    <w:semiHidden/>
    <w:unhideWhenUsed/>
    <w:rsid w:val="00326A83"/>
  </w:style>
  <w:style w:type="numbering" w:customStyle="1" w:styleId="NoList41">
    <w:name w:val="No List41"/>
    <w:next w:val="NoList"/>
    <w:uiPriority w:val="99"/>
    <w:semiHidden/>
    <w:unhideWhenUsed/>
    <w:rsid w:val="00326A83"/>
  </w:style>
  <w:style w:type="numbering" w:customStyle="1" w:styleId="NoList131">
    <w:name w:val="No List131"/>
    <w:next w:val="NoList"/>
    <w:uiPriority w:val="99"/>
    <w:semiHidden/>
    <w:unhideWhenUsed/>
    <w:rsid w:val="0032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mbo.org/pifpopestim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Wolfe</cp:lastModifiedBy>
  <cp:revision>8</cp:revision>
  <dcterms:created xsi:type="dcterms:W3CDTF">2014-04-08T22:38:00Z</dcterms:created>
  <dcterms:modified xsi:type="dcterms:W3CDTF">2014-08-05T16:24:00Z</dcterms:modified>
</cp:coreProperties>
</file>