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3E" w:rsidRPr="0091705F" w:rsidRDefault="00EF7828" w:rsidP="00734C76">
      <w:pPr>
        <w:jc w:val="left"/>
        <w:rPr>
          <w:rFonts w:cs="Times New Roman"/>
        </w:rPr>
      </w:pPr>
      <w:r w:rsidRPr="0091705F">
        <w:rPr>
          <w:rFonts w:cs="Times New Roman"/>
          <w:b/>
        </w:rPr>
        <w:t xml:space="preserve">Appendix S8. </w:t>
      </w:r>
      <w:r w:rsidR="00734C76" w:rsidRPr="0091705F">
        <w:rPr>
          <w:rFonts w:cs="Times New Roman"/>
          <w:b/>
        </w:rPr>
        <w:t xml:space="preserve">The number </w:t>
      </w:r>
      <w:r w:rsidR="00BF449B" w:rsidRPr="0091705F">
        <w:rPr>
          <w:rFonts w:cs="Times New Roman"/>
          <w:b/>
        </w:rPr>
        <w:t>and</w:t>
      </w:r>
      <w:r w:rsidR="00734C76" w:rsidRPr="0091705F">
        <w:rPr>
          <w:rFonts w:cs="Times New Roman"/>
          <w:b/>
        </w:rPr>
        <w:t xml:space="preserve"> percent composition of fatalities of small passerines </w:t>
      </w:r>
      <w:r w:rsidR="00BF449B" w:rsidRPr="0091705F">
        <w:rPr>
          <w:rFonts w:cs="Times New Roman"/>
          <w:b/>
        </w:rPr>
        <w:t>found during</w:t>
      </w:r>
      <w:r w:rsidR="00734C76" w:rsidRPr="0091705F">
        <w:rPr>
          <w:rFonts w:cs="Times New Roman"/>
          <w:b/>
        </w:rPr>
        <w:t xml:space="preserve"> 116 studies of bird collisions with wind energy turbines, geographically separated into avifaunal biomes</w:t>
      </w:r>
      <w:r w:rsidR="00BF449B" w:rsidRPr="0091705F">
        <w:rPr>
          <w:rFonts w:cs="Times New Roman"/>
          <w:b/>
        </w:rPr>
        <w:t xml:space="preserve">, along with the estimated annual number of fatalities using the lowest and highest bias adjustment value. </w:t>
      </w:r>
      <w:r w:rsidR="000B5347" w:rsidRPr="0091705F">
        <w:rPr>
          <w:rFonts w:cs="Times New Roman"/>
        </w:rPr>
        <w:t xml:space="preserve">Blank spaces indicate no fatalities were recorded. </w:t>
      </w:r>
      <w:r w:rsidR="006F3C80" w:rsidRPr="0091705F">
        <w:rPr>
          <w:rFonts w:cs="Times New Roman"/>
        </w:rPr>
        <w:t xml:space="preserve">See Appendix </w:t>
      </w:r>
      <w:r w:rsidR="00735FFE" w:rsidRPr="0091705F">
        <w:rPr>
          <w:rFonts w:cs="Times New Roman"/>
        </w:rPr>
        <w:t>S</w:t>
      </w:r>
      <w:r w:rsidR="006F3C80" w:rsidRPr="0091705F">
        <w:rPr>
          <w:rFonts w:cs="Times New Roman"/>
        </w:rPr>
        <w:t xml:space="preserve">10 for </w:t>
      </w:r>
      <w:r w:rsidR="0004693D" w:rsidRPr="0091705F">
        <w:rPr>
          <w:rFonts w:cs="Times New Roman"/>
        </w:rPr>
        <w:t>scientific names of each species.</w:t>
      </w:r>
      <w:r w:rsidR="00734C76" w:rsidRPr="0091705F">
        <w:rPr>
          <w:rFonts w:cs="Times New Roman"/>
        </w:rPr>
        <w:t xml:space="preserve"> Column A = number of fatalities found in studies in biome, B = </w:t>
      </w:r>
      <w:r w:rsidR="007B02EF">
        <w:rPr>
          <w:rFonts w:cs="Times New Roman"/>
        </w:rPr>
        <w:t>proportion of total</w:t>
      </w:r>
      <w:r w:rsidR="00734C76" w:rsidRPr="0091705F">
        <w:rPr>
          <w:rFonts w:cs="Times New Roman"/>
        </w:rPr>
        <w:t xml:space="preserve"> in biome, C = estimated number of fatalities each year adjusted by the bias value that was the lowest, D = estimated number of fatalities each year adjusted by the bias value that was the highest.</w:t>
      </w:r>
    </w:p>
    <w:tbl>
      <w:tblPr>
        <w:tblStyle w:val="TableGrid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88"/>
        <w:gridCol w:w="630"/>
        <w:gridCol w:w="720"/>
        <w:gridCol w:w="810"/>
        <w:gridCol w:w="540"/>
        <w:gridCol w:w="450"/>
        <w:gridCol w:w="720"/>
        <w:gridCol w:w="540"/>
        <w:gridCol w:w="630"/>
        <w:gridCol w:w="450"/>
        <w:gridCol w:w="630"/>
        <w:gridCol w:w="708"/>
        <w:gridCol w:w="552"/>
        <w:gridCol w:w="450"/>
        <w:gridCol w:w="630"/>
        <w:gridCol w:w="540"/>
        <w:gridCol w:w="540"/>
        <w:gridCol w:w="450"/>
        <w:gridCol w:w="630"/>
        <w:gridCol w:w="630"/>
        <w:gridCol w:w="720"/>
      </w:tblGrid>
      <w:tr w:rsidR="00F94DE7" w:rsidRPr="0091705F" w:rsidTr="00735FFE">
        <w:trPr>
          <w:cantSplit/>
          <w:tblHeader/>
        </w:trPr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DE7" w:rsidRPr="0091705F" w:rsidRDefault="00F94DE7" w:rsidP="00EF7828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70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DE7" w:rsidRPr="0091705F" w:rsidRDefault="00F94DE7" w:rsidP="00EF78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Avifaunal Biome</w:t>
            </w:r>
          </w:p>
        </w:tc>
      </w:tr>
      <w:tr w:rsidR="00DF7F3E" w:rsidRPr="0091705F" w:rsidTr="00183396">
        <w:trPr>
          <w:cantSplit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F3E" w:rsidRPr="0091705F" w:rsidRDefault="00DF7F3E" w:rsidP="00EF7828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F3E" w:rsidRPr="0091705F" w:rsidRDefault="00DF7F3E" w:rsidP="00EF78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Eastern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F3E" w:rsidRPr="0091705F" w:rsidRDefault="00DF7F3E" w:rsidP="00EF78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Intermountain West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F3E" w:rsidRPr="0091705F" w:rsidRDefault="00DF7F3E" w:rsidP="00EF78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Northern Forest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F3E" w:rsidRPr="0091705F" w:rsidRDefault="00DF7F3E" w:rsidP="00EF78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Pacific</w:t>
            </w:r>
            <w:r w:rsidR="007458ED" w:rsidRPr="0091705F"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F3E" w:rsidRPr="0091705F" w:rsidRDefault="00DF7F3E" w:rsidP="00EF78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Prairie</w:t>
            </w:r>
          </w:p>
        </w:tc>
      </w:tr>
      <w:tr w:rsidR="00735FFE" w:rsidRPr="0091705F" w:rsidTr="00183396">
        <w:trPr>
          <w:cantSplit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49B" w:rsidRPr="0091705F" w:rsidRDefault="00BF449B" w:rsidP="00EF782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EF7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EF7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EF7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49B" w:rsidRPr="0091705F" w:rsidRDefault="00BF449B" w:rsidP="00EF7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49B" w:rsidRPr="0091705F" w:rsidRDefault="00BF449B" w:rsidP="004B75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D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Acadian flycatcher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alder flycatcher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American goldfinch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873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American pipit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American redstart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394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American robin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American tree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3,756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2,038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ash-throated flycatcher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bank swallow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barn swallow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4,829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2,620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bay-breasted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Bell's vireo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Bewick's wren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lastRenderedPageBreak/>
              <w:t>black-and-white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873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Blackburnian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black-capped chickadee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black-headed grosbeak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blackpoll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1,411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black-tailed gnatcatcher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black-throated blue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755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black-throated gray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black-throated green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394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black-throated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blue jay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blue-headed vireo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lastRenderedPageBreak/>
              <w:t>blue-winged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bobolink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558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376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Brewer's blackbird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266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Brewer's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404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brown creeper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brown thrasher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873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brown-headed cowbird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2,146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1,165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Bullock's oriole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bushtit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Canada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Cape May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394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Cassin's vireo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cedar waxwing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873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cerulean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chestnut-collared longspur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chestnut-sided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492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lastRenderedPageBreak/>
              <w:t>chipping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238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cliff swallow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873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common grackle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2,146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1,165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common yellowthroat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361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4,292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2,329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dark-eyed junco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904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5,902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3,202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dickcissel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873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eastern bluebird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eastern kingbird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2,146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1,165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eastern meadowlark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873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eastern phoebe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eastern towhee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eastern wood-pewee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European starling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1,261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268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253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5,365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2,911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evening grosbeak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field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fox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lastRenderedPageBreak/>
              <w:t>golden-crowned kinglet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1,247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2,069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1,292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382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6,439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3,494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golden-crowned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grasshopper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2,146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1,165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gray catbird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873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gray flycatcher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gray vireo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gray-cheeked thrush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green-tailed towhee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Hammond's flycatcher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hermit thrush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hooded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horned lark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0.45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14,461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9,027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13,414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7,278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house finch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house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238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house wren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3,219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1,747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indigo bunting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Kentucky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lastRenderedPageBreak/>
              <w:t>Lapland longspur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lark bunting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lark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Le Conte's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least flycatcher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lesser goldfinch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Lincoln's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loggerhead shrike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MacGillivray's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magnolia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1,247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344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2,146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1,165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marsh wren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mountain bluebird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mourning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Nashville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northern mockingbird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northern Parula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lastRenderedPageBreak/>
              <w:t>northern rough-winged swallow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northern shrike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northern waterthrush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oak titmouse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orange-crowned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3,219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1,747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orchard oriole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ovenbird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558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376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Pacific-slope flycatcher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palm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Philadelphia vireo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pine siskin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pine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prairie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purple finch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purple martin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red crossbill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red-breasted nuthatch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lastRenderedPageBreak/>
              <w:t>red-eyed vireo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0.28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6,893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4,645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994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873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red-winged blackbird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3,756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2,038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rock wren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238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rose-breasted grosbeak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ruby-crowned kinglet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690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4,292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2,329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sage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sage thrasher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savannah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3,756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2,038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Say's phoebe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scarlet tanager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scissor-tailed flycatcher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sedge wren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873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snow bunting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song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873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spotted towhee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Steller's jay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Swainson's thrush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lastRenderedPageBreak/>
              <w:t>swamp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Tennessee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Townsend's solitaire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Townsend's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761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tree swallow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6,439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3,494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tricolored blackbird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tufted titmouse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blackbird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bluebird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corvid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crowned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empidonax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flycatcher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kingbird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kinglet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meadowlark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nuthatch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lastRenderedPageBreak/>
              <w:t>unidentified passerine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952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1,308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5,365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2,911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357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2,683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1,456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swallow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thrasher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thrush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vireo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285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873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unidentified wren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varied thrush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veery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vesper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309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3,219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1,747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warbling vireo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262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western bluebird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western flycatcher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western kingbird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western meadowlark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1,118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0.23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1,411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3,219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1,747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western scrub-jay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lastRenderedPageBreak/>
              <w:t>western tanager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western wood-pewee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white-breasted nuthatch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white-crowned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761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white-eyed vireo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white-throated sparrow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white-winged crossbill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Wilson's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winter wren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wood thrush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821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yellow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yellow-bellied flycatcher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291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yellow-breasted Chat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yellow-headed blackbird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lastRenderedPageBreak/>
              <w:t>yellow-rumped warbler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394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737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2,146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1,165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yellow-throated vireo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E13B6D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cs="Times New Roman"/>
                <w:sz w:val="20"/>
                <w:szCs w:val="20"/>
              </w:rPr>
              <w:t>582</w:t>
            </w:r>
          </w:p>
        </w:tc>
      </w:tr>
      <w:tr w:rsidR="000E78BC" w:rsidRPr="0091705F" w:rsidTr="0018339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91705F" w:rsidP="000E78BC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762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25,010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16,853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1,340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1.00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31,871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19,896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1.00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5,293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4,257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457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1.00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6,082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4,743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273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1.00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146,477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8BC" w:rsidRPr="0091705F" w:rsidRDefault="000E78BC" w:rsidP="000E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705F">
              <w:rPr>
                <w:rFonts w:cs="Times New Roman"/>
                <w:b/>
                <w:sz w:val="20"/>
                <w:szCs w:val="20"/>
              </w:rPr>
              <w:t>79,478</w:t>
            </w:r>
          </w:p>
        </w:tc>
      </w:tr>
      <w:tr w:rsidR="00A53337" w:rsidRPr="0091705F" w:rsidTr="00C50B43">
        <w:trPr>
          <w:cantSplit/>
        </w:trPr>
        <w:tc>
          <w:tcPr>
            <w:tcW w:w="13158" w:type="dxa"/>
            <w:gridSpan w:val="21"/>
            <w:tcBorders>
              <w:top w:val="single" w:sz="4" w:space="0" w:color="auto"/>
            </w:tcBorders>
            <w:vAlign w:val="bottom"/>
          </w:tcPr>
          <w:p w:rsidR="00A53337" w:rsidRPr="0091705F" w:rsidRDefault="007458ED" w:rsidP="00F94DE7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05F">
              <w:rPr>
                <w:rFonts w:eastAsia="Calibri" w:cs="Times New Roman"/>
                <w:sz w:val="20"/>
                <w:szCs w:val="20"/>
              </w:rPr>
              <w:t>*The Dillon Project was the only project in the Southwestern Biome represented by a fatality report that was available. Due to its singularity and since it is located very close to the Pacific Biome; it was combined with the Pacific Biome data for these estimates.</w:t>
            </w:r>
          </w:p>
        </w:tc>
      </w:tr>
    </w:tbl>
    <w:p w:rsidR="00DF7F3E" w:rsidRPr="0091705F" w:rsidRDefault="00DF7F3E">
      <w:pPr>
        <w:rPr>
          <w:rFonts w:cs="Times New Roman"/>
        </w:rPr>
      </w:pPr>
    </w:p>
    <w:sectPr w:rsidR="00DF7F3E" w:rsidRPr="0091705F" w:rsidSect="00DF7F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F3E"/>
    <w:rsid w:val="0004693D"/>
    <w:rsid w:val="000B5347"/>
    <w:rsid w:val="000E78BC"/>
    <w:rsid w:val="001040C5"/>
    <w:rsid w:val="00183396"/>
    <w:rsid w:val="001F18A4"/>
    <w:rsid w:val="00303689"/>
    <w:rsid w:val="003E0514"/>
    <w:rsid w:val="00434FEB"/>
    <w:rsid w:val="004B7516"/>
    <w:rsid w:val="006001C4"/>
    <w:rsid w:val="006F0995"/>
    <w:rsid w:val="006F3C80"/>
    <w:rsid w:val="00724FA1"/>
    <w:rsid w:val="00734C76"/>
    <w:rsid w:val="00735FFE"/>
    <w:rsid w:val="007458ED"/>
    <w:rsid w:val="0077484B"/>
    <w:rsid w:val="007B02EF"/>
    <w:rsid w:val="007C4323"/>
    <w:rsid w:val="007D25DD"/>
    <w:rsid w:val="00810CCB"/>
    <w:rsid w:val="0091705F"/>
    <w:rsid w:val="00A53337"/>
    <w:rsid w:val="00AC2A2D"/>
    <w:rsid w:val="00B961A0"/>
    <w:rsid w:val="00BF449B"/>
    <w:rsid w:val="00C02A21"/>
    <w:rsid w:val="00C10186"/>
    <w:rsid w:val="00C446F5"/>
    <w:rsid w:val="00C50B43"/>
    <w:rsid w:val="00C82701"/>
    <w:rsid w:val="00CE5698"/>
    <w:rsid w:val="00D06CB0"/>
    <w:rsid w:val="00D07DC1"/>
    <w:rsid w:val="00D33AB8"/>
    <w:rsid w:val="00D8326A"/>
    <w:rsid w:val="00DE308A"/>
    <w:rsid w:val="00DE7BD2"/>
    <w:rsid w:val="00DF7F3E"/>
    <w:rsid w:val="00E13B6D"/>
    <w:rsid w:val="00EA744C"/>
    <w:rsid w:val="00EF7828"/>
    <w:rsid w:val="00F94DE7"/>
    <w:rsid w:val="00FA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3E"/>
    <w:pPr>
      <w:spacing w:after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9EE23-F6B7-4DCE-A982-12B0D623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Wolfe</cp:lastModifiedBy>
  <cp:revision>3</cp:revision>
  <dcterms:created xsi:type="dcterms:W3CDTF">2014-04-08T22:37:00Z</dcterms:created>
  <dcterms:modified xsi:type="dcterms:W3CDTF">2014-07-30T22:34:00Z</dcterms:modified>
</cp:coreProperties>
</file>