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06" w:rsidRPr="00CB69C2" w:rsidRDefault="00712F06" w:rsidP="00712F06">
      <w:pPr>
        <w:keepNext/>
        <w:spacing w:line="240" w:lineRule="auto"/>
        <w:outlineLvl w:val="0"/>
        <w:rPr>
          <w:b/>
          <w:bCs/>
          <w:sz w:val="22"/>
          <w:szCs w:val="22"/>
        </w:rPr>
      </w:pPr>
      <w:r w:rsidRPr="00937354">
        <w:rPr>
          <w:b/>
          <w:bCs/>
        </w:rPr>
        <w:t>Append</w:t>
      </w:r>
      <w:r w:rsidRPr="00CB69C2">
        <w:rPr>
          <w:b/>
          <w:bCs/>
        </w:rPr>
        <w:t>ix S</w:t>
      </w:r>
      <w:r w:rsidR="004D600D">
        <w:rPr>
          <w:b/>
          <w:bCs/>
        </w:rPr>
        <w:t>2</w:t>
      </w:r>
      <w:r w:rsidRPr="00CB69C2">
        <w:rPr>
          <w:b/>
          <w:bCs/>
        </w:rPr>
        <w:t xml:space="preserve">. </w:t>
      </w:r>
      <w:r w:rsidR="00C20D66">
        <w:rPr>
          <w:b/>
        </w:rPr>
        <w:t>Bird</w:t>
      </w:r>
      <w:r w:rsidR="00C20D66" w:rsidRPr="00920B33">
        <w:rPr>
          <w:b/>
        </w:rPr>
        <w:t xml:space="preserve"> fatality monitoring studies </w:t>
      </w:r>
      <w:r w:rsidR="00C20D66">
        <w:rPr>
          <w:b/>
        </w:rPr>
        <w:t xml:space="preserve">at wind energy facilities </w:t>
      </w:r>
      <w:r w:rsidR="00C20D66" w:rsidRPr="00920B33">
        <w:rPr>
          <w:b/>
        </w:rPr>
        <w:t xml:space="preserve">with estimates </w:t>
      </w:r>
      <w:r w:rsidR="00C20D66">
        <w:rPr>
          <w:b/>
        </w:rPr>
        <w:t xml:space="preserve">of </w:t>
      </w:r>
      <w:r w:rsidR="00C20D66" w:rsidRPr="00920B33">
        <w:rPr>
          <w:b/>
        </w:rPr>
        <w:t xml:space="preserve">fatality </w:t>
      </w:r>
      <w:r w:rsidR="00C20D66">
        <w:rPr>
          <w:b/>
        </w:rPr>
        <w:t xml:space="preserve">rates </w:t>
      </w:r>
      <w:r w:rsidR="00C20D66" w:rsidRPr="00920B33">
        <w:rPr>
          <w:b/>
        </w:rPr>
        <w:t>for small birds, confidence intervals (CI) and estimator used, if known, for avifaunal biomes in the United States and Canada.</w:t>
      </w:r>
      <w:r w:rsidR="00A37021">
        <w:rPr>
          <w:b/>
        </w:rPr>
        <w:t xml:space="preserve"> </w:t>
      </w:r>
      <w:r w:rsidR="00A37021" w:rsidRPr="003322E4">
        <w:rPr>
          <w:bCs/>
          <w:sz w:val="22"/>
        </w:rPr>
        <w:t>Blank spaces indicate that data was not available.</w:t>
      </w:r>
    </w:p>
    <w:tbl>
      <w:tblPr>
        <w:tblW w:w="11430" w:type="dxa"/>
        <w:tblInd w:w="-151" w:type="dxa"/>
        <w:tblLayout w:type="fixed"/>
        <w:tblCellMar>
          <w:left w:w="29" w:type="dxa"/>
          <w:right w:w="29" w:type="dxa"/>
        </w:tblCellMar>
        <w:tblLook w:val="04A0"/>
      </w:tblPr>
      <w:tblGrid>
        <w:gridCol w:w="3690"/>
        <w:gridCol w:w="2520"/>
        <w:gridCol w:w="2160"/>
        <w:gridCol w:w="1800"/>
        <w:gridCol w:w="1260"/>
      </w:tblGrid>
      <w:tr w:rsidR="00145048" w:rsidRPr="00312733" w:rsidTr="00145048">
        <w:trPr>
          <w:cantSplit/>
          <w:trHeight w:val="20"/>
          <w:tblHeader/>
        </w:trPr>
        <w:tc>
          <w:tcPr>
            <w:tcW w:w="3690" w:type="dxa"/>
            <w:tcBorders>
              <w:top w:val="single" w:sz="4" w:space="0" w:color="auto"/>
              <w:left w:val="nil"/>
              <w:bottom w:val="single" w:sz="4" w:space="0" w:color="auto"/>
              <w:right w:val="nil"/>
            </w:tcBorders>
            <w:shd w:val="clear" w:color="auto" w:fill="auto"/>
            <w:vAlign w:val="bottom"/>
            <w:hideMark/>
          </w:tcPr>
          <w:p w:rsidR="00145048" w:rsidRPr="00312733" w:rsidRDefault="00145048" w:rsidP="00145048">
            <w:pPr>
              <w:spacing w:line="240" w:lineRule="auto"/>
              <w:rPr>
                <w:b/>
              </w:rPr>
            </w:pPr>
            <w:r w:rsidRPr="00312733">
              <w:rPr>
                <w:b/>
                <w:sz w:val="22"/>
                <w:szCs w:val="22"/>
              </w:rPr>
              <w:t>Project Name</w:t>
            </w:r>
          </w:p>
        </w:tc>
        <w:tc>
          <w:tcPr>
            <w:tcW w:w="2520" w:type="dxa"/>
            <w:tcBorders>
              <w:top w:val="single" w:sz="4" w:space="0" w:color="auto"/>
              <w:left w:val="nil"/>
              <w:bottom w:val="single" w:sz="4" w:space="0" w:color="auto"/>
              <w:right w:val="nil"/>
            </w:tcBorders>
            <w:shd w:val="clear" w:color="auto" w:fill="auto"/>
            <w:vAlign w:val="bottom"/>
            <w:hideMark/>
          </w:tcPr>
          <w:p w:rsidR="00145048" w:rsidRPr="00312733" w:rsidRDefault="00145048" w:rsidP="00F750C5">
            <w:pPr>
              <w:spacing w:line="240" w:lineRule="auto"/>
              <w:jc w:val="center"/>
              <w:rPr>
                <w:b/>
              </w:rPr>
            </w:pPr>
            <w:r w:rsidRPr="00312733">
              <w:rPr>
                <w:b/>
                <w:sz w:val="22"/>
                <w:szCs w:val="22"/>
              </w:rPr>
              <w:t>Small Bird Fatality Estimate (MW/year)</w:t>
            </w:r>
          </w:p>
        </w:tc>
        <w:tc>
          <w:tcPr>
            <w:tcW w:w="2160" w:type="dxa"/>
            <w:tcBorders>
              <w:top w:val="single" w:sz="4" w:space="0" w:color="auto"/>
              <w:left w:val="nil"/>
              <w:bottom w:val="single" w:sz="4" w:space="0" w:color="auto"/>
              <w:right w:val="nil"/>
            </w:tcBorders>
            <w:shd w:val="clear" w:color="auto" w:fill="auto"/>
            <w:vAlign w:val="bottom"/>
            <w:hideMark/>
          </w:tcPr>
          <w:p w:rsidR="00145048" w:rsidRPr="00312733" w:rsidRDefault="00145048" w:rsidP="00F750C5">
            <w:pPr>
              <w:spacing w:line="240" w:lineRule="auto"/>
              <w:jc w:val="center"/>
              <w:rPr>
                <w:b/>
              </w:rPr>
            </w:pPr>
            <w:r w:rsidRPr="00312733">
              <w:rPr>
                <w:b/>
                <w:sz w:val="22"/>
                <w:szCs w:val="22"/>
              </w:rPr>
              <w:t>CI (MW/year)</w:t>
            </w:r>
          </w:p>
        </w:tc>
        <w:tc>
          <w:tcPr>
            <w:tcW w:w="1800" w:type="dxa"/>
            <w:tcBorders>
              <w:top w:val="single" w:sz="4" w:space="0" w:color="auto"/>
              <w:left w:val="nil"/>
              <w:bottom w:val="single" w:sz="4" w:space="0" w:color="auto"/>
              <w:right w:val="nil"/>
            </w:tcBorders>
            <w:shd w:val="clear" w:color="auto" w:fill="auto"/>
            <w:vAlign w:val="bottom"/>
            <w:hideMark/>
          </w:tcPr>
          <w:p w:rsidR="00145048" w:rsidRPr="00312733" w:rsidRDefault="00145048" w:rsidP="00145048">
            <w:pPr>
              <w:spacing w:line="240" w:lineRule="auto"/>
              <w:rPr>
                <w:b/>
              </w:rPr>
            </w:pPr>
            <w:r w:rsidRPr="00312733">
              <w:rPr>
                <w:b/>
                <w:sz w:val="22"/>
                <w:szCs w:val="22"/>
              </w:rPr>
              <w:t>Estimator Used</w:t>
            </w:r>
          </w:p>
        </w:tc>
        <w:tc>
          <w:tcPr>
            <w:tcW w:w="1260" w:type="dxa"/>
            <w:tcBorders>
              <w:top w:val="single" w:sz="4" w:space="0" w:color="auto"/>
              <w:left w:val="nil"/>
              <w:bottom w:val="single" w:sz="4" w:space="0" w:color="auto"/>
              <w:right w:val="nil"/>
            </w:tcBorders>
            <w:vAlign w:val="bottom"/>
          </w:tcPr>
          <w:p w:rsidR="00145048" w:rsidRPr="00145048" w:rsidRDefault="00145048" w:rsidP="00145048">
            <w:pPr>
              <w:spacing w:line="240" w:lineRule="auto"/>
              <w:jc w:val="center"/>
              <w:rPr>
                <w:b/>
              </w:rPr>
            </w:pPr>
            <w:r w:rsidRPr="00145048">
              <w:rPr>
                <w:b/>
                <w:sz w:val="22"/>
                <w:szCs w:val="22"/>
              </w:rPr>
              <w:t>References</w:t>
            </w:r>
          </w:p>
        </w:tc>
      </w:tr>
      <w:tr w:rsidR="00145048" w:rsidRPr="00312733" w:rsidTr="00145048">
        <w:trPr>
          <w:cantSplit/>
          <w:trHeight w:val="20"/>
        </w:trPr>
        <w:tc>
          <w:tcPr>
            <w:tcW w:w="11430" w:type="dxa"/>
            <w:gridSpan w:val="5"/>
            <w:tcBorders>
              <w:top w:val="single" w:sz="4" w:space="0" w:color="auto"/>
              <w:left w:val="nil"/>
              <w:bottom w:val="nil"/>
              <w:right w:val="nil"/>
            </w:tcBorders>
            <w:vAlign w:val="center"/>
            <w:hideMark/>
          </w:tcPr>
          <w:p w:rsidR="00145048" w:rsidRPr="00145048" w:rsidRDefault="00145048" w:rsidP="00145048">
            <w:pPr>
              <w:spacing w:line="240" w:lineRule="auto"/>
              <w:jc w:val="center"/>
              <w:rPr>
                <w:b/>
              </w:rPr>
            </w:pPr>
            <w:r w:rsidRPr="00145048">
              <w:rPr>
                <w:b/>
                <w:sz w:val="22"/>
                <w:szCs w:val="22"/>
              </w:rPr>
              <w:t>Eastern Biome</w:t>
            </w:r>
          </w:p>
        </w:tc>
      </w:tr>
      <w:tr w:rsidR="00145048" w:rsidRPr="00312733" w:rsidTr="00145048">
        <w:trPr>
          <w:cantSplit/>
          <w:trHeight w:val="20"/>
        </w:trPr>
        <w:tc>
          <w:tcPr>
            <w:tcW w:w="3690" w:type="dxa"/>
            <w:tcBorders>
              <w:top w:val="single" w:sz="4" w:space="0" w:color="auto"/>
              <w:left w:val="nil"/>
              <w:bottom w:val="nil"/>
              <w:right w:val="nil"/>
            </w:tcBorders>
            <w:vAlign w:val="center"/>
            <w:hideMark/>
          </w:tcPr>
          <w:p w:rsidR="00145048" w:rsidRPr="00312733" w:rsidRDefault="00145048" w:rsidP="00F750C5">
            <w:pPr>
              <w:spacing w:line="240" w:lineRule="auto"/>
            </w:pPr>
            <w:r w:rsidRPr="00312733">
              <w:rPr>
                <w:sz w:val="22"/>
                <w:szCs w:val="22"/>
              </w:rPr>
              <w:t>Criterion (2011)</w:t>
            </w:r>
          </w:p>
        </w:tc>
        <w:tc>
          <w:tcPr>
            <w:tcW w:w="2520" w:type="dxa"/>
            <w:tcBorders>
              <w:top w:val="single" w:sz="4" w:space="0" w:color="auto"/>
              <w:left w:val="nil"/>
              <w:bottom w:val="nil"/>
              <w:right w:val="nil"/>
            </w:tcBorders>
            <w:vAlign w:val="center"/>
            <w:hideMark/>
          </w:tcPr>
          <w:p w:rsidR="00145048" w:rsidRPr="00312733" w:rsidRDefault="00145048" w:rsidP="00F750C5">
            <w:pPr>
              <w:spacing w:line="240" w:lineRule="auto"/>
              <w:jc w:val="center"/>
            </w:pPr>
            <w:r w:rsidRPr="00312733">
              <w:rPr>
                <w:sz w:val="22"/>
                <w:szCs w:val="22"/>
              </w:rPr>
              <w:t>6.1</w:t>
            </w:r>
          </w:p>
        </w:tc>
        <w:tc>
          <w:tcPr>
            <w:tcW w:w="2160" w:type="dxa"/>
            <w:tcBorders>
              <w:top w:val="single" w:sz="4" w:space="0" w:color="auto"/>
              <w:left w:val="nil"/>
              <w:bottom w:val="nil"/>
              <w:right w:val="nil"/>
            </w:tcBorders>
            <w:vAlign w:val="center"/>
            <w:hideMark/>
          </w:tcPr>
          <w:p w:rsidR="00145048" w:rsidRPr="00312733" w:rsidRDefault="00145048" w:rsidP="00F750C5">
            <w:pPr>
              <w:spacing w:line="240" w:lineRule="auto"/>
              <w:jc w:val="center"/>
            </w:pPr>
            <w:r w:rsidRPr="00312733">
              <w:rPr>
                <w:sz w:val="22"/>
                <w:szCs w:val="22"/>
              </w:rPr>
              <w:t>(4.20-9.11)</w:t>
            </w:r>
          </w:p>
        </w:tc>
        <w:tc>
          <w:tcPr>
            <w:tcW w:w="1800" w:type="dxa"/>
            <w:tcBorders>
              <w:top w:val="single" w:sz="4" w:space="0" w:color="auto"/>
              <w:left w:val="nil"/>
              <w:bottom w:val="nil"/>
              <w:right w:val="nil"/>
            </w:tcBorders>
            <w:vAlign w:val="bottom"/>
            <w:hideMark/>
          </w:tcPr>
          <w:p w:rsidR="00145048" w:rsidRPr="00312733" w:rsidRDefault="00145048" w:rsidP="00F750C5">
            <w:pPr>
              <w:spacing w:line="240" w:lineRule="auto"/>
            </w:pPr>
            <w:r w:rsidRPr="00312733">
              <w:rPr>
                <w:sz w:val="22"/>
                <w:szCs w:val="22"/>
              </w:rPr>
              <w:t>Shoenfeld</w:t>
            </w:r>
          </w:p>
        </w:tc>
        <w:tc>
          <w:tcPr>
            <w:tcW w:w="1260" w:type="dxa"/>
            <w:tcBorders>
              <w:top w:val="single" w:sz="4" w:space="0" w:color="auto"/>
              <w:left w:val="nil"/>
              <w:bottom w:val="nil"/>
              <w:right w:val="nil"/>
            </w:tcBorders>
            <w:vAlign w:val="center"/>
          </w:tcPr>
          <w:p w:rsidR="00145048" w:rsidRPr="00145048" w:rsidRDefault="00145048" w:rsidP="00F750C5">
            <w:pPr>
              <w:spacing w:line="240" w:lineRule="auto"/>
              <w:jc w:val="center"/>
              <w:rPr>
                <w:color w:val="000000"/>
              </w:rPr>
            </w:pPr>
            <w:r w:rsidRPr="00145048">
              <w:rPr>
                <w:noProof/>
                <w:sz w:val="22"/>
                <w:szCs w:val="22"/>
              </w:rPr>
              <w:t>[1]</w:t>
            </w:r>
          </w:p>
        </w:tc>
      </w:tr>
      <w:tr w:rsidR="00145048" w:rsidRPr="00312733" w:rsidTr="00145048">
        <w:trPr>
          <w:cantSplit/>
          <w:trHeight w:val="20"/>
        </w:trPr>
        <w:tc>
          <w:tcPr>
            <w:tcW w:w="3690" w:type="dxa"/>
            <w:vAlign w:val="center"/>
            <w:hideMark/>
          </w:tcPr>
          <w:p w:rsidR="00145048" w:rsidRPr="00312733" w:rsidRDefault="00145048" w:rsidP="00F750C5">
            <w:pPr>
              <w:spacing w:line="240" w:lineRule="auto"/>
            </w:pPr>
            <w:r w:rsidRPr="00312733">
              <w:rPr>
                <w:sz w:val="22"/>
                <w:szCs w:val="22"/>
              </w:rPr>
              <w:t>Mount Storm (2009)</w:t>
            </w:r>
          </w:p>
        </w:tc>
        <w:tc>
          <w:tcPr>
            <w:tcW w:w="2520" w:type="dxa"/>
            <w:vAlign w:val="center"/>
            <w:hideMark/>
          </w:tcPr>
          <w:p w:rsidR="00145048" w:rsidRPr="00312733" w:rsidRDefault="00145048" w:rsidP="00F750C5">
            <w:pPr>
              <w:spacing w:line="240" w:lineRule="auto"/>
              <w:jc w:val="center"/>
            </w:pPr>
            <w:r w:rsidRPr="00312733">
              <w:rPr>
                <w:sz w:val="22"/>
                <w:szCs w:val="22"/>
              </w:rPr>
              <w:t>3.1</w:t>
            </w:r>
          </w:p>
        </w:tc>
        <w:tc>
          <w:tcPr>
            <w:tcW w:w="2160" w:type="dxa"/>
            <w:vAlign w:val="center"/>
            <w:hideMark/>
          </w:tcPr>
          <w:p w:rsidR="00145048" w:rsidRPr="00312733" w:rsidRDefault="00145048" w:rsidP="00F750C5">
            <w:pPr>
              <w:spacing w:line="240" w:lineRule="auto"/>
              <w:jc w:val="center"/>
            </w:pPr>
            <w:r w:rsidRPr="00312733">
              <w:rPr>
                <w:sz w:val="22"/>
                <w:szCs w:val="22"/>
              </w:rPr>
              <w:t>(1.94-4.49)</w:t>
            </w:r>
          </w:p>
        </w:tc>
        <w:tc>
          <w:tcPr>
            <w:tcW w:w="1800" w:type="dxa"/>
            <w:vAlign w:val="bottom"/>
            <w:hideMark/>
          </w:tcPr>
          <w:p w:rsidR="00145048" w:rsidRPr="00312733" w:rsidRDefault="00145048" w:rsidP="00F750C5">
            <w:pPr>
              <w:spacing w:line="240" w:lineRule="auto"/>
            </w:pPr>
            <w:r w:rsidRPr="00312733">
              <w:rPr>
                <w:sz w:val="22"/>
                <w:szCs w:val="22"/>
              </w:rPr>
              <w:t>Shoenfeld</w:t>
            </w:r>
          </w:p>
        </w:tc>
        <w:tc>
          <w:tcPr>
            <w:tcW w:w="1260" w:type="dxa"/>
            <w:vAlign w:val="center"/>
          </w:tcPr>
          <w:p w:rsidR="00145048" w:rsidRPr="00145048" w:rsidRDefault="00145048" w:rsidP="00F750C5">
            <w:pPr>
              <w:spacing w:line="240" w:lineRule="auto"/>
              <w:jc w:val="center"/>
            </w:pPr>
            <w:r w:rsidRPr="00145048">
              <w:rPr>
                <w:noProof/>
                <w:sz w:val="22"/>
                <w:szCs w:val="22"/>
              </w:rPr>
              <w:t>[2, 3]</w:t>
            </w:r>
          </w:p>
        </w:tc>
      </w:tr>
      <w:tr w:rsidR="00145048" w:rsidRPr="00312733" w:rsidTr="00145048">
        <w:trPr>
          <w:cantSplit/>
          <w:trHeight w:val="20"/>
        </w:trPr>
        <w:tc>
          <w:tcPr>
            <w:tcW w:w="3690" w:type="dxa"/>
            <w:vAlign w:val="center"/>
            <w:hideMark/>
          </w:tcPr>
          <w:p w:rsidR="00145048" w:rsidRPr="00312733" w:rsidRDefault="00145048" w:rsidP="00F750C5">
            <w:pPr>
              <w:spacing w:line="240" w:lineRule="auto"/>
            </w:pPr>
            <w:r w:rsidRPr="00312733">
              <w:rPr>
                <w:sz w:val="22"/>
                <w:szCs w:val="22"/>
              </w:rPr>
              <w:t>Mount Storm (2010)</w:t>
            </w:r>
          </w:p>
        </w:tc>
        <w:tc>
          <w:tcPr>
            <w:tcW w:w="2520" w:type="dxa"/>
            <w:vAlign w:val="center"/>
            <w:hideMark/>
          </w:tcPr>
          <w:p w:rsidR="00145048" w:rsidRPr="00312733" w:rsidRDefault="00145048" w:rsidP="00F750C5">
            <w:pPr>
              <w:spacing w:line="240" w:lineRule="auto"/>
              <w:jc w:val="center"/>
            </w:pPr>
            <w:r w:rsidRPr="00312733">
              <w:rPr>
                <w:sz w:val="22"/>
                <w:szCs w:val="22"/>
              </w:rPr>
              <w:t>2.19</w:t>
            </w:r>
          </w:p>
        </w:tc>
        <w:tc>
          <w:tcPr>
            <w:tcW w:w="2160" w:type="dxa"/>
            <w:vAlign w:val="center"/>
            <w:hideMark/>
          </w:tcPr>
          <w:p w:rsidR="00145048" w:rsidRPr="00312733" w:rsidRDefault="00145048" w:rsidP="00F750C5">
            <w:pPr>
              <w:spacing w:line="240" w:lineRule="auto"/>
              <w:jc w:val="center"/>
            </w:pPr>
            <w:r w:rsidRPr="00312733">
              <w:rPr>
                <w:sz w:val="22"/>
                <w:szCs w:val="22"/>
              </w:rPr>
              <w:t>(1.69-3.05)</w:t>
            </w:r>
          </w:p>
        </w:tc>
        <w:tc>
          <w:tcPr>
            <w:tcW w:w="1800" w:type="dxa"/>
            <w:vAlign w:val="bottom"/>
            <w:hideMark/>
          </w:tcPr>
          <w:p w:rsidR="00145048" w:rsidRPr="00312733" w:rsidRDefault="00145048" w:rsidP="00F750C5">
            <w:pPr>
              <w:spacing w:line="240" w:lineRule="auto"/>
            </w:pPr>
            <w:r w:rsidRPr="00312733">
              <w:rPr>
                <w:sz w:val="22"/>
                <w:szCs w:val="22"/>
              </w:rPr>
              <w:t>Shoenfeld</w:t>
            </w:r>
          </w:p>
        </w:tc>
        <w:tc>
          <w:tcPr>
            <w:tcW w:w="1260" w:type="dxa"/>
            <w:vAlign w:val="center"/>
          </w:tcPr>
          <w:p w:rsidR="00145048" w:rsidRPr="00145048" w:rsidRDefault="00145048" w:rsidP="00F750C5">
            <w:pPr>
              <w:spacing w:line="240" w:lineRule="auto"/>
              <w:jc w:val="center"/>
            </w:pPr>
            <w:r w:rsidRPr="00145048">
              <w:rPr>
                <w:noProof/>
                <w:sz w:val="22"/>
                <w:szCs w:val="22"/>
              </w:rPr>
              <w:t>[4, 5]</w:t>
            </w:r>
          </w:p>
        </w:tc>
      </w:tr>
      <w:tr w:rsidR="00145048" w:rsidRPr="00312733" w:rsidTr="00145048">
        <w:trPr>
          <w:cantSplit/>
          <w:trHeight w:val="20"/>
        </w:trPr>
        <w:tc>
          <w:tcPr>
            <w:tcW w:w="3690" w:type="dxa"/>
            <w:vAlign w:val="center"/>
            <w:hideMark/>
          </w:tcPr>
          <w:p w:rsidR="00145048" w:rsidRPr="00312733" w:rsidRDefault="00145048" w:rsidP="00F750C5">
            <w:pPr>
              <w:spacing w:line="240" w:lineRule="auto"/>
            </w:pPr>
            <w:r w:rsidRPr="00312733">
              <w:rPr>
                <w:sz w:val="22"/>
                <w:szCs w:val="22"/>
              </w:rPr>
              <w:t>Mount Storm (2011)</w:t>
            </w:r>
          </w:p>
        </w:tc>
        <w:tc>
          <w:tcPr>
            <w:tcW w:w="2520" w:type="dxa"/>
            <w:vAlign w:val="center"/>
            <w:hideMark/>
          </w:tcPr>
          <w:p w:rsidR="00145048" w:rsidRPr="00312733" w:rsidRDefault="00145048" w:rsidP="00F750C5">
            <w:pPr>
              <w:spacing w:line="240" w:lineRule="auto"/>
              <w:jc w:val="center"/>
            </w:pPr>
            <w:r w:rsidRPr="00312733">
              <w:rPr>
                <w:sz w:val="22"/>
                <w:szCs w:val="22"/>
              </w:rPr>
              <w:t>3.93</w:t>
            </w:r>
          </w:p>
        </w:tc>
        <w:tc>
          <w:tcPr>
            <w:tcW w:w="2160" w:type="dxa"/>
            <w:vAlign w:val="center"/>
            <w:hideMark/>
          </w:tcPr>
          <w:p w:rsidR="00145048" w:rsidRPr="00312733" w:rsidRDefault="00145048" w:rsidP="00F750C5">
            <w:pPr>
              <w:spacing w:line="240" w:lineRule="auto"/>
              <w:jc w:val="center"/>
            </w:pPr>
            <w:r w:rsidRPr="00312733">
              <w:rPr>
                <w:sz w:val="22"/>
                <w:szCs w:val="22"/>
              </w:rPr>
              <w:t>(2.79-6.12)</w:t>
            </w:r>
          </w:p>
        </w:tc>
        <w:tc>
          <w:tcPr>
            <w:tcW w:w="1800" w:type="dxa"/>
            <w:vAlign w:val="bottom"/>
            <w:hideMark/>
          </w:tcPr>
          <w:p w:rsidR="00145048" w:rsidRPr="00312733" w:rsidRDefault="00145048" w:rsidP="00F750C5">
            <w:pPr>
              <w:spacing w:line="240" w:lineRule="auto"/>
            </w:pPr>
            <w:r w:rsidRPr="00312733">
              <w:rPr>
                <w:sz w:val="22"/>
                <w:szCs w:val="22"/>
              </w:rPr>
              <w:t>Shoenfeld</w:t>
            </w:r>
          </w:p>
        </w:tc>
        <w:tc>
          <w:tcPr>
            <w:tcW w:w="1260" w:type="dxa"/>
            <w:vAlign w:val="center"/>
          </w:tcPr>
          <w:p w:rsidR="00145048" w:rsidRPr="00145048" w:rsidRDefault="00145048" w:rsidP="00F750C5">
            <w:pPr>
              <w:spacing w:line="240" w:lineRule="auto"/>
              <w:jc w:val="center"/>
            </w:pPr>
            <w:r w:rsidRPr="00145048">
              <w:rPr>
                <w:noProof/>
                <w:sz w:val="22"/>
                <w:szCs w:val="22"/>
              </w:rPr>
              <w:t>[6, 7]</w:t>
            </w:r>
          </w:p>
        </w:tc>
      </w:tr>
      <w:tr w:rsidR="00145048" w:rsidRPr="00312733" w:rsidTr="00145048">
        <w:trPr>
          <w:cantSplit/>
          <w:trHeight w:val="20"/>
        </w:trPr>
        <w:tc>
          <w:tcPr>
            <w:tcW w:w="3690" w:type="dxa"/>
            <w:vAlign w:val="center"/>
            <w:hideMark/>
          </w:tcPr>
          <w:p w:rsidR="00145048" w:rsidRPr="00312733" w:rsidRDefault="00145048" w:rsidP="00F750C5">
            <w:pPr>
              <w:spacing w:line="240" w:lineRule="auto"/>
            </w:pPr>
            <w:r w:rsidRPr="00312733">
              <w:rPr>
                <w:sz w:val="22"/>
                <w:szCs w:val="22"/>
              </w:rPr>
              <w:t>Noble Bliss (2008)</w:t>
            </w:r>
          </w:p>
        </w:tc>
        <w:tc>
          <w:tcPr>
            <w:tcW w:w="2520" w:type="dxa"/>
            <w:vAlign w:val="center"/>
            <w:hideMark/>
          </w:tcPr>
          <w:p w:rsidR="00145048" w:rsidRPr="00312733" w:rsidRDefault="00145048" w:rsidP="00F750C5">
            <w:pPr>
              <w:spacing w:line="240" w:lineRule="auto"/>
              <w:jc w:val="center"/>
            </w:pPr>
            <w:r w:rsidRPr="00312733">
              <w:rPr>
                <w:sz w:val="22"/>
                <w:szCs w:val="22"/>
              </w:rPr>
              <w:t>1.09</w:t>
            </w:r>
          </w:p>
        </w:tc>
        <w:tc>
          <w:tcPr>
            <w:tcW w:w="2160" w:type="dxa"/>
            <w:vAlign w:val="center"/>
          </w:tcPr>
          <w:p w:rsidR="00145048" w:rsidRPr="00312733" w:rsidRDefault="00145048" w:rsidP="00F750C5">
            <w:pPr>
              <w:spacing w:line="240" w:lineRule="auto"/>
              <w:jc w:val="center"/>
            </w:pPr>
          </w:p>
        </w:tc>
        <w:tc>
          <w:tcPr>
            <w:tcW w:w="1800" w:type="dxa"/>
            <w:vAlign w:val="bottom"/>
            <w:hideMark/>
          </w:tcPr>
          <w:p w:rsidR="00145048" w:rsidRPr="00312733" w:rsidRDefault="00145048" w:rsidP="00F750C5">
            <w:pPr>
              <w:spacing w:line="240" w:lineRule="auto"/>
            </w:pPr>
            <w:r w:rsidRPr="00312733">
              <w:rPr>
                <w:sz w:val="22"/>
                <w:szCs w:val="22"/>
              </w:rPr>
              <w:t>Jain</w:t>
            </w:r>
          </w:p>
        </w:tc>
        <w:tc>
          <w:tcPr>
            <w:tcW w:w="1260" w:type="dxa"/>
            <w:vAlign w:val="center"/>
          </w:tcPr>
          <w:p w:rsidR="00145048" w:rsidRPr="00145048" w:rsidRDefault="00145048" w:rsidP="00F750C5">
            <w:pPr>
              <w:spacing w:line="240" w:lineRule="auto"/>
              <w:jc w:val="center"/>
            </w:pPr>
            <w:r w:rsidRPr="00145048">
              <w:rPr>
                <w:noProof/>
                <w:sz w:val="22"/>
                <w:szCs w:val="22"/>
              </w:rPr>
              <w:t>[8]</w:t>
            </w:r>
          </w:p>
        </w:tc>
      </w:tr>
      <w:tr w:rsidR="00145048" w:rsidRPr="00312733" w:rsidTr="00145048">
        <w:trPr>
          <w:cantSplit/>
          <w:trHeight w:val="20"/>
        </w:trPr>
        <w:tc>
          <w:tcPr>
            <w:tcW w:w="3690" w:type="dxa"/>
            <w:vAlign w:val="center"/>
            <w:hideMark/>
          </w:tcPr>
          <w:p w:rsidR="00145048" w:rsidRPr="00312733" w:rsidRDefault="00145048" w:rsidP="00F750C5">
            <w:pPr>
              <w:spacing w:line="240" w:lineRule="auto"/>
            </w:pPr>
            <w:r w:rsidRPr="00312733">
              <w:rPr>
                <w:sz w:val="22"/>
                <w:szCs w:val="22"/>
              </w:rPr>
              <w:t>Noble Bliss (2009)</w:t>
            </w:r>
          </w:p>
        </w:tc>
        <w:tc>
          <w:tcPr>
            <w:tcW w:w="2520" w:type="dxa"/>
            <w:vAlign w:val="center"/>
            <w:hideMark/>
          </w:tcPr>
          <w:p w:rsidR="00145048" w:rsidRPr="00312733" w:rsidRDefault="00145048" w:rsidP="00F750C5">
            <w:pPr>
              <w:spacing w:line="240" w:lineRule="auto"/>
              <w:jc w:val="center"/>
            </w:pPr>
            <w:r w:rsidRPr="00312733">
              <w:rPr>
                <w:sz w:val="22"/>
                <w:szCs w:val="22"/>
              </w:rPr>
              <w:t>1.82</w:t>
            </w:r>
          </w:p>
        </w:tc>
        <w:tc>
          <w:tcPr>
            <w:tcW w:w="2160" w:type="dxa"/>
            <w:vAlign w:val="center"/>
          </w:tcPr>
          <w:p w:rsidR="00145048" w:rsidRPr="00312733" w:rsidRDefault="00145048" w:rsidP="00F750C5">
            <w:pPr>
              <w:spacing w:line="240" w:lineRule="auto"/>
              <w:jc w:val="center"/>
            </w:pPr>
          </w:p>
        </w:tc>
        <w:tc>
          <w:tcPr>
            <w:tcW w:w="1800" w:type="dxa"/>
            <w:vAlign w:val="bottom"/>
            <w:hideMark/>
          </w:tcPr>
          <w:p w:rsidR="00145048" w:rsidRPr="00312733" w:rsidRDefault="00145048" w:rsidP="00F750C5">
            <w:pPr>
              <w:spacing w:line="240" w:lineRule="auto"/>
            </w:pPr>
            <w:r w:rsidRPr="00312733">
              <w:rPr>
                <w:sz w:val="22"/>
                <w:szCs w:val="22"/>
              </w:rPr>
              <w:t>Jain</w:t>
            </w:r>
          </w:p>
        </w:tc>
        <w:tc>
          <w:tcPr>
            <w:tcW w:w="1260" w:type="dxa"/>
            <w:vAlign w:val="center"/>
          </w:tcPr>
          <w:p w:rsidR="00145048" w:rsidRPr="00145048" w:rsidRDefault="00145048" w:rsidP="00F750C5">
            <w:pPr>
              <w:spacing w:line="240" w:lineRule="auto"/>
              <w:jc w:val="center"/>
            </w:pPr>
            <w:r w:rsidRPr="00145048">
              <w:rPr>
                <w:noProof/>
                <w:sz w:val="22"/>
                <w:szCs w:val="22"/>
              </w:rPr>
              <w:t>[9]</w:t>
            </w:r>
          </w:p>
        </w:tc>
      </w:tr>
      <w:tr w:rsidR="00145048" w:rsidRPr="00312733" w:rsidTr="00145048">
        <w:trPr>
          <w:cantSplit/>
          <w:trHeight w:val="20"/>
        </w:trPr>
        <w:tc>
          <w:tcPr>
            <w:tcW w:w="3690" w:type="dxa"/>
            <w:tcBorders>
              <w:top w:val="nil"/>
              <w:left w:val="nil"/>
              <w:bottom w:val="single" w:sz="4" w:space="0" w:color="auto"/>
              <w:right w:val="nil"/>
            </w:tcBorders>
            <w:vAlign w:val="center"/>
            <w:hideMark/>
          </w:tcPr>
          <w:p w:rsidR="00145048" w:rsidRPr="00312733" w:rsidRDefault="00145048" w:rsidP="00F750C5">
            <w:pPr>
              <w:spacing w:line="240" w:lineRule="auto"/>
            </w:pPr>
            <w:r w:rsidRPr="00312733">
              <w:rPr>
                <w:sz w:val="22"/>
                <w:szCs w:val="22"/>
              </w:rPr>
              <w:t>Noble Wethersfield (2010)</w:t>
            </w:r>
          </w:p>
        </w:tc>
        <w:tc>
          <w:tcPr>
            <w:tcW w:w="2520" w:type="dxa"/>
            <w:tcBorders>
              <w:top w:val="nil"/>
              <w:left w:val="nil"/>
              <w:bottom w:val="single" w:sz="4" w:space="0" w:color="auto"/>
              <w:right w:val="nil"/>
            </w:tcBorders>
            <w:vAlign w:val="center"/>
            <w:hideMark/>
          </w:tcPr>
          <w:p w:rsidR="00145048" w:rsidRPr="00312733" w:rsidRDefault="00145048" w:rsidP="00F750C5">
            <w:pPr>
              <w:spacing w:line="240" w:lineRule="auto"/>
              <w:jc w:val="center"/>
            </w:pPr>
            <w:r w:rsidRPr="00312733">
              <w:rPr>
                <w:sz w:val="22"/>
                <w:szCs w:val="22"/>
              </w:rPr>
              <w:t>1.51</w:t>
            </w:r>
          </w:p>
        </w:tc>
        <w:tc>
          <w:tcPr>
            <w:tcW w:w="2160" w:type="dxa"/>
            <w:tcBorders>
              <w:top w:val="nil"/>
              <w:left w:val="nil"/>
              <w:bottom w:val="single" w:sz="4" w:space="0" w:color="auto"/>
              <w:right w:val="nil"/>
            </w:tcBorders>
            <w:vAlign w:val="center"/>
          </w:tcPr>
          <w:p w:rsidR="00145048" w:rsidRPr="00312733" w:rsidRDefault="00145048" w:rsidP="00F750C5">
            <w:pPr>
              <w:spacing w:line="240" w:lineRule="auto"/>
              <w:jc w:val="center"/>
            </w:pPr>
          </w:p>
        </w:tc>
        <w:tc>
          <w:tcPr>
            <w:tcW w:w="1800" w:type="dxa"/>
            <w:tcBorders>
              <w:top w:val="nil"/>
              <w:left w:val="nil"/>
              <w:bottom w:val="single" w:sz="4" w:space="0" w:color="auto"/>
              <w:right w:val="nil"/>
            </w:tcBorders>
            <w:vAlign w:val="bottom"/>
            <w:hideMark/>
          </w:tcPr>
          <w:p w:rsidR="00145048" w:rsidRPr="00312733" w:rsidRDefault="00145048" w:rsidP="00F750C5">
            <w:pPr>
              <w:spacing w:line="240" w:lineRule="auto"/>
            </w:pPr>
            <w:r w:rsidRPr="00312733">
              <w:rPr>
                <w:sz w:val="22"/>
                <w:szCs w:val="22"/>
              </w:rPr>
              <w:t>Jain</w:t>
            </w:r>
          </w:p>
        </w:tc>
        <w:tc>
          <w:tcPr>
            <w:tcW w:w="1260" w:type="dxa"/>
            <w:tcBorders>
              <w:top w:val="nil"/>
              <w:left w:val="nil"/>
              <w:bottom w:val="single" w:sz="4" w:space="0" w:color="auto"/>
              <w:right w:val="nil"/>
            </w:tcBorders>
            <w:vAlign w:val="center"/>
          </w:tcPr>
          <w:p w:rsidR="00145048" w:rsidRPr="00145048" w:rsidRDefault="00145048" w:rsidP="00F750C5">
            <w:pPr>
              <w:spacing w:line="240" w:lineRule="auto"/>
              <w:jc w:val="center"/>
              <w:rPr>
                <w:color w:val="000000"/>
              </w:rPr>
            </w:pPr>
            <w:r w:rsidRPr="00145048">
              <w:rPr>
                <w:noProof/>
                <w:sz w:val="22"/>
                <w:szCs w:val="22"/>
              </w:rPr>
              <w:t>[10]</w:t>
            </w:r>
          </w:p>
        </w:tc>
      </w:tr>
      <w:tr w:rsidR="00145048" w:rsidRPr="00312733" w:rsidTr="00145048">
        <w:trPr>
          <w:cantSplit/>
          <w:trHeight w:val="20"/>
        </w:trPr>
        <w:tc>
          <w:tcPr>
            <w:tcW w:w="11430" w:type="dxa"/>
            <w:gridSpan w:val="5"/>
            <w:tcBorders>
              <w:top w:val="nil"/>
              <w:left w:val="nil"/>
              <w:bottom w:val="single" w:sz="4" w:space="0" w:color="auto"/>
              <w:right w:val="nil"/>
            </w:tcBorders>
            <w:vAlign w:val="center"/>
            <w:hideMark/>
          </w:tcPr>
          <w:p w:rsidR="00145048" w:rsidRPr="00312733" w:rsidRDefault="00145048" w:rsidP="00145048">
            <w:pPr>
              <w:spacing w:line="240" w:lineRule="auto"/>
              <w:jc w:val="center"/>
              <w:rPr>
                <w:b/>
              </w:rPr>
            </w:pPr>
            <w:r w:rsidRPr="00312733">
              <w:rPr>
                <w:b/>
                <w:sz w:val="22"/>
                <w:szCs w:val="22"/>
              </w:rPr>
              <w:t>Intermountain West Biome</w:t>
            </w:r>
          </w:p>
        </w:tc>
      </w:tr>
      <w:tr w:rsidR="004427D2" w:rsidRPr="00312733" w:rsidTr="00F750C5">
        <w:trPr>
          <w:cantSplit/>
          <w:trHeight w:val="20"/>
        </w:trPr>
        <w:tc>
          <w:tcPr>
            <w:tcW w:w="3690" w:type="dxa"/>
            <w:tcBorders>
              <w:top w:val="single" w:sz="4" w:space="0" w:color="auto"/>
              <w:left w:val="nil"/>
              <w:bottom w:val="nil"/>
              <w:right w:val="nil"/>
            </w:tcBorders>
            <w:vAlign w:val="center"/>
            <w:hideMark/>
          </w:tcPr>
          <w:p w:rsidR="004427D2" w:rsidRPr="00312733" w:rsidRDefault="004427D2" w:rsidP="00F750C5">
            <w:pPr>
              <w:spacing w:line="240" w:lineRule="auto"/>
            </w:pPr>
            <w:r w:rsidRPr="00312733">
              <w:rPr>
                <w:sz w:val="22"/>
                <w:szCs w:val="22"/>
              </w:rPr>
              <w:t>Biglow Canyon (Phase I; 2008)</w:t>
            </w:r>
          </w:p>
        </w:tc>
        <w:tc>
          <w:tcPr>
            <w:tcW w:w="2520" w:type="dxa"/>
            <w:tcBorders>
              <w:top w:val="single" w:sz="4" w:space="0" w:color="auto"/>
              <w:left w:val="nil"/>
              <w:bottom w:val="nil"/>
              <w:right w:val="nil"/>
            </w:tcBorders>
            <w:vAlign w:val="center"/>
            <w:hideMark/>
          </w:tcPr>
          <w:p w:rsidR="004427D2" w:rsidRPr="00312733" w:rsidRDefault="004427D2" w:rsidP="00F750C5">
            <w:pPr>
              <w:spacing w:line="240" w:lineRule="auto"/>
              <w:jc w:val="center"/>
            </w:pPr>
            <w:r w:rsidRPr="00312733">
              <w:rPr>
                <w:sz w:val="22"/>
                <w:szCs w:val="22"/>
              </w:rPr>
              <w:t>1.54</w:t>
            </w:r>
          </w:p>
        </w:tc>
        <w:tc>
          <w:tcPr>
            <w:tcW w:w="2160" w:type="dxa"/>
            <w:tcBorders>
              <w:top w:val="single" w:sz="4" w:space="0" w:color="auto"/>
              <w:left w:val="nil"/>
              <w:bottom w:val="nil"/>
              <w:right w:val="nil"/>
            </w:tcBorders>
            <w:vAlign w:val="center"/>
            <w:hideMark/>
          </w:tcPr>
          <w:p w:rsidR="004427D2" w:rsidRPr="00312733" w:rsidRDefault="004427D2" w:rsidP="00F750C5">
            <w:pPr>
              <w:spacing w:line="240" w:lineRule="auto"/>
              <w:jc w:val="center"/>
            </w:pPr>
            <w:r w:rsidRPr="00312733">
              <w:rPr>
                <w:sz w:val="22"/>
                <w:szCs w:val="22"/>
              </w:rPr>
              <w:t>(0.90-2.46)</w:t>
            </w:r>
          </w:p>
        </w:tc>
        <w:tc>
          <w:tcPr>
            <w:tcW w:w="1800" w:type="dxa"/>
            <w:tcBorders>
              <w:top w:val="single" w:sz="4" w:space="0" w:color="auto"/>
              <w:left w:val="nil"/>
              <w:bottom w:val="nil"/>
              <w:right w:val="nil"/>
            </w:tcBorders>
            <w:vAlign w:val="center"/>
            <w:hideMark/>
          </w:tcPr>
          <w:p w:rsidR="004427D2" w:rsidRPr="00312733" w:rsidRDefault="004427D2" w:rsidP="00F750C5">
            <w:pPr>
              <w:spacing w:line="240" w:lineRule="auto"/>
            </w:pPr>
            <w:r w:rsidRPr="00312733">
              <w:rPr>
                <w:sz w:val="22"/>
                <w:szCs w:val="22"/>
              </w:rPr>
              <w:t>Shoenfeld</w:t>
            </w:r>
          </w:p>
        </w:tc>
        <w:tc>
          <w:tcPr>
            <w:tcW w:w="1260" w:type="dxa"/>
            <w:tcBorders>
              <w:top w:val="single" w:sz="4" w:space="0" w:color="auto"/>
              <w:left w:val="nil"/>
              <w:bottom w:val="nil"/>
              <w:right w:val="nil"/>
            </w:tcBorders>
            <w:vAlign w:val="center"/>
          </w:tcPr>
          <w:p w:rsidR="004427D2" w:rsidRPr="004427D2" w:rsidRDefault="004427D2" w:rsidP="00F750C5">
            <w:pPr>
              <w:spacing w:line="240" w:lineRule="auto"/>
              <w:jc w:val="center"/>
            </w:pPr>
            <w:r w:rsidRPr="004427D2">
              <w:rPr>
                <w:noProof/>
                <w:sz w:val="22"/>
              </w:rPr>
              <w:t>[11]</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Biglow Canyon (Phase I; 2009)</w:t>
            </w:r>
          </w:p>
        </w:tc>
        <w:tc>
          <w:tcPr>
            <w:tcW w:w="2520" w:type="dxa"/>
            <w:vAlign w:val="center"/>
            <w:hideMark/>
          </w:tcPr>
          <w:p w:rsidR="004427D2" w:rsidRPr="00312733" w:rsidRDefault="004427D2" w:rsidP="00F750C5">
            <w:pPr>
              <w:spacing w:line="240" w:lineRule="auto"/>
              <w:jc w:val="center"/>
            </w:pPr>
            <w:r w:rsidRPr="00312733">
              <w:rPr>
                <w:sz w:val="22"/>
                <w:szCs w:val="22"/>
              </w:rPr>
              <w:t>2.33</w:t>
            </w:r>
          </w:p>
        </w:tc>
        <w:tc>
          <w:tcPr>
            <w:tcW w:w="2160" w:type="dxa"/>
            <w:vAlign w:val="center"/>
            <w:hideMark/>
          </w:tcPr>
          <w:p w:rsidR="004427D2" w:rsidRPr="00312733" w:rsidRDefault="004427D2" w:rsidP="00F750C5">
            <w:pPr>
              <w:spacing w:line="240" w:lineRule="auto"/>
              <w:jc w:val="center"/>
            </w:pPr>
            <w:r w:rsidRPr="00312733">
              <w:rPr>
                <w:sz w:val="22"/>
                <w:szCs w:val="22"/>
              </w:rPr>
              <w:t>(1.72-3.16)</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keepNext/>
              <w:spacing w:line="240" w:lineRule="auto"/>
              <w:ind w:left="165" w:hanging="165"/>
              <w:jc w:val="center"/>
            </w:pPr>
            <w:r w:rsidRPr="004427D2">
              <w:rPr>
                <w:noProof/>
                <w:sz w:val="22"/>
              </w:rPr>
              <w:t>[12]</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Biglow Canyon (Phase II; 2009/2010)</w:t>
            </w:r>
          </w:p>
        </w:tc>
        <w:tc>
          <w:tcPr>
            <w:tcW w:w="2520" w:type="dxa"/>
            <w:vAlign w:val="center"/>
            <w:hideMark/>
          </w:tcPr>
          <w:p w:rsidR="004427D2" w:rsidRPr="00312733" w:rsidRDefault="004427D2" w:rsidP="00F750C5">
            <w:pPr>
              <w:spacing w:line="240" w:lineRule="auto"/>
              <w:jc w:val="center"/>
            </w:pPr>
            <w:r w:rsidRPr="00312733">
              <w:rPr>
                <w:sz w:val="22"/>
                <w:szCs w:val="22"/>
              </w:rPr>
              <w:t>5.16</w:t>
            </w:r>
          </w:p>
        </w:tc>
        <w:tc>
          <w:tcPr>
            <w:tcW w:w="2160" w:type="dxa"/>
            <w:vAlign w:val="center"/>
            <w:hideMark/>
          </w:tcPr>
          <w:p w:rsidR="004427D2" w:rsidRPr="00312733" w:rsidRDefault="004427D2" w:rsidP="00F750C5">
            <w:pPr>
              <w:spacing w:line="240" w:lineRule="auto"/>
              <w:jc w:val="center"/>
            </w:pPr>
            <w:r w:rsidRPr="00312733">
              <w:rPr>
                <w:sz w:val="22"/>
                <w:szCs w:val="22"/>
              </w:rPr>
              <w:t>(3.07-8.98)</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keepNext/>
              <w:spacing w:line="240" w:lineRule="auto"/>
              <w:ind w:left="165" w:hanging="165"/>
              <w:jc w:val="center"/>
            </w:pPr>
            <w:r w:rsidRPr="004427D2">
              <w:rPr>
                <w:noProof/>
                <w:sz w:val="22"/>
              </w:rPr>
              <w:t>[13]</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Biglow Canyon (Phase II; 2010/2011)</w:t>
            </w:r>
          </w:p>
        </w:tc>
        <w:tc>
          <w:tcPr>
            <w:tcW w:w="2520" w:type="dxa"/>
            <w:vAlign w:val="center"/>
            <w:hideMark/>
          </w:tcPr>
          <w:p w:rsidR="004427D2" w:rsidRPr="00312733" w:rsidRDefault="004427D2" w:rsidP="00F750C5">
            <w:pPr>
              <w:spacing w:line="240" w:lineRule="auto"/>
              <w:jc w:val="center"/>
            </w:pPr>
            <w:r w:rsidRPr="00312733">
              <w:rPr>
                <w:sz w:val="22"/>
                <w:szCs w:val="22"/>
              </w:rPr>
              <w:t>2.48</w:t>
            </w:r>
          </w:p>
        </w:tc>
        <w:tc>
          <w:tcPr>
            <w:tcW w:w="2160" w:type="dxa"/>
            <w:vAlign w:val="center"/>
            <w:hideMark/>
          </w:tcPr>
          <w:p w:rsidR="004427D2" w:rsidRPr="00312733" w:rsidRDefault="004427D2" w:rsidP="00F750C5">
            <w:pPr>
              <w:spacing w:line="240" w:lineRule="auto"/>
              <w:jc w:val="center"/>
            </w:pPr>
            <w:r w:rsidRPr="00312733">
              <w:rPr>
                <w:sz w:val="22"/>
                <w:szCs w:val="22"/>
              </w:rPr>
              <w:t>(1.57-5.67)</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keepNext/>
              <w:spacing w:line="240" w:lineRule="auto"/>
              <w:ind w:left="165" w:hanging="165"/>
              <w:jc w:val="center"/>
            </w:pPr>
            <w:r w:rsidRPr="004427D2">
              <w:rPr>
                <w:noProof/>
                <w:sz w:val="22"/>
              </w:rPr>
              <w:t>[14]</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Biglow Canyon (Phase III; 2010/2011)</w:t>
            </w:r>
          </w:p>
        </w:tc>
        <w:tc>
          <w:tcPr>
            <w:tcW w:w="2520" w:type="dxa"/>
            <w:vAlign w:val="center"/>
            <w:hideMark/>
          </w:tcPr>
          <w:p w:rsidR="004427D2" w:rsidRPr="00312733" w:rsidRDefault="004427D2" w:rsidP="00F750C5">
            <w:pPr>
              <w:spacing w:line="240" w:lineRule="auto"/>
              <w:jc w:val="center"/>
            </w:pPr>
            <w:r w:rsidRPr="00312733">
              <w:rPr>
                <w:sz w:val="22"/>
                <w:szCs w:val="22"/>
              </w:rPr>
              <w:t>2.17</w:t>
            </w:r>
          </w:p>
        </w:tc>
        <w:tc>
          <w:tcPr>
            <w:tcW w:w="2160" w:type="dxa"/>
            <w:vAlign w:val="center"/>
            <w:hideMark/>
          </w:tcPr>
          <w:p w:rsidR="004427D2" w:rsidRPr="00312733" w:rsidRDefault="004427D2" w:rsidP="00F750C5">
            <w:pPr>
              <w:spacing w:line="240" w:lineRule="auto"/>
              <w:jc w:val="center"/>
            </w:pPr>
            <w:r w:rsidRPr="00312733">
              <w:rPr>
                <w:sz w:val="22"/>
                <w:szCs w:val="22"/>
              </w:rPr>
              <w:t>(1.38-4.60)</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keepNext/>
              <w:spacing w:line="240" w:lineRule="auto"/>
              <w:ind w:left="165" w:hanging="165"/>
              <w:jc w:val="center"/>
            </w:pPr>
            <w:r w:rsidRPr="004427D2">
              <w:rPr>
                <w:noProof/>
                <w:sz w:val="22"/>
              </w:rPr>
              <w:t>[15]</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Combine Hills (2004/2005)</w:t>
            </w:r>
          </w:p>
        </w:tc>
        <w:tc>
          <w:tcPr>
            <w:tcW w:w="2520" w:type="dxa"/>
            <w:vAlign w:val="center"/>
            <w:hideMark/>
          </w:tcPr>
          <w:p w:rsidR="004427D2" w:rsidRPr="00312733" w:rsidRDefault="004427D2" w:rsidP="00F750C5">
            <w:pPr>
              <w:spacing w:line="240" w:lineRule="auto"/>
              <w:jc w:val="center"/>
            </w:pPr>
            <w:r w:rsidRPr="00312733">
              <w:rPr>
                <w:sz w:val="22"/>
                <w:szCs w:val="22"/>
              </w:rPr>
              <w:t>1.89</w:t>
            </w:r>
          </w:p>
        </w:tc>
        <w:tc>
          <w:tcPr>
            <w:tcW w:w="2160" w:type="dxa"/>
            <w:vAlign w:val="center"/>
            <w:hideMark/>
          </w:tcPr>
          <w:p w:rsidR="004427D2" w:rsidRPr="00312733" w:rsidRDefault="004427D2" w:rsidP="00F750C5">
            <w:pPr>
              <w:spacing w:line="240" w:lineRule="auto"/>
              <w:jc w:val="center"/>
            </w:pPr>
            <w:r w:rsidRPr="00312733">
              <w:rPr>
                <w:sz w:val="22"/>
                <w:szCs w:val="22"/>
              </w:rPr>
              <w:t>(1.10-2.89)</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keepNext/>
              <w:spacing w:line="240" w:lineRule="auto"/>
              <w:ind w:left="165" w:hanging="165"/>
              <w:jc w:val="center"/>
            </w:pPr>
            <w:r w:rsidRPr="004427D2">
              <w:rPr>
                <w:noProof/>
                <w:sz w:val="22"/>
              </w:rPr>
              <w:t>[16]</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Combine Hills (2011)</w:t>
            </w:r>
          </w:p>
        </w:tc>
        <w:tc>
          <w:tcPr>
            <w:tcW w:w="2520" w:type="dxa"/>
            <w:vAlign w:val="center"/>
            <w:hideMark/>
          </w:tcPr>
          <w:p w:rsidR="004427D2" w:rsidRPr="00312733" w:rsidRDefault="004427D2" w:rsidP="00F750C5">
            <w:pPr>
              <w:spacing w:line="240" w:lineRule="auto"/>
              <w:jc w:val="center"/>
            </w:pPr>
            <w:r w:rsidRPr="00312733">
              <w:rPr>
                <w:sz w:val="22"/>
                <w:szCs w:val="22"/>
              </w:rPr>
              <w:t>1.96</w:t>
            </w:r>
          </w:p>
        </w:tc>
        <w:tc>
          <w:tcPr>
            <w:tcW w:w="2160" w:type="dxa"/>
            <w:vAlign w:val="center"/>
            <w:hideMark/>
          </w:tcPr>
          <w:p w:rsidR="004427D2" w:rsidRPr="00312733" w:rsidRDefault="004427D2" w:rsidP="00F750C5">
            <w:pPr>
              <w:spacing w:line="240" w:lineRule="auto"/>
              <w:jc w:val="center"/>
            </w:pPr>
            <w:r w:rsidRPr="00312733">
              <w:rPr>
                <w:sz w:val="22"/>
                <w:szCs w:val="22"/>
              </w:rPr>
              <w:t>(1.26-3.41)</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keepNext/>
              <w:spacing w:line="240" w:lineRule="auto"/>
              <w:ind w:left="165" w:hanging="165"/>
              <w:jc w:val="center"/>
            </w:pPr>
            <w:r w:rsidRPr="004427D2">
              <w:rPr>
                <w:noProof/>
                <w:sz w:val="22"/>
              </w:rPr>
              <w:t>[17]</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Dry Lake I</w:t>
            </w:r>
          </w:p>
        </w:tc>
        <w:tc>
          <w:tcPr>
            <w:tcW w:w="2520" w:type="dxa"/>
            <w:vAlign w:val="center"/>
            <w:hideMark/>
          </w:tcPr>
          <w:p w:rsidR="004427D2" w:rsidRPr="00312733" w:rsidRDefault="004427D2" w:rsidP="00F750C5">
            <w:pPr>
              <w:spacing w:line="240" w:lineRule="auto"/>
              <w:jc w:val="center"/>
            </w:pPr>
            <w:r w:rsidRPr="00312733">
              <w:rPr>
                <w:sz w:val="22"/>
                <w:szCs w:val="22"/>
              </w:rPr>
              <w:t>2.13</w:t>
            </w:r>
          </w:p>
        </w:tc>
        <w:tc>
          <w:tcPr>
            <w:tcW w:w="2160" w:type="dxa"/>
            <w:vAlign w:val="center"/>
            <w:hideMark/>
          </w:tcPr>
          <w:p w:rsidR="004427D2" w:rsidRPr="00312733" w:rsidRDefault="004427D2" w:rsidP="00F750C5">
            <w:pPr>
              <w:spacing w:line="240" w:lineRule="auto"/>
              <w:jc w:val="center"/>
            </w:pPr>
            <w:r w:rsidRPr="00312733">
              <w:rPr>
                <w:sz w:val="22"/>
                <w:szCs w:val="22"/>
              </w:rPr>
              <w:t>(1.22-3.45)</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[18]</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Dry Lake II</w:t>
            </w:r>
          </w:p>
        </w:tc>
        <w:tc>
          <w:tcPr>
            <w:tcW w:w="2520" w:type="dxa"/>
            <w:vAlign w:val="center"/>
            <w:hideMark/>
          </w:tcPr>
          <w:p w:rsidR="004427D2" w:rsidRPr="00312733" w:rsidRDefault="004427D2" w:rsidP="00F750C5">
            <w:pPr>
              <w:spacing w:line="240" w:lineRule="auto"/>
              <w:jc w:val="center"/>
            </w:pPr>
            <w:r w:rsidRPr="00312733">
              <w:rPr>
                <w:sz w:val="22"/>
                <w:szCs w:val="22"/>
              </w:rPr>
              <w:t>1.30</w:t>
            </w:r>
          </w:p>
        </w:tc>
        <w:tc>
          <w:tcPr>
            <w:tcW w:w="2160" w:type="dxa"/>
            <w:vAlign w:val="center"/>
            <w:hideMark/>
          </w:tcPr>
          <w:p w:rsidR="004427D2" w:rsidRPr="00312733" w:rsidRDefault="004427D2" w:rsidP="00F750C5">
            <w:pPr>
              <w:spacing w:line="240" w:lineRule="auto"/>
              <w:jc w:val="center"/>
            </w:pPr>
            <w:r w:rsidRPr="00312733">
              <w:rPr>
                <w:sz w:val="22"/>
                <w:szCs w:val="22"/>
              </w:rPr>
              <w:t>(0.53-2.96)</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keepNext/>
              <w:spacing w:line="240" w:lineRule="auto"/>
              <w:ind w:left="165" w:hanging="165"/>
              <w:jc w:val="center"/>
            </w:pPr>
            <w:r w:rsidRPr="004427D2">
              <w:rPr>
                <w:noProof/>
                <w:sz w:val="22"/>
              </w:rPr>
              <w:t>[19]</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Elkhorn (2008)</w:t>
            </w:r>
          </w:p>
        </w:tc>
        <w:tc>
          <w:tcPr>
            <w:tcW w:w="2520" w:type="dxa"/>
            <w:vAlign w:val="center"/>
            <w:hideMark/>
          </w:tcPr>
          <w:p w:rsidR="004427D2" w:rsidRPr="00312733" w:rsidRDefault="004427D2" w:rsidP="00F750C5">
            <w:pPr>
              <w:spacing w:line="240" w:lineRule="auto"/>
              <w:jc w:val="center"/>
            </w:pPr>
            <w:r w:rsidRPr="00312733">
              <w:rPr>
                <w:sz w:val="22"/>
                <w:szCs w:val="22"/>
              </w:rPr>
              <w:t>0.45</w:t>
            </w:r>
          </w:p>
        </w:tc>
        <w:tc>
          <w:tcPr>
            <w:tcW w:w="2160" w:type="dxa"/>
            <w:vAlign w:val="center"/>
            <w:hideMark/>
          </w:tcPr>
          <w:p w:rsidR="004427D2" w:rsidRPr="00312733" w:rsidRDefault="004427D2" w:rsidP="00F750C5">
            <w:pPr>
              <w:spacing w:line="240" w:lineRule="auto"/>
              <w:jc w:val="center"/>
            </w:pPr>
            <w:r w:rsidRPr="00312733">
              <w:rPr>
                <w:sz w:val="22"/>
                <w:szCs w:val="22"/>
              </w:rPr>
              <w:t>(0.29-0.70)</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[20]</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Elkhorn (2010)</w:t>
            </w:r>
          </w:p>
        </w:tc>
        <w:tc>
          <w:tcPr>
            <w:tcW w:w="2520" w:type="dxa"/>
            <w:vAlign w:val="center"/>
            <w:hideMark/>
          </w:tcPr>
          <w:p w:rsidR="004427D2" w:rsidRPr="00312733" w:rsidRDefault="004427D2" w:rsidP="00F750C5">
            <w:pPr>
              <w:spacing w:line="240" w:lineRule="auto"/>
              <w:jc w:val="center"/>
            </w:pPr>
            <w:r w:rsidRPr="00312733">
              <w:rPr>
                <w:sz w:val="22"/>
                <w:szCs w:val="22"/>
              </w:rPr>
              <w:t>1.76</w:t>
            </w:r>
          </w:p>
        </w:tc>
        <w:tc>
          <w:tcPr>
            <w:tcW w:w="2160" w:type="dxa"/>
            <w:vAlign w:val="center"/>
            <w:hideMark/>
          </w:tcPr>
          <w:p w:rsidR="004427D2" w:rsidRPr="00312733" w:rsidRDefault="004427D2" w:rsidP="00F750C5">
            <w:pPr>
              <w:spacing w:line="240" w:lineRule="auto"/>
              <w:jc w:val="center"/>
            </w:pPr>
            <w:r w:rsidRPr="00312733">
              <w:rPr>
                <w:sz w:val="22"/>
                <w:szCs w:val="22"/>
              </w:rPr>
              <w:t>(0.96-2.99)</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[21]</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Foote Creek Rim (Phase I; 1999)</w:t>
            </w:r>
          </w:p>
        </w:tc>
        <w:tc>
          <w:tcPr>
            <w:tcW w:w="2520" w:type="dxa"/>
            <w:vAlign w:val="center"/>
            <w:hideMark/>
          </w:tcPr>
          <w:p w:rsidR="004427D2" w:rsidRPr="00312733" w:rsidRDefault="004427D2" w:rsidP="00F750C5">
            <w:pPr>
              <w:spacing w:line="240" w:lineRule="auto"/>
              <w:jc w:val="center"/>
            </w:pPr>
            <w:r w:rsidRPr="00312733">
              <w:rPr>
                <w:sz w:val="22"/>
                <w:szCs w:val="22"/>
              </w:rPr>
              <w:t>3.00</w:t>
            </w:r>
          </w:p>
        </w:tc>
        <w:tc>
          <w:tcPr>
            <w:tcW w:w="2160" w:type="dxa"/>
            <w:vAlign w:val="center"/>
            <w:hideMark/>
          </w:tcPr>
          <w:p w:rsidR="004427D2" w:rsidRPr="00312733" w:rsidRDefault="004427D2" w:rsidP="00F750C5">
            <w:pPr>
              <w:spacing w:line="240" w:lineRule="auto"/>
              <w:jc w:val="center"/>
            </w:pPr>
            <w:r w:rsidRPr="00312733">
              <w:rPr>
                <w:sz w:val="22"/>
                <w:szCs w:val="22"/>
              </w:rPr>
              <w:t>(1.37-4.62)</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[22]</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Foote Creek Rim (Phase I; 2000)</w:t>
            </w:r>
          </w:p>
        </w:tc>
        <w:tc>
          <w:tcPr>
            <w:tcW w:w="2520" w:type="dxa"/>
            <w:vAlign w:val="center"/>
            <w:hideMark/>
          </w:tcPr>
          <w:p w:rsidR="004427D2" w:rsidRPr="00312733" w:rsidRDefault="004427D2" w:rsidP="00F750C5">
            <w:pPr>
              <w:spacing w:line="240" w:lineRule="auto"/>
              <w:jc w:val="center"/>
            </w:pPr>
            <w:r w:rsidRPr="00312733">
              <w:rPr>
                <w:sz w:val="22"/>
                <w:szCs w:val="22"/>
              </w:rPr>
              <w:t>2.15</w:t>
            </w:r>
          </w:p>
        </w:tc>
        <w:tc>
          <w:tcPr>
            <w:tcW w:w="2160" w:type="dxa"/>
            <w:vAlign w:val="center"/>
            <w:hideMark/>
          </w:tcPr>
          <w:p w:rsidR="004427D2" w:rsidRPr="00312733" w:rsidRDefault="004427D2" w:rsidP="00F750C5">
            <w:pPr>
              <w:spacing w:line="240" w:lineRule="auto"/>
              <w:jc w:val="center"/>
            </w:pPr>
            <w:r w:rsidRPr="00312733">
              <w:rPr>
                <w:sz w:val="22"/>
                <w:szCs w:val="22"/>
              </w:rPr>
              <w:t>(0.72-3.57)</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[22]</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Foote Creek Rim (Phase I; 2001-2002)</w:t>
            </w:r>
          </w:p>
        </w:tc>
        <w:tc>
          <w:tcPr>
            <w:tcW w:w="2520" w:type="dxa"/>
            <w:vAlign w:val="center"/>
            <w:hideMark/>
          </w:tcPr>
          <w:p w:rsidR="004427D2" w:rsidRPr="00312733" w:rsidRDefault="004427D2" w:rsidP="00F750C5">
            <w:pPr>
              <w:spacing w:line="240" w:lineRule="auto"/>
              <w:jc w:val="center"/>
            </w:pPr>
            <w:r w:rsidRPr="00312733">
              <w:rPr>
                <w:sz w:val="22"/>
                <w:szCs w:val="22"/>
              </w:rPr>
              <w:t>1.71</w:t>
            </w:r>
          </w:p>
        </w:tc>
        <w:tc>
          <w:tcPr>
            <w:tcW w:w="2160" w:type="dxa"/>
            <w:vAlign w:val="center"/>
            <w:hideMark/>
          </w:tcPr>
          <w:p w:rsidR="004427D2" w:rsidRPr="00312733" w:rsidRDefault="004427D2" w:rsidP="00F750C5">
            <w:pPr>
              <w:spacing w:line="240" w:lineRule="auto"/>
              <w:jc w:val="center"/>
            </w:pPr>
            <w:r w:rsidRPr="00312733">
              <w:rPr>
                <w:sz w:val="22"/>
                <w:szCs w:val="22"/>
              </w:rPr>
              <w:t>(0.24-3.19)</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[22]</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 xml:space="preserve">Goodnoe </w:t>
            </w:r>
          </w:p>
        </w:tc>
        <w:tc>
          <w:tcPr>
            <w:tcW w:w="2520" w:type="dxa"/>
            <w:vAlign w:val="center"/>
            <w:hideMark/>
          </w:tcPr>
          <w:p w:rsidR="004427D2" w:rsidRPr="00312733" w:rsidRDefault="004427D2" w:rsidP="00F750C5">
            <w:pPr>
              <w:spacing w:line="240" w:lineRule="auto"/>
              <w:jc w:val="center"/>
            </w:pPr>
            <w:r w:rsidRPr="00312733">
              <w:rPr>
                <w:sz w:val="22"/>
                <w:szCs w:val="22"/>
              </w:rPr>
              <w:t>1.02</w:t>
            </w:r>
          </w:p>
        </w:tc>
        <w:tc>
          <w:tcPr>
            <w:tcW w:w="2160" w:type="dxa"/>
            <w:vAlign w:val="center"/>
          </w:tcPr>
          <w:p w:rsidR="004427D2" w:rsidRPr="00312733" w:rsidRDefault="004427D2" w:rsidP="00F750C5">
            <w:pPr>
              <w:spacing w:line="240" w:lineRule="auto"/>
              <w:jc w:val="center"/>
            </w:pP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rPr>
                <w:color w:val="000000"/>
              </w:rPr>
            </w:pPr>
            <w:r w:rsidRPr="004427D2">
              <w:rPr>
                <w:noProof/>
                <w:sz w:val="22"/>
              </w:rPr>
              <w:t>[23]</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Hay Canyon</w:t>
            </w:r>
          </w:p>
        </w:tc>
        <w:tc>
          <w:tcPr>
            <w:tcW w:w="2520" w:type="dxa"/>
            <w:vAlign w:val="center"/>
            <w:hideMark/>
          </w:tcPr>
          <w:p w:rsidR="004427D2" w:rsidRPr="00312733" w:rsidRDefault="004427D2" w:rsidP="00F750C5">
            <w:pPr>
              <w:spacing w:line="240" w:lineRule="auto"/>
              <w:jc w:val="center"/>
            </w:pPr>
            <w:r w:rsidRPr="00312733">
              <w:rPr>
                <w:sz w:val="22"/>
                <w:szCs w:val="22"/>
              </w:rPr>
              <w:t>1.92</w:t>
            </w:r>
          </w:p>
        </w:tc>
        <w:tc>
          <w:tcPr>
            <w:tcW w:w="2160" w:type="dxa"/>
            <w:vAlign w:val="center"/>
            <w:hideMark/>
          </w:tcPr>
          <w:p w:rsidR="004427D2" w:rsidRPr="00312733" w:rsidRDefault="004427D2" w:rsidP="00F750C5">
            <w:pPr>
              <w:spacing w:line="240" w:lineRule="auto"/>
              <w:jc w:val="center"/>
            </w:pPr>
            <w:r w:rsidRPr="00312733">
              <w:rPr>
                <w:sz w:val="22"/>
                <w:szCs w:val="22"/>
              </w:rPr>
              <w:t>(0.68-4.19)</w:t>
            </w:r>
          </w:p>
        </w:tc>
        <w:tc>
          <w:tcPr>
            <w:tcW w:w="1800" w:type="dxa"/>
            <w:vAlign w:val="center"/>
            <w:hideMark/>
          </w:tcPr>
          <w:p w:rsidR="004427D2" w:rsidRPr="00312733" w:rsidRDefault="004427D2" w:rsidP="00F750C5">
            <w:pPr>
              <w:spacing w:line="240" w:lineRule="auto"/>
            </w:pPr>
            <w:r w:rsidRPr="00312733">
              <w:rPr>
                <w:sz w:val="22"/>
                <w:szCs w:val="22"/>
              </w:rPr>
              <w:t>Huso</w:t>
            </w:r>
          </w:p>
        </w:tc>
        <w:tc>
          <w:tcPr>
            <w:tcW w:w="1260" w:type="dxa"/>
            <w:vAlign w:val="center"/>
          </w:tcPr>
          <w:p w:rsidR="004427D2" w:rsidRPr="004427D2" w:rsidRDefault="004427D2" w:rsidP="00F750C5">
            <w:pPr>
              <w:spacing w:line="240" w:lineRule="auto"/>
              <w:jc w:val="center"/>
            </w:pPr>
            <w:r w:rsidRPr="004427D2">
              <w:rPr>
                <w:noProof/>
                <w:sz w:val="22"/>
              </w:rPr>
              <w:t>[24]</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Hopkins Ridge (2006)</w:t>
            </w:r>
          </w:p>
        </w:tc>
        <w:tc>
          <w:tcPr>
            <w:tcW w:w="2520" w:type="dxa"/>
            <w:vAlign w:val="center"/>
            <w:hideMark/>
          </w:tcPr>
          <w:p w:rsidR="004427D2" w:rsidRPr="00312733" w:rsidRDefault="004427D2" w:rsidP="00F750C5">
            <w:pPr>
              <w:spacing w:line="240" w:lineRule="auto"/>
              <w:jc w:val="center"/>
            </w:pPr>
            <w:r w:rsidRPr="00312733">
              <w:rPr>
                <w:sz w:val="22"/>
                <w:szCs w:val="22"/>
              </w:rPr>
              <w:t>0.8</w:t>
            </w:r>
          </w:p>
        </w:tc>
        <w:tc>
          <w:tcPr>
            <w:tcW w:w="2160" w:type="dxa"/>
            <w:vAlign w:val="center"/>
            <w:hideMark/>
          </w:tcPr>
          <w:p w:rsidR="004427D2" w:rsidRPr="00312733" w:rsidRDefault="004427D2" w:rsidP="00F750C5">
            <w:pPr>
              <w:spacing w:line="240" w:lineRule="auto"/>
              <w:jc w:val="center"/>
            </w:pPr>
            <w:r w:rsidRPr="00312733">
              <w:rPr>
                <w:sz w:val="22"/>
                <w:szCs w:val="22"/>
              </w:rPr>
              <w:t>(0.52-1.19)</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ind w:left="165" w:hanging="165"/>
              <w:jc w:val="center"/>
            </w:pPr>
            <w:r w:rsidRPr="004427D2">
              <w:rPr>
                <w:noProof/>
                <w:sz w:val="22"/>
              </w:rPr>
              <w:t>[25]</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Hopkins Ridge (2008)</w:t>
            </w:r>
          </w:p>
        </w:tc>
        <w:tc>
          <w:tcPr>
            <w:tcW w:w="2520" w:type="dxa"/>
            <w:vAlign w:val="center"/>
            <w:hideMark/>
          </w:tcPr>
          <w:p w:rsidR="004427D2" w:rsidRPr="00312733" w:rsidRDefault="004427D2" w:rsidP="00F750C5">
            <w:pPr>
              <w:spacing w:line="240" w:lineRule="auto"/>
              <w:jc w:val="center"/>
            </w:pPr>
            <w:r w:rsidRPr="00312733">
              <w:rPr>
                <w:sz w:val="22"/>
                <w:szCs w:val="22"/>
              </w:rPr>
              <w:t>2.43</w:t>
            </w:r>
          </w:p>
        </w:tc>
        <w:tc>
          <w:tcPr>
            <w:tcW w:w="2160" w:type="dxa"/>
            <w:vAlign w:val="center"/>
            <w:hideMark/>
          </w:tcPr>
          <w:p w:rsidR="004427D2" w:rsidRPr="00312733" w:rsidRDefault="004427D2" w:rsidP="00F750C5">
            <w:pPr>
              <w:spacing w:line="240" w:lineRule="auto"/>
              <w:jc w:val="center"/>
            </w:pPr>
            <w:r w:rsidRPr="00312733">
              <w:rPr>
                <w:sz w:val="22"/>
                <w:szCs w:val="22"/>
              </w:rPr>
              <w:t>(1.41-4.67)</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keepNext/>
              <w:spacing w:line="240" w:lineRule="auto"/>
              <w:ind w:left="165" w:hanging="165"/>
              <w:jc w:val="center"/>
            </w:pPr>
            <w:r w:rsidRPr="004427D2">
              <w:rPr>
                <w:noProof/>
                <w:sz w:val="22"/>
              </w:rPr>
              <w:t>[26]</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Kittitas Valley (2011-2012)</w:t>
            </w:r>
          </w:p>
        </w:tc>
        <w:tc>
          <w:tcPr>
            <w:tcW w:w="2520" w:type="dxa"/>
            <w:vAlign w:val="center"/>
            <w:hideMark/>
          </w:tcPr>
          <w:p w:rsidR="004427D2" w:rsidRPr="00312733" w:rsidRDefault="004427D2" w:rsidP="00F750C5">
            <w:pPr>
              <w:spacing w:line="240" w:lineRule="auto"/>
              <w:jc w:val="center"/>
            </w:pPr>
            <w:r w:rsidRPr="00312733">
              <w:rPr>
                <w:sz w:val="22"/>
                <w:szCs w:val="22"/>
              </w:rPr>
              <w:t>0.72</w:t>
            </w:r>
          </w:p>
        </w:tc>
        <w:tc>
          <w:tcPr>
            <w:tcW w:w="2160" w:type="dxa"/>
            <w:vAlign w:val="center"/>
            <w:hideMark/>
          </w:tcPr>
          <w:p w:rsidR="004427D2" w:rsidRPr="00312733" w:rsidRDefault="004427D2" w:rsidP="00F750C5">
            <w:pPr>
              <w:spacing w:line="240" w:lineRule="auto"/>
              <w:jc w:val="center"/>
            </w:pPr>
            <w:r w:rsidRPr="00312733">
              <w:rPr>
                <w:sz w:val="22"/>
                <w:szCs w:val="22"/>
              </w:rPr>
              <w:t>(0.48-1.02)</w:t>
            </w:r>
          </w:p>
        </w:tc>
        <w:tc>
          <w:tcPr>
            <w:tcW w:w="1800" w:type="dxa"/>
            <w:vAlign w:val="center"/>
            <w:hideMark/>
          </w:tcPr>
          <w:p w:rsidR="004427D2" w:rsidRPr="00312733" w:rsidRDefault="004427D2" w:rsidP="00F750C5">
            <w:pPr>
              <w:spacing w:line="240" w:lineRule="auto"/>
            </w:pPr>
            <w:r w:rsidRPr="00312733">
              <w:rPr>
                <w:sz w:val="22"/>
                <w:szCs w:val="22"/>
              </w:rPr>
              <w:t>Huso</w:t>
            </w:r>
          </w:p>
        </w:tc>
        <w:tc>
          <w:tcPr>
            <w:tcW w:w="1260" w:type="dxa"/>
            <w:vAlign w:val="center"/>
          </w:tcPr>
          <w:p w:rsidR="004427D2" w:rsidRPr="004427D2" w:rsidRDefault="004427D2" w:rsidP="00F750C5">
            <w:pPr>
              <w:spacing w:line="240" w:lineRule="auto"/>
              <w:jc w:val="center"/>
              <w:rPr>
                <w:color w:val="000000"/>
              </w:rPr>
            </w:pPr>
            <w:r w:rsidRPr="004427D2">
              <w:rPr>
                <w:noProof/>
                <w:sz w:val="22"/>
              </w:rPr>
              <w:t>[27]</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Klondike</w:t>
            </w:r>
          </w:p>
        </w:tc>
        <w:tc>
          <w:tcPr>
            <w:tcW w:w="2520" w:type="dxa"/>
            <w:vAlign w:val="center"/>
            <w:hideMark/>
          </w:tcPr>
          <w:p w:rsidR="004427D2" w:rsidRPr="00312733" w:rsidRDefault="004427D2" w:rsidP="00F750C5">
            <w:pPr>
              <w:spacing w:line="240" w:lineRule="auto"/>
              <w:jc w:val="center"/>
            </w:pPr>
            <w:r w:rsidRPr="00312733">
              <w:rPr>
                <w:sz w:val="22"/>
                <w:szCs w:val="22"/>
              </w:rPr>
              <w:t>0.77</w:t>
            </w:r>
          </w:p>
        </w:tc>
        <w:tc>
          <w:tcPr>
            <w:tcW w:w="2160" w:type="dxa"/>
            <w:vAlign w:val="center"/>
            <w:hideMark/>
          </w:tcPr>
          <w:p w:rsidR="004427D2" w:rsidRPr="00312733" w:rsidRDefault="004427D2" w:rsidP="00F750C5">
            <w:pPr>
              <w:spacing w:line="240" w:lineRule="auto"/>
              <w:jc w:val="center"/>
            </w:pPr>
            <w:r w:rsidRPr="00312733">
              <w:rPr>
                <w:sz w:val="22"/>
                <w:szCs w:val="22"/>
              </w:rPr>
              <w:t>(0.27-1.40)</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[28]</w:t>
            </w:r>
          </w:p>
        </w:tc>
      </w:tr>
      <w:tr w:rsidR="004427D2" w:rsidRPr="00312733" w:rsidTr="00AD7895">
        <w:trPr>
          <w:cantSplit/>
          <w:trHeight w:val="20"/>
        </w:trPr>
        <w:tc>
          <w:tcPr>
            <w:tcW w:w="3690" w:type="dxa"/>
            <w:vAlign w:val="center"/>
            <w:hideMark/>
          </w:tcPr>
          <w:p w:rsidR="004427D2" w:rsidRPr="00312733" w:rsidRDefault="004427D2" w:rsidP="00F750C5">
            <w:pPr>
              <w:spacing w:line="240" w:lineRule="auto"/>
            </w:pPr>
            <w:r w:rsidRPr="00312733">
              <w:rPr>
                <w:sz w:val="22"/>
                <w:szCs w:val="22"/>
              </w:rPr>
              <w:t>Klondike II</w:t>
            </w:r>
          </w:p>
        </w:tc>
        <w:tc>
          <w:tcPr>
            <w:tcW w:w="2520" w:type="dxa"/>
            <w:vAlign w:val="center"/>
            <w:hideMark/>
          </w:tcPr>
          <w:p w:rsidR="004427D2" w:rsidRPr="00312733" w:rsidRDefault="004427D2" w:rsidP="00F750C5">
            <w:pPr>
              <w:spacing w:line="240" w:lineRule="auto"/>
              <w:jc w:val="center"/>
            </w:pPr>
            <w:r w:rsidRPr="00312733">
              <w:rPr>
                <w:sz w:val="22"/>
                <w:szCs w:val="22"/>
              </w:rPr>
              <w:t>2.90</w:t>
            </w:r>
          </w:p>
        </w:tc>
        <w:tc>
          <w:tcPr>
            <w:tcW w:w="2160" w:type="dxa"/>
            <w:vAlign w:val="center"/>
            <w:hideMark/>
          </w:tcPr>
          <w:p w:rsidR="004427D2" w:rsidRPr="00312733" w:rsidRDefault="004427D2" w:rsidP="00F750C5">
            <w:pPr>
              <w:spacing w:line="240" w:lineRule="auto"/>
              <w:jc w:val="center"/>
            </w:pPr>
            <w:r w:rsidRPr="00312733">
              <w:rPr>
                <w:sz w:val="22"/>
                <w:szCs w:val="22"/>
              </w:rPr>
              <w:t>(1.86-4.45)</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[29]</w:t>
            </w:r>
          </w:p>
        </w:tc>
      </w:tr>
      <w:tr w:rsidR="004427D2" w:rsidRPr="00312733" w:rsidTr="00AD7895">
        <w:trPr>
          <w:cantSplit/>
          <w:trHeight w:val="20"/>
        </w:trPr>
        <w:tc>
          <w:tcPr>
            <w:tcW w:w="3690" w:type="dxa"/>
            <w:tcBorders>
              <w:top w:val="nil"/>
              <w:left w:val="nil"/>
              <w:bottom w:val="single" w:sz="4" w:space="0" w:color="auto"/>
              <w:right w:val="nil"/>
            </w:tcBorders>
            <w:vAlign w:val="center"/>
            <w:hideMark/>
          </w:tcPr>
          <w:p w:rsidR="004427D2" w:rsidRPr="00312733" w:rsidRDefault="004427D2" w:rsidP="00F750C5">
            <w:pPr>
              <w:spacing w:line="240" w:lineRule="auto"/>
            </w:pPr>
            <w:r w:rsidRPr="00312733">
              <w:rPr>
                <w:sz w:val="22"/>
                <w:szCs w:val="22"/>
              </w:rPr>
              <w:t>Klondike III (Phase I)</w:t>
            </w:r>
          </w:p>
        </w:tc>
        <w:tc>
          <w:tcPr>
            <w:tcW w:w="2520" w:type="dxa"/>
            <w:tcBorders>
              <w:top w:val="nil"/>
              <w:left w:val="nil"/>
              <w:bottom w:val="single" w:sz="4" w:space="0" w:color="auto"/>
              <w:right w:val="nil"/>
            </w:tcBorders>
            <w:vAlign w:val="center"/>
            <w:hideMark/>
          </w:tcPr>
          <w:p w:rsidR="004427D2" w:rsidRPr="00312733" w:rsidRDefault="004427D2" w:rsidP="00F750C5">
            <w:pPr>
              <w:spacing w:line="240" w:lineRule="auto"/>
              <w:jc w:val="center"/>
            </w:pPr>
            <w:r w:rsidRPr="00312733">
              <w:rPr>
                <w:sz w:val="22"/>
                <w:szCs w:val="22"/>
              </w:rPr>
              <w:t>2.60</w:t>
            </w:r>
          </w:p>
        </w:tc>
        <w:tc>
          <w:tcPr>
            <w:tcW w:w="2160" w:type="dxa"/>
            <w:tcBorders>
              <w:top w:val="nil"/>
              <w:left w:val="nil"/>
              <w:bottom w:val="single" w:sz="4" w:space="0" w:color="auto"/>
              <w:right w:val="nil"/>
            </w:tcBorders>
            <w:vAlign w:val="center"/>
            <w:hideMark/>
          </w:tcPr>
          <w:p w:rsidR="004427D2" w:rsidRPr="00312733" w:rsidRDefault="004427D2" w:rsidP="00F750C5">
            <w:pPr>
              <w:spacing w:line="240" w:lineRule="auto"/>
              <w:jc w:val="center"/>
            </w:pPr>
            <w:r w:rsidRPr="00312733">
              <w:rPr>
                <w:sz w:val="22"/>
                <w:szCs w:val="22"/>
              </w:rPr>
              <w:t>(1.97-3.77)</w:t>
            </w:r>
          </w:p>
        </w:tc>
        <w:tc>
          <w:tcPr>
            <w:tcW w:w="1800" w:type="dxa"/>
            <w:tcBorders>
              <w:top w:val="nil"/>
              <w:left w:val="nil"/>
              <w:bottom w:val="single" w:sz="4" w:space="0" w:color="auto"/>
              <w:right w:val="nil"/>
            </w:tcBorders>
            <w:vAlign w:val="center"/>
            <w:hideMark/>
          </w:tcPr>
          <w:p w:rsidR="004427D2" w:rsidRPr="00312733" w:rsidRDefault="004427D2" w:rsidP="00F750C5">
            <w:pPr>
              <w:spacing w:line="240" w:lineRule="auto"/>
            </w:pPr>
            <w:r w:rsidRPr="00312733">
              <w:rPr>
                <w:sz w:val="22"/>
                <w:szCs w:val="22"/>
              </w:rPr>
              <w:t>Shoenfeld</w:t>
            </w:r>
          </w:p>
        </w:tc>
        <w:tc>
          <w:tcPr>
            <w:tcW w:w="1260" w:type="dxa"/>
            <w:tcBorders>
              <w:top w:val="nil"/>
              <w:left w:val="nil"/>
              <w:bottom w:val="single" w:sz="4" w:space="0" w:color="auto"/>
              <w:right w:val="nil"/>
            </w:tcBorders>
            <w:vAlign w:val="center"/>
          </w:tcPr>
          <w:p w:rsidR="004427D2" w:rsidRPr="004427D2" w:rsidRDefault="004427D2" w:rsidP="00F750C5">
            <w:pPr>
              <w:spacing w:line="240" w:lineRule="auto"/>
              <w:jc w:val="center"/>
            </w:pPr>
            <w:r w:rsidRPr="004427D2">
              <w:rPr>
                <w:noProof/>
                <w:sz w:val="22"/>
              </w:rPr>
              <w:t>[30]</w:t>
            </w:r>
          </w:p>
        </w:tc>
      </w:tr>
      <w:tr w:rsidR="004427D2" w:rsidRPr="00312733" w:rsidTr="00AD7895">
        <w:trPr>
          <w:cantSplit/>
          <w:trHeight w:val="20"/>
        </w:trPr>
        <w:tc>
          <w:tcPr>
            <w:tcW w:w="3690" w:type="dxa"/>
            <w:tcBorders>
              <w:top w:val="single" w:sz="4" w:space="0" w:color="auto"/>
              <w:left w:val="nil"/>
              <w:bottom w:val="nil"/>
              <w:right w:val="nil"/>
            </w:tcBorders>
            <w:vAlign w:val="center"/>
            <w:hideMark/>
          </w:tcPr>
          <w:p w:rsidR="004427D2" w:rsidRPr="00312733" w:rsidRDefault="004427D2" w:rsidP="00F750C5">
            <w:pPr>
              <w:spacing w:line="240" w:lineRule="auto"/>
            </w:pPr>
            <w:r w:rsidRPr="00312733">
              <w:rPr>
                <w:sz w:val="22"/>
                <w:szCs w:val="22"/>
              </w:rPr>
              <w:lastRenderedPageBreak/>
              <w:t>Klondike IIIa (Phase II)</w:t>
            </w:r>
          </w:p>
        </w:tc>
        <w:tc>
          <w:tcPr>
            <w:tcW w:w="2520" w:type="dxa"/>
            <w:tcBorders>
              <w:top w:val="single" w:sz="4" w:space="0" w:color="auto"/>
              <w:left w:val="nil"/>
              <w:bottom w:val="nil"/>
              <w:right w:val="nil"/>
            </w:tcBorders>
            <w:vAlign w:val="center"/>
            <w:hideMark/>
          </w:tcPr>
          <w:p w:rsidR="004427D2" w:rsidRPr="00312733" w:rsidRDefault="004427D2" w:rsidP="00F750C5">
            <w:pPr>
              <w:spacing w:line="240" w:lineRule="auto"/>
              <w:jc w:val="center"/>
            </w:pPr>
            <w:r w:rsidRPr="00312733">
              <w:rPr>
                <w:sz w:val="22"/>
                <w:szCs w:val="22"/>
              </w:rPr>
              <w:t>1.92</w:t>
            </w:r>
          </w:p>
        </w:tc>
        <w:tc>
          <w:tcPr>
            <w:tcW w:w="2160" w:type="dxa"/>
            <w:tcBorders>
              <w:top w:val="single" w:sz="4" w:space="0" w:color="auto"/>
              <w:left w:val="nil"/>
              <w:bottom w:val="nil"/>
              <w:right w:val="nil"/>
            </w:tcBorders>
            <w:vAlign w:val="center"/>
            <w:hideMark/>
          </w:tcPr>
          <w:p w:rsidR="004427D2" w:rsidRPr="00312733" w:rsidRDefault="004427D2" w:rsidP="00F750C5">
            <w:pPr>
              <w:spacing w:line="240" w:lineRule="auto"/>
              <w:jc w:val="center"/>
            </w:pPr>
            <w:r w:rsidRPr="00312733">
              <w:rPr>
                <w:sz w:val="22"/>
                <w:szCs w:val="22"/>
              </w:rPr>
              <w:t>(0.55-4.34)</w:t>
            </w:r>
          </w:p>
        </w:tc>
        <w:tc>
          <w:tcPr>
            <w:tcW w:w="1800" w:type="dxa"/>
            <w:tcBorders>
              <w:top w:val="single" w:sz="4" w:space="0" w:color="auto"/>
              <w:left w:val="nil"/>
              <w:bottom w:val="nil"/>
              <w:right w:val="nil"/>
            </w:tcBorders>
            <w:vAlign w:val="center"/>
            <w:hideMark/>
          </w:tcPr>
          <w:p w:rsidR="004427D2" w:rsidRPr="00312733" w:rsidRDefault="004427D2" w:rsidP="00F750C5">
            <w:pPr>
              <w:spacing w:line="240" w:lineRule="auto"/>
            </w:pPr>
            <w:r w:rsidRPr="00312733">
              <w:rPr>
                <w:sz w:val="22"/>
                <w:szCs w:val="22"/>
              </w:rPr>
              <w:t>Huso</w:t>
            </w:r>
          </w:p>
        </w:tc>
        <w:tc>
          <w:tcPr>
            <w:tcW w:w="1260" w:type="dxa"/>
            <w:tcBorders>
              <w:top w:val="single" w:sz="4" w:space="0" w:color="auto"/>
              <w:left w:val="nil"/>
              <w:bottom w:val="nil"/>
              <w:right w:val="nil"/>
            </w:tcBorders>
            <w:vAlign w:val="center"/>
          </w:tcPr>
          <w:p w:rsidR="004427D2" w:rsidRPr="004427D2" w:rsidRDefault="004427D2" w:rsidP="00F750C5">
            <w:pPr>
              <w:spacing w:line="240" w:lineRule="auto"/>
              <w:jc w:val="center"/>
            </w:pPr>
            <w:r w:rsidRPr="004427D2">
              <w:rPr>
                <w:noProof/>
                <w:sz w:val="22"/>
              </w:rPr>
              <w:t>[31]</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Linden Ranch</w:t>
            </w:r>
          </w:p>
        </w:tc>
        <w:tc>
          <w:tcPr>
            <w:tcW w:w="2520" w:type="dxa"/>
            <w:vAlign w:val="center"/>
            <w:hideMark/>
          </w:tcPr>
          <w:p w:rsidR="004427D2" w:rsidRPr="00312733" w:rsidRDefault="004427D2" w:rsidP="00F750C5">
            <w:pPr>
              <w:spacing w:line="240" w:lineRule="auto"/>
              <w:jc w:val="center"/>
            </w:pPr>
            <w:r w:rsidRPr="00312733">
              <w:rPr>
                <w:sz w:val="22"/>
                <w:szCs w:val="22"/>
              </w:rPr>
              <w:t>4.83</w:t>
            </w:r>
          </w:p>
        </w:tc>
        <w:tc>
          <w:tcPr>
            <w:tcW w:w="2160" w:type="dxa"/>
            <w:vAlign w:val="center"/>
            <w:hideMark/>
          </w:tcPr>
          <w:p w:rsidR="004427D2" w:rsidRPr="00312733" w:rsidRDefault="004427D2" w:rsidP="00F750C5">
            <w:pPr>
              <w:spacing w:line="240" w:lineRule="auto"/>
              <w:jc w:val="center"/>
            </w:pPr>
            <w:r w:rsidRPr="00312733">
              <w:rPr>
                <w:sz w:val="22"/>
                <w:szCs w:val="22"/>
              </w:rPr>
              <w:t>(2.86-9.79)</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[32]</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Marengo I (2009)</w:t>
            </w:r>
          </w:p>
        </w:tc>
        <w:tc>
          <w:tcPr>
            <w:tcW w:w="2520" w:type="dxa"/>
            <w:vAlign w:val="center"/>
            <w:hideMark/>
          </w:tcPr>
          <w:p w:rsidR="004427D2" w:rsidRPr="00312733" w:rsidRDefault="004427D2" w:rsidP="00F750C5">
            <w:pPr>
              <w:spacing w:line="240" w:lineRule="auto"/>
              <w:jc w:val="center"/>
            </w:pPr>
            <w:r w:rsidRPr="00312733">
              <w:rPr>
                <w:sz w:val="22"/>
                <w:szCs w:val="22"/>
              </w:rPr>
              <w:t>0.23</w:t>
            </w:r>
          </w:p>
        </w:tc>
        <w:tc>
          <w:tcPr>
            <w:tcW w:w="2160" w:type="dxa"/>
            <w:vAlign w:val="center"/>
          </w:tcPr>
          <w:p w:rsidR="004427D2" w:rsidRPr="00312733" w:rsidRDefault="004427D2" w:rsidP="00F750C5">
            <w:pPr>
              <w:spacing w:line="240" w:lineRule="auto"/>
              <w:jc w:val="center"/>
            </w:pP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[33]</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Marengo II (2009)</w:t>
            </w:r>
          </w:p>
        </w:tc>
        <w:tc>
          <w:tcPr>
            <w:tcW w:w="2520" w:type="dxa"/>
            <w:vAlign w:val="center"/>
            <w:hideMark/>
          </w:tcPr>
          <w:p w:rsidR="004427D2" w:rsidRPr="00312733" w:rsidRDefault="004427D2" w:rsidP="00F750C5">
            <w:pPr>
              <w:spacing w:line="240" w:lineRule="auto"/>
              <w:jc w:val="center"/>
            </w:pPr>
            <w:r w:rsidRPr="00312733">
              <w:rPr>
                <w:sz w:val="22"/>
                <w:szCs w:val="22"/>
              </w:rPr>
              <w:t>0.16</w:t>
            </w:r>
          </w:p>
        </w:tc>
        <w:tc>
          <w:tcPr>
            <w:tcW w:w="2160" w:type="dxa"/>
            <w:vAlign w:val="center"/>
          </w:tcPr>
          <w:p w:rsidR="004427D2" w:rsidRPr="00312733" w:rsidRDefault="004427D2" w:rsidP="00F750C5">
            <w:pPr>
              <w:spacing w:line="240" w:lineRule="auto"/>
              <w:jc w:val="center"/>
            </w:pP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[34]</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Nine Canyon</w:t>
            </w:r>
          </w:p>
        </w:tc>
        <w:tc>
          <w:tcPr>
            <w:tcW w:w="2520" w:type="dxa"/>
            <w:vAlign w:val="center"/>
            <w:hideMark/>
          </w:tcPr>
          <w:p w:rsidR="004427D2" w:rsidRPr="00312733" w:rsidRDefault="004427D2" w:rsidP="00F750C5">
            <w:pPr>
              <w:spacing w:line="240" w:lineRule="auto"/>
              <w:jc w:val="center"/>
            </w:pPr>
            <w:r w:rsidRPr="00312733">
              <w:rPr>
                <w:sz w:val="22"/>
                <w:szCs w:val="22"/>
              </w:rPr>
              <w:t>2.55</w:t>
            </w:r>
          </w:p>
        </w:tc>
        <w:tc>
          <w:tcPr>
            <w:tcW w:w="2160" w:type="dxa"/>
            <w:vAlign w:val="center"/>
            <w:hideMark/>
          </w:tcPr>
          <w:p w:rsidR="004427D2" w:rsidRPr="00312733" w:rsidRDefault="004427D2" w:rsidP="00F750C5">
            <w:pPr>
              <w:spacing w:line="240" w:lineRule="auto"/>
              <w:jc w:val="center"/>
            </w:pPr>
            <w:r w:rsidRPr="00312733">
              <w:rPr>
                <w:sz w:val="22"/>
                <w:szCs w:val="22"/>
              </w:rPr>
              <w:t>(1.34-4.23)</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rPr>
                <w:color w:val="000000"/>
              </w:rPr>
            </w:pPr>
            <w:r w:rsidRPr="004427D2">
              <w:rPr>
                <w:noProof/>
                <w:sz w:val="22"/>
              </w:rPr>
              <w:t>[35]</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Stateline (2002)</w:t>
            </w:r>
          </w:p>
        </w:tc>
        <w:tc>
          <w:tcPr>
            <w:tcW w:w="2520" w:type="dxa"/>
            <w:vAlign w:val="center"/>
            <w:hideMark/>
          </w:tcPr>
          <w:p w:rsidR="004427D2" w:rsidRPr="00312733" w:rsidRDefault="004427D2" w:rsidP="00F750C5">
            <w:pPr>
              <w:spacing w:line="240" w:lineRule="auto"/>
              <w:jc w:val="center"/>
            </w:pPr>
            <w:r w:rsidRPr="00312733">
              <w:rPr>
                <w:sz w:val="22"/>
                <w:szCs w:val="22"/>
              </w:rPr>
              <w:t>2.85</w:t>
            </w:r>
          </w:p>
        </w:tc>
        <w:tc>
          <w:tcPr>
            <w:tcW w:w="2160" w:type="dxa"/>
            <w:vAlign w:val="center"/>
            <w:hideMark/>
          </w:tcPr>
          <w:p w:rsidR="004427D2" w:rsidRPr="00312733" w:rsidRDefault="004427D2" w:rsidP="00F750C5">
            <w:pPr>
              <w:spacing w:line="240" w:lineRule="auto"/>
              <w:jc w:val="center"/>
            </w:pPr>
            <w:r w:rsidRPr="00312733">
              <w:rPr>
                <w:sz w:val="22"/>
                <w:szCs w:val="22"/>
              </w:rPr>
              <w:t>(2.16-3.43)</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[36]</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Stateline (2003)</w:t>
            </w:r>
          </w:p>
        </w:tc>
        <w:tc>
          <w:tcPr>
            <w:tcW w:w="2520" w:type="dxa"/>
            <w:vAlign w:val="center"/>
            <w:hideMark/>
          </w:tcPr>
          <w:p w:rsidR="004427D2" w:rsidRPr="00312733" w:rsidRDefault="004427D2" w:rsidP="00F750C5">
            <w:pPr>
              <w:spacing w:line="240" w:lineRule="auto"/>
              <w:jc w:val="center"/>
            </w:pPr>
            <w:r w:rsidRPr="00312733">
              <w:rPr>
                <w:sz w:val="22"/>
                <w:szCs w:val="22"/>
              </w:rPr>
              <w:t>2.29</w:t>
            </w:r>
          </w:p>
        </w:tc>
        <w:tc>
          <w:tcPr>
            <w:tcW w:w="2160" w:type="dxa"/>
            <w:vAlign w:val="center"/>
            <w:hideMark/>
          </w:tcPr>
          <w:p w:rsidR="004427D2" w:rsidRPr="00312733" w:rsidRDefault="004427D2" w:rsidP="00F750C5">
            <w:pPr>
              <w:spacing w:line="240" w:lineRule="auto"/>
              <w:jc w:val="center"/>
            </w:pPr>
            <w:r w:rsidRPr="00312733">
              <w:rPr>
                <w:sz w:val="22"/>
                <w:szCs w:val="22"/>
              </w:rPr>
              <w:t>(1.57-2.87)</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[36]</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Stateline (2006)</w:t>
            </w:r>
          </w:p>
        </w:tc>
        <w:tc>
          <w:tcPr>
            <w:tcW w:w="2520" w:type="dxa"/>
            <w:vAlign w:val="center"/>
            <w:hideMark/>
          </w:tcPr>
          <w:p w:rsidR="004427D2" w:rsidRPr="00312733" w:rsidRDefault="004427D2" w:rsidP="00F750C5">
            <w:pPr>
              <w:spacing w:line="240" w:lineRule="auto"/>
              <w:jc w:val="center"/>
            </w:pPr>
            <w:r w:rsidRPr="00312733">
              <w:rPr>
                <w:sz w:val="22"/>
                <w:szCs w:val="22"/>
              </w:rPr>
              <w:t>0.95</w:t>
            </w:r>
          </w:p>
        </w:tc>
        <w:tc>
          <w:tcPr>
            <w:tcW w:w="2160" w:type="dxa"/>
            <w:vAlign w:val="center"/>
            <w:hideMark/>
          </w:tcPr>
          <w:p w:rsidR="004427D2" w:rsidRPr="00312733" w:rsidRDefault="004427D2" w:rsidP="00F750C5">
            <w:pPr>
              <w:spacing w:line="240" w:lineRule="auto"/>
              <w:jc w:val="center"/>
            </w:pPr>
            <w:r w:rsidRPr="00312733">
              <w:rPr>
                <w:sz w:val="22"/>
                <w:szCs w:val="22"/>
              </w:rPr>
              <w:t>(0.46-1.50)</w:t>
            </w: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[37]</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Vansycle</w:t>
            </w:r>
          </w:p>
        </w:tc>
        <w:tc>
          <w:tcPr>
            <w:tcW w:w="2520" w:type="dxa"/>
            <w:vAlign w:val="center"/>
            <w:hideMark/>
          </w:tcPr>
          <w:p w:rsidR="004427D2" w:rsidRPr="00312733" w:rsidRDefault="004427D2" w:rsidP="00F750C5">
            <w:pPr>
              <w:spacing w:line="240" w:lineRule="auto"/>
              <w:jc w:val="center"/>
            </w:pPr>
            <w:r w:rsidRPr="00312733">
              <w:rPr>
                <w:sz w:val="22"/>
                <w:szCs w:val="22"/>
              </w:rPr>
              <w:t>0.75</w:t>
            </w:r>
          </w:p>
        </w:tc>
        <w:tc>
          <w:tcPr>
            <w:tcW w:w="2160" w:type="dxa"/>
            <w:vAlign w:val="center"/>
            <w:hideMark/>
          </w:tcPr>
          <w:p w:rsidR="004427D2" w:rsidRPr="00312733" w:rsidRDefault="004427D2" w:rsidP="00F750C5">
            <w:pPr>
              <w:spacing w:line="240" w:lineRule="auto"/>
              <w:jc w:val="center"/>
            </w:pPr>
            <w:r w:rsidRPr="00312733">
              <w:rPr>
                <w:sz w:val="22"/>
                <w:szCs w:val="22"/>
              </w:rPr>
              <w:t>(0.72-0.80)</w:t>
            </w:r>
          </w:p>
        </w:tc>
        <w:tc>
          <w:tcPr>
            <w:tcW w:w="1800" w:type="dxa"/>
            <w:vAlign w:val="center"/>
            <w:hideMark/>
          </w:tcPr>
          <w:p w:rsidR="004427D2" w:rsidRPr="00312733" w:rsidRDefault="004427D2" w:rsidP="00F750C5">
            <w:pPr>
              <w:spacing w:line="240" w:lineRule="auto"/>
            </w:pPr>
            <w:r w:rsidRPr="00312733">
              <w:rPr>
                <w:sz w:val="22"/>
                <w:szCs w:val="22"/>
              </w:rPr>
              <w:t>Naïve</w:t>
            </w:r>
          </w:p>
        </w:tc>
        <w:tc>
          <w:tcPr>
            <w:tcW w:w="1260" w:type="dxa"/>
            <w:vAlign w:val="center"/>
          </w:tcPr>
          <w:p w:rsidR="004427D2" w:rsidRPr="004427D2" w:rsidRDefault="004427D2" w:rsidP="00F750C5">
            <w:pPr>
              <w:spacing w:line="240" w:lineRule="auto"/>
              <w:jc w:val="center"/>
            </w:pPr>
            <w:r w:rsidRPr="004427D2">
              <w:rPr>
                <w:noProof/>
                <w:sz w:val="22"/>
              </w:rPr>
              <w:t>[38]</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Vantage</w:t>
            </w:r>
          </w:p>
        </w:tc>
        <w:tc>
          <w:tcPr>
            <w:tcW w:w="2520" w:type="dxa"/>
            <w:vAlign w:val="center"/>
            <w:hideMark/>
          </w:tcPr>
          <w:p w:rsidR="004427D2" w:rsidRPr="00312733" w:rsidRDefault="004427D2" w:rsidP="00F750C5">
            <w:pPr>
              <w:spacing w:line="240" w:lineRule="auto"/>
              <w:jc w:val="center"/>
            </w:pPr>
            <w:r w:rsidRPr="00312733">
              <w:rPr>
                <w:sz w:val="22"/>
                <w:szCs w:val="22"/>
              </w:rPr>
              <w:t>1.14</w:t>
            </w:r>
          </w:p>
        </w:tc>
        <w:tc>
          <w:tcPr>
            <w:tcW w:w="2160" w:type="dxa"/>
            <w:vAlign w:val="center"/>
          </w:tcPr>
          <w:p w:rsidR="004427D2" w:rsidRPr="00312733" w:rsidRDefault="004427D2" w:rsidP="00F750C5">
            <w:pPr>
              <w:spacing w:line="240" w:lineRule="auto"/>
              <w:jc w:val="center"/>
            </w:pP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[39]</w:t>
            </w:r>
          </w:p>
        </w:tc>
      </w:tr>
      <w:tr w:rsidR="004427D2" w:rsidRPr="00312733" w:rsidTr="00F750C5">
        <w:trPr>
          <w:cantSplit/>
          <w:trHeight w:val="20"/>
        </w:trPr>
        <w:tc>
          <w:tcPr>
            <w:tcW w:w="3690" w:type="dxa"/>
            <w:vAlign w:val="center"/>
            <w:hideMark/>
          </w:tcPr>
          <w:p w:rsidR="004427D2" w:rsidRPr="00312733" w:rsidRDefault="004427D2" w:rsidP="00F750C5">
            <w:pPr>
              <w:spacing w:line="240" w:lineRule="auto"/>
            </w:pPr>
            <w:r w:rsidRPr="00312733">
              <w:rPr>
                <w:sz w:val="22"/>
                <w:szCs w:val="22"/>
              </w:rPr>
              <w:t>Wild Horse</w:t>
            </w:r>
          </w:p>
        </w:tc>
        <w:tc>
          <w:tcPr>
            <w:tcW w:w="2520" w:type="dxa"/>
            <w:vAlign w:val="center"/>
            <w:hideMark/>
          </w:tcPr>
          <w:p w:rsidR="004427D2" w:rsidRPr="00312733" w:rsidRDefault="004427D2" w:rsidP="00F750C5">
            <w:pPr>
              <w:spacing w:line="240" w:lineRule="auto"/>
              <w:jc w:val="center"/>
            </w:pPr>
            <w:r w:rsidRPr="00312733">
              <w:rPr>
                <w:sz w:val="22"/>
                <w:szCs w:val="22"/>
              </w:rPr>
              <w:t>1.28</w:t>
            </w:r>
          </w:p>
        </w:tc>
        <w:tc>
          <w:tcPr>
            <w:tcW w:w="2160" w:type="dxa"/>
            <w:vAlign w:val="center"/>
          </w:tcPr>
          <w:p w:rsidR="004427D2" w:rsidRPr="00312733" w:rsidRDefault="004427D2" w:rsidP="00F750C5">
            <w:pPr>
              <w:spacing w:line="240" w:lineRule="auto"/>
              <w:jc w:val="center"/>
            </w:pPr>
          </w:p>
        </w:tc>
        <w:tc>
          <w:tcPr>
            <w:tcW w:w="1800" w:type="dxa"/>
            <w:vAlign w:val="center"/>
            <w:hideMark/>
          </w:tcPr>
          <w:p w:rsidR="004427D2" w:rsidRPr="00312733" w:rsidRDefault="004427D2" w:rsidP="00F750C5">
            <w:pPr>
              <w:spacing w:line="240" w:lineRule="auto"/>
            </w:pPr>
            <w:r w:rsidRPr="00312733">
              <w:rPr>
                <w:sz w:val="22"/>
                <w:szCs w:val="22"/>
              </w:rPr>
              <w:t>Shoenfeld</w:t>
            </w:r>
          </w:p>
        </w:tc>
        <w:tc>
          <w:tcPr>
            <w:tcW w:w="1260" w:type="dxa"/>
            <w:vAlign w:val="center"/>
          </w:tcPr>
          <w:p w:rsidR="004427D2" w:rsidRPr="004427D2" w:rsidRDefault="004427D2" w:rsidP="00F750C5">
            <w:pPr>
              <w:spacing w:line="240" w:lineRule="auto"/>
              <w:jc w:val="center"/>
            </w:pPr>
            <w:r w:rsidRPr="004427D2">
              <w:rPr>
                <w:noProof/>
                <w:sz w:val="22"/>
              </w:rPr>
              <w:t>[40]</w:t>
            </w:r>
          </w:p>
        </w:tc>
      </w:tr>
      <w:tr w:rsidR="004427D2" w:rsidRPr="00312733" w:rsidTr="00F750C5">
        <w:trPr>
          <w:cantSplit/>
          <w:trHeight w:val="20"/>
        </w:trPr>
        <w:tc>
          <w:tcPr>
            <w:tcW w:w="3690" w:type="dxa"/>
            <w:tcBorders>
              <w:top w:val="nil"/>
              <w:left w:val="nil"/>
              <w:bottom w:val="single" w:sz="4" w:space="0" w:color="auto"/>
              <w:right w:val="nil"/>
            </w:tcBorders>
            <w:vAlign w:val="center"/>
            <w:hideMark/>
          </w:tcPr>
          <w:p w:rsidR="004427D2" w:rsidRPr="00312733" w:rsidRDefault="004427D2" w:rsidP="00F750C5">
            <w:pPr>
              <w:spacing w:line="240" w:lineRule="auto"/>
            </w:pPr>
            <w:r w:rsidRPr="00312733">
              <w:rPr>
                <w:sz w:val="22"/>
                <w:szCs w:val="22"/>
              </w:rPr>
              <w:t>Windy Flats (Windy Point II)</w:t>
            </w:r>
          </w:p>
        </w:tc>
        <w:tc>
          <w:tcPr>
            <w:tcW w:w="2520" w:type="dxa"/>
            <w:tcBorders>
              <w:top w:val="nil"/>
              <w:left w:val="nil"/>
              <w:bottom w:val="single" w:sz="4" w:space="0" w:color="auto"/>
              <w:right w:val="nil"/>
            </w:tcBorders>
            <w:vAlign w:val="center"/>
            <w:hideMark/>
          </w:tcPr>
          <w:p w:rsidR="004427D2" w:rsidRPr="00312733" w:rsidRDefault="004427D2" w:rsidP="00F750C5">
            <w:pPr>
              <w:spacing w:line="240" w:lineRule="auto"/>
              <w:jc w:val="center"/>
            </w:pPr>
            <w:r w:rsidRPr="00312733">
              <w:rPr>
                <w:sz w:val="22"/>
                <w:szCs w:val="22"/>
              </w:rPr>
              <w:t>7.59</w:t>
            </w:r>
          </w:p>
        </w:tc>
        <w:tc>
          <w:tcPr>
            <w:tcW w:w="2160" w:type="dxa"/>
            <w:tcBorders>
              <w:top w:val="nil"/>
              <w:left w:val="nil"/>
              <w:bottom w:val="single" w:sz="4" w:space="0" w:color="auto"/>
              <w:right w:val="nil"/>
            </w:tcBorders>
            <w:vAlign w:val="center"/>
          </w:tcPr>
          <w:p w:rsidR="004427D2" w:rsidRPr="00312733" w:rsidRDefault="004427D2" w:rsidP="00F750C5">
            <w:pPr>
              <w:spacing w:line="240" w:lineRule="auto"/>
              <w:jc w:val="center"/>
            </w:pPr>
          </w:p>
        </w:tc>
        <w:tc>
          <w:tcPr>
            <w:tcW w:w="1800" w:type="dxa"/>
            <w:tcBorders>
              <w:top w:val="nil"/>
              <w:left w:val="nil"/>
              <w:bottom w:val="single" w:sz="4" w:space="0" w:color="auto"/>
              <w:right w:val="nil"/>
            </w:tcBorders>
            <w:vAlign w:val="center"/>
            <w:hideMark/>
          </w:tcPr>
          <w:p w:rsidR="004427D2" w:rsidRPr="00312733" w:rsidRDefault="004427D2" w:rsidP="00F750C5">
            <w:pPr>
              <w:spacing w:line="240" w:lineRule="auto"/>
            </w:pPr>
            <w:r w:rsidRPr="00312733">
              <w:rPr>
                <w:sz w:val="22"/>
                <w:szCs w:val="22"/>
              </w:rPr>
              <w:t>Shoenfeld</w:t>
            </w:r>
          </w:p>
        </w:tc>
        <w:tc>
          <w:tcPr>
            <w:tcW w:w="1260" w:type="dxa"/>
            <w:tcBorders>
              <w:top w:val="nil"/>
              <w:left w:val="nil"/>
              <w:bottom w:val="single" w:sz="4" w:space="0" w:color="auto"/>
              <w:right w:val="nil"/>
            </w:tcBorders>
            <w:vAlign w:val="center"/>
          </w:tcPr>
          <w:p w:rsidR="004427D2" w:rsidRPr="004427D2" w:rsidRDefault="004427D2" w:rsidP="00F750C5">
            <w:pPr>
              <w:spacing w:line="240" w:lineRule="auto"/>
              <w:jc w:val="center"/>
            </w:pPr>
            <w:r w:rsidRPr="004427D2">
              <w:rPr>
                <w:noProof/>
                <w:sz w:val="22"/>
              </w:rPr>
              <w:t>[41]</w:t>
            </w:r>
          </w:p>
        </w:tc>
      </w:tr>
      <w:tr w:rsidR="004427D2" w:rsidRPr="00312733" w:rsidTr="00145048">
        <w:trPr>
          <w:cantSplit/>
          <w:trHeight w:val="20"/>
        </w:trPr>
        <w:tc>
          <w:tcPr>
            <w:tcW w:w="11430" w:type="dxa"/>
            <w:gridSpan w:val="5"/>
            <w:tcBorders>
              <w:top w:val="single" w:sz="4" w:space="0" w:color="auto"/>
              <w:left w:val="nil"/>
              <w:bottom w:val="nil"/>
              <w:right w:val="nil"/>
            </w:tcBorders>
            <w:vAlign w:val="center"/>
            <w:hideMark/>
          </w:tcPr>
          <w:p w:rsidR="004427D2" w:rsidRPr="00312733" w:rsidRDefault="004427D2" w:rsidP="00145048">
            <w:pPr>
              <w:keepNext/>
              <w:spacing w:line="240" w:lineRule="auto"/>
              <w:jc w:val="center"/>
              <w:rPr>
                <w:b/>
              </w:rPr>
            </w:pPr>
            <w:r w:rsidRPr="00312733">
              <w:rPr>
                <w:b/>
                <w:sz w:val="22"/>
                <w:szCs w:val="22"/>
              </w:rPr>
              <w:t>Northern Forest Biome</w:t>
            </w:r>
          </w:p>
        </w:tc>
      </w:tr>
      <w:tr w:rsidR="00307D4A" w:rsidRPr="00312733" w:rsidTr="00F750C5">
        <w:trPr>
          <w:cantSplit/>
          <w:trHeight w:val="20"/>
        </w:trPr>
        <w:tc>
          <w:tcPr>
            <w:tcW w:w="3690" w:type="dxa"/>
            <w:tcBorders>
              <w:top w:val="single" w:sz="4" w:space="0" w:color="auto"/>
              <w:left w:val="nil"/>
              <w:bottom w:val="nil"/>
              <w:right w:val="nil"/>
            </w:tcBorders>
            <w:vAlign w:val="center"/>
            <w:hideMark/>
          </w:tcPr>
          <w:p w:rsidR="00307D4A" w:rsidRPr="00312733" w:rsidRDefault="00307D4A" w:rsidP="00F750C5">
            <w:pPr>
              <w:spacing w:line="240" w:lineRule="auto"/>
            </w:pPr>
            <w:r w:rsidRPr="00312733">
              <w:rPr>
                <w:sz w:val="22"/>
                <w:szCs w:val="22"/>
              </w:rPr>
              <w:t>Lempster (2010)</w:t>
            </w:r>
          </w:p>
        </w:tc>
        <w:tc>
          <w:tcPr>
            <w:tcW w:w="2520" w:type="dxa"/>
            <w:tcBorders>
              <w:top w:val="single" w:sz="4" w:space="0" w:color="auto"/>
              <w:left w:val="nil"/>
              <w:bottom w:val="nil"/>
              <w:right w:val="nil"/>
            </w:tcBorders>
            <w:vAlign w:val="center"/>
            <w:hideMark/>
          </w:tcPr>
          <w:p w:rsidR="00307D4A" w:rsidRPr="00312733" w:rsidRDefault="00307D4A" w:rsidP="00F750C5">
            <w:pPr>
              <w:spacing w:line="240" w:lineRule="auto"/>
              <w:jc w:val="center"/>
            </w:pPr>
            <w:r w:rsidRPr="00312733">
              <w:rPr>
                <w:sz w:val="22"/>
                <w:szCs w:val="22"/>
              </w:rPr>
              <w:t>1.65</w:t>
            </w:r>
          </w:p>
        </w:tc>
        <w:tc>
          <w:tcPr>
            <w:tcW w:w="2160" w:type="dxa"/>
            <w:tcBorders>
              <w:top w:val="single" w:sz="4" w:space="0" w:color="auto"/>
              <w:left w:val="nil"/>
              <w:bottom w:val="nil"/>
              <w:right w:val="nil"/>
            </w:tcBorders>
            <w:vAlign w:val="center"/>
            <w:hideMark/>
          </w:tcPr>
          <w:p w:rsidR="00307D4A" w:rsidRPr="00312733" w:rsidRDefault="00307D4A" w:rsidP="00F750C5">
            <w:pPr>
              <w:spacing w:line="240" w:lineRule="auto"/>
              <w:jc w:val="center"/>
            </w:pPr>
            <w:r w:rsidRPr="00312733">
              <w:rPr>
                <w:sz w:val="22"/>
                <w:szCs w:val="22"/>
              </w:rPr>
              <w:t>(0.77-2.95)</w:t>
            </w:r>
          </w:p>
        </w:tc>
        <w:tc>
          <w:tcPr>
            <w:tcW w:w="1800" w:type="dxa"/>
            <w:tcBorders>
              <w:top w:val="single" w:sz="4" w:space="0" w:color="auto"/>
              <w:left w:val="nil"/>
              <w:bottom w:val="nil"/>
              <w:right w:val="nil"/>
            </w:tcBorders>
            <w:vAlign w:val="bottom"/>
            <w:hideMark/>
          </w:tcPr>
          <w:p w:rsidR="00307D4A" w:rsidRPr="00312733" w:rsidRDefault="00307D4A" w:rsidP="00F750C5">
            <w:pPr>
              <w:spacing w:line="240" w:lineRule="auto"/>
            </w:pPr>
            <w:r w:rsidRPr="00312733">
              <w:rPr>
                <w:sz w:val="22"/>
                <w:szCs w:val="22"/>
              </w:rPr>
              <w:t>Shoenfeld</w:t>
            </w:r>
          </w:p>
        </w:tc>
        <w:tc>
          <w:tcPr>
            <w:tcW w:w="1260" w:type="dxa"/>
            <w:tcBorders>
              <w:top w:val="single" w:sz="4" w:space="0" w:color="auto"/>
              <w:left w:val="nil"/>
              <w:bottom w:val="nil"/>
              <w:right w:val="nil"/>
            </w:tcBorders>
            <w:vAlign w:val="center"/>
          </w:tcPr>
          <w:p w:rsidR="00307D4A" w:rsidRPr="00307D4A" w:rsidRDefault="00307D4A" w:rsidP="00F750C5">
            <w:pPr>
              <w:spacing w:line="240" w:lineRule="auto"/>
              <w:jc w:val="center"/>
              <w:rPr>
                <w:noProof/>
                <w:color w:val="000000"/>
              </w:rPr>
            </w:pPr>
            <w:r w:rsidRPr="00307D4A">
              <w:rPr>
                <w:noProof/>
                <w:sz w:val="22"/>
              </w:rPr>
              <w:t>[42]</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Maple Ridge (2007)</w:t>
            </w:r>
          </w:p>
        </w:tc>
        <w:tc>
          <w:tcPr>
            <w:tcW w:w="2520" w:type="dxa"/>
            <w:vAlign w:val="center"/>
            <w:hideMark/>
          </w:tcPr>
          <w:p w:rsidR="00307D4A" w:rsidRPr="00312733" w:rsidRDefault="00307D4A" w:rsidP="00F750C5">
            <w:pPr>
              <w:spacing w:line="240" w:lineRule="auto"/>
              <w:jc w:val="center"/>
            </w:pPr>
            <w:r w:rsidRPr="00312733">
              <w:rPr>
                <w:sz w:val="22"/>
                <w:szCs w:val="22"/>
              </w:rPr>
              <w:t>2.73</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Jain</w:t>
            </w:r>
          </w:p>
        </w:tc>
        <w:tc>
          <w:tcPr>
            <w:tcW w:w="1260" w:type="dxa"/>
            <w:vAlign w:val="center"/>
          </w:tcPr>
          <w:p w:rsidR="00307D4A" w:rsidRPr="00307D4A" w:rsidRDefault="00307D4A" w:rsidP="00F750C5">
            <w:pPr>
              <w:spacing w:line="240" w:lineRule="auto"/>
              <w:ind w:left="121" w:hanging="121"/>
              <w:jc w:val="center"/>
            </w:pPr>
            <w:r w:rsidRPr="00307D4A">
              <w:rPr>
                <w:noProof/>
                <w:sz w:val="22"/>
              </w:rPr>
              <w:t>[43]</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Maple Ridge (2008)</w:t>
            </w:r>
          </w:p>
        </w:tc>
        <w:tc>
          <w:tcPr>
            <w:tcW w:w="2520" w:type="dxa"/>
            <w:vAlign w:val="center"/>
            <w:hideMark/>
          </w:tcPr>
          <w:p w:rsidR="00307D4A" w:rsidRPr="00312733" w:rsidRDefault="00307D4A" w:rsidP="00F750C5">
            <w:pPr>
              <w:spacing w:line="240" w:lineRule="auto"/>
              <w:jc w:val="center"/>
            </w:pPr>
            <w:r w:rsidRPr="00312733">
              <w:rPr>
                <w:sz w:val="22"/>
                <w:szCs w:val="22"/>
              </w:rPr>
              <w:t>1.86</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Jain</w:t>
            </w:r>
          </w:p>
        </w:tc>
        <w:tc>
          <w:tcPr>
            <w:tcW w:w="1260" w:type="dxa"/>
            <w:vAlign w:val="center"/>
          </w:tcPr>
          <w:p w:rsidR="00307D4A" w:rsidRPr="00307D4A" w:rsidRDefault="00307D4A" w:rsidP="00F750C5">
            <w:pPr>
              <w:spacing w:line="240" w:lineRule="auto"/>
              <w:jc w:val="center"/>
            </w:pPr>
            <w:r w:rsidRPr="00307D4A">
              <w:rPr>
                <w:noProof/>
                <w:sz w:val="22"/>
              </w:rPr>
              <w:t>[44]</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Noble Altona (2010)</w:t>
            </w:r>
          </w:p>
        </w:tc>
        <w:tc>
          <w:tcPr>
            <w:tcW w:w="2520" w:type="dxa"/>
            <w:vAlign w:val="center"/>
            <w:hideMark/>
          </w:tcPr>
          <w:p w:rsidR="00307D4A" w:rsidRPr="00312733" w:rsidRDefault="00307D4A" w:rsidP="00F750C5">
            <w:pPr>
              <w:spacing w:line="240" w:lineRule="auto"/>
              <w:jc w:val="center"/>
            </w:pPr>
            <w:r w:rsidRPr="00312733">
              <w:rPr>
                <w:sz w:val="22"/>
                <w:szCs w:val="22"/>
              </w:rPr>
              <w:t>1.68</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Jain</w:t>
            </w:r>
          </w:p>
        </w:tc>
        <w:tc>
          <w:tcPr>
            <w:tcW w:w="1260" w:type="dxa"/>
            <w:vAlign w:val="center"/>
          </w:tcPr>
          <w:p w:rsidR="00307D4A" w:rsidRPr="00307D4A" w:rsidRDefault="00307D4A" w:rsidP="00F750C5">
            <w:pPr>
              <w:spacing w:line="240" w:lineRule="auto"/>
              <w:ind w:left="121" w:hanging="121"/>
              <w:jc w:val="center"/>
            </w:pPr>
            <w:r w:rsidRPr="00307D4A">
              <w:rPr>
                <w:noProof/>
                <w:sz w:val="22"/>
              </w:rPr>
              <w:t>[45]</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Noble Chateaugay (2010)</w:t>
            </w:r>
          </w:p>
        </w:tc>
        <w:tc>
          <w:tcPr>
            <w:tcW w:w="2520" w:type="dxa"/>
            <w:vAlign w:val="center"/>
            <w:hideMark/>
          </w:tcPr>
          <w:p w:rsidR="00307D4A" w:rsidRPr="00312733" w:rsidRDefault="00307D4A" w:rsidP="00F750C5">
            <w:pPr>
              <w:spacing w:line="240" w:lineRule="auto"/>
              <w:jc w:val="center"/>
            </w:pPr>
            <w:r w:rsidRPr="00312733">
              <w:rPr>
                <w:sz w:val="22"/>
                <w:szCs w:val="22"/>
              </w:rPr>
              <w:t>1.01</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Jain</w:t>
            </w:r>
          </w:p>
        </w:tc>
        <w:tc>
          <w:tcPr>
            <w:tcW w:w="1260" w:type="dxa"/>
            <w:vAlign w:val="center"/>
          </w:tcPr>
          <w:p w:rsidR="00307D4A" w:rsidRPr="00307D4A" w:rsidRDefault="00307D4A" w:rsidP="00F750C5">
            <w:pPr>
              <w:spacing w:line="240" w:lineRule="auto"/>
              <w:ind w:left="121" w:hanging="121"/>
              <w:jc w:val="center"/>
            </w:pPr>
            <w:r w:rsidRPr="00307D4A">
              <w:rPr>
                <w:noProof/>
                <w:sz w:val="22"/>
              </w:rPr>
              <w:t>[46]</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Noble Clinton (2008)</w:t>
            </w:r>
          </w:p>
        </w:tc>
        <w:tc>
          <w:tcPr>
            <w:tcW w:w="2520" w:type="dxa"/>
            <w:vAlign w:val="center"/>
            <w:hideMark/>
          </w:tcPr>
          <w:p w:rsidR="00307D4A" w:rsidRPr="00312733" w:rsidRDefault="00307D4A" w:rsidP="00F750C5">
            <w:pPr>
              <w:spacing w:line="240" w:lineRule="auto"/>
              <w:jc w:val="center"/>
            </w:pPr>
            <w:r w:rsidRPr="00312733">
              <w:rPr>
                <w:sz w:val="22"/>
                <w:szCs w:val="22"/>
              </w:rPr>
              <w:t>1.39</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Jain</w:t>
            </w:r>
          </w:p>
        </w:tc>
        <w:tc>
          <w:tcPr>
            <w:tcW w:w="1260" w:type="dxa"/>
            <w:vAlign w:val="center"/>
          </w:tcPr>
          <w:p w:rsidR="00307D4A" w:rsidRPr="00307D4A" w:rsidRDefault="00307D4A" w:rsidP="00F750C5">
            <w:pPr>
              <w:keepNext/>
              <w:spacing w:line="240" w:lineRule="auto"/>
              <w:ind w:left="165" w:hanging="165"/>
              <w:jc w:val="center"/>
            </w:pPr>
            <w:r w:rsidRPr="00307D4A">
              <w:rPr>
                <w:noProof/>
                <w:sz w:val="22"/>
              </w:rPr>
              <w:t>[47]</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Noble Clinton (2009)</w:t>
            </w:r>
          </w:p>
        </w:tc>
        <w:tc>
          <w:tcPr>
            <w:tcW w:w="2520" w:type="dxa"/>
            <w:vAlign w:val="center"/>
            <w:hideMark/>
          </w:tcPr>
          <w:p w:rsidR="00307D4A" w:rsidRPr="00312733" w:rsidRDefault="00307D4A" w:rsidP="00F750C5">
            <w:pPr>
              <w:spacing w:line="240" w:lineRule="auto"/>
              <w:jc w:val="center"/>
            </w:pPr>
            <w:r w:rsidRPr="00312733">
              <w:rPr>
                <w:sz w:val="22"/>
                <w:szCs w:val="22"/>
              </w:rPr>
              <w:t>0.57</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Jain</w:t>
            </w:r>
          </w:p>
        </w:tc>
        <w:tc>
          <w:tcPr>
            <w:tcW w:w="1260" w:type="dxa"/>
            <w:vAlign w:val="center"/>
          </w:tcPr>
          <w:p w:rsidR="00307D4A" w:rsidRPr="00307D4A" w:rsidRDefault="00307D4A" w:rsidP="00F750C5">
            <w:pPr>
              <w:keepNext/>
              <w:spacing w:line="240" w:lineRule="auto"/>
              <w:ind w:left="165" w:hanging="165"/>
              <w:jc w:val="center"/>
            </w:pPr>
            <w:r w:rsidRPr="00307D4A">
              <w:rPr>
                <w:noProof/>
                <w:sz w:val="22"/>
              </w:rPr>
              <w:t>[48]</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Noble Ellenburg (2008)</w:t>
            </w:r>
          </w:p>
        </w:tc>
        <w:tc>
          <w:tcPr>
            <w:tcW w:w="2520" w:type="dxa"/>
            <w:vAlign w:val="center"/>
            <w:hideMark/>
          </w:tcPr>
          <w:p w:rsidR="00307D4A" w:rsidRPr="00312733" w:rsidRDefault="00307D4A" w:rsidP="00F750C5">
            <w:pPr>
              <w:spacing w:line="240" w:lineRule="auto"/>
              <w:jc w:val="center"/>
            </w:pPr>
            <w:r w:rsidRPr="00312733">
              <w:rPr>
                <w:sz w:val="22"/>
                <w:szCs w:val="22"/>
              </w:rPr>
              <w:t>0.66</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Jain</w:t>
            </w:r>
          </w:p>
        </w:tc>
        <w:tc>
          <w:tcPr>
            <w:tcW w:w="1260" w:type="dxa"/>
            <w:vAlign w:val="center"/>
          </w:tcPr>
          <w:p w:rsidR="00307D4A" w:rsidRPr="00307D4A" w:rsidRDefault="00307D4A" w:rsidP="00F750C5">
            <w:pPr>
              <w:keepNext/>
              <w:spacing w:line="240" w:lineRule="auto"/>
              <w:ind w:left="165" w:hanging="165"/>
              <w:jc w:val="center"/>
            </w:pPr>
            <w:r w:rsidRPr="00307D4A">
              <w:rPr>
                <w:noProof/>
                <w:sz w:val="22"/>
              </w:rPr>
              <w:t>[49]</w:t>
            </w:r>
          </w:p>
        </w:tc>
      </w:tr>
      <w:tr w:rsidR="00307D4A" w:rsidRPr="00312733" w:rsidTr="00F750C5">
        <w:trPr>
          <w:cantSplit/>
          <w:trHeight w:val="20"/>
        </w:trPr>
        <w:tc>
          <w:tcPr>
            <w:tcW w:w="3690" w:type="dxa"/>
            <w:tcBorders>
              <w:top w:val="nil"/>
              <w:left w:val="nil"/>
              <w:bottom w:val="single" w:sz="4" w:space="0" w:color="auto"/>
              <w:right w:val="nil"/>
            </w:tcBorders>
            <w:vAlign w:val="center"/>
            <w:hideMark/>
          </w:tcPr>
          <w:p w:rsidR="00307D4A" w:rsidRPr="00312733" w:rsidRDefault="00307D4A" w:rsidP="00F750C5">
            <w:pPr>
              <w:spacing w:line="240" w:lineRule="auto"/>
            </w:pPr>
            <w:r w:rsidRPr="00312733">
              <w:rPr>
                <w:sz w:val="22"/>
                <w:szCs w:val="22"/>
              </w:rPr>
              <w:t>Noble Ellenburg (2009)</w:t>
            </w:r>
          </w:p>
        </w:tc>
        <w:tc>
          <w:tcPr>
            <w:tcW w:w="2520" w:type="dxa"/>
            <w:tcBorders>
              <w:top w:val="nil"/>
              <w:left w:val="nil"/>
              <w:bottom w:val="single" w:sz="4" w:space="0" w:color="auto"/>
              <w:right w:val="nil"/>
            </w:tcBorders>
            <w:vAlign w:val="center"/>
            <w:hideMark/>
          </w:tcPr>
          <w:p w:rsidR="00307D4A" w:rsidRPr="00312733" w:rsidRDefault="00307D4A" w:rsidP="00F750C5">
            <w:pPr>
              <w:spacing w:line="240" w:lineRule="auto"/>
              <w:jc w:val="center"/>
            </w:pPr>
            <w:r w:rsidRPr="00312733">
              <w:rPr>
                <w:sz w:val="22"/>
                <w:szCs w:val="22"/>
              </w:rPr>
              <w:t>2.02</w:t>
            </w:r>
          </w:p>
        </w:tc>
        <w:tc>
          <w:tcPr>
            <w:tcW w:w="2160" w:type="dxa"/>
            <w:tcBorders>
              <w:top w:val="nil"/>
              <w:left w:val="nil"/>
              <w:bottom w:val="single" w:sz="4" w:space="0" w:color="auto"/>
              <w:right w:val="nil"/>
            </w:tcBorders>
            <w:vAlign w:val="center"/>
          </w:tcPr>
          <w:p w:rsidR="00307D4A" w:rsidRPr="00312733" w:rsidRDefault="00307D4A" w:rsidP="00F750C5">
            <w:pPr>
              <w:spacing w:line="240" w:lineRule="auto"/>
              <w:jc w:val="center"/>
            </w:pPr>
          </w:p>
        </w:tc>
        <w:tc>
          <w:tcPr>
            <w:tcW w:w="1800" w:type="dxa"/>
            <w:tcBorders>
              <w:top w:val="nil"/>
              <w:left w:val="nil"/>
              <w:bottom w:val="single" w:sz="4" w:space="0" w:color="auto"/>
              <w:right w:val="nil"/>
            </w:tcBorders>
            <w:vAlign w:val="bottom"/>
            <w:hideMark/>
          </w:tcPr>
          <w:p w:rsidR="00307D4A" w:rsidRPr="00312733" w:rsidRDefault="00307D4A" w:rsidP="00F750C5">
            <w:pPr>
              <w:spacing w:line="240" w:lineRule="auto"/>
            </w:pPr>
            <w:r w:rsidRPr="00312733">
              <w:rPr>
                <w:sz w:val="22"/>
                <w:szCs w:val="22"/>
              </w:rPr>
              <w:t>Jain</w:t>
            </w:r>
          </w:p>
        </w:tc>
        <w:tc>
          <w:tcPr>
            <w:tcW w:w="1260" w:type="dxa"/>
            <w:tcBorders>
              <w:top w:val="nil"/>
              <w:left w:val="nil"/>
              <w:bottom w:val="single" w:sz="4" w:space="0" w:color="auto"/>
              <w:right w:val="nil"/>
            </w:tcBorders>
            <w:vAlign w:val="center"/>
          </w:tcPr>
          <w:p w:rsidR="00307D4A" w:rsidRPr="00307D4A" w:rsidRDefault="00307D4A" w:rsidP="00F750C5">
            <w:pPr>
              <w:keepNext/>
              <w:spacing w:line="240" w:lineRule="auto"/>
              <w:ind w:left="165" w:hanging="165"/>
              <w:jc w:val="center"/>
            </w:pPr>
            <w:r w:rsidRPr="00307D4A">
              <w:rPr>
                <w:noProof/>
                <w:sz w:val="22"/>
              </w:rPr>
              <w:t>[50]</w:t>
            </w:r>
          </w:p>
        </w:tc>
      </w:tr>
      <w:tr w:rsidR="00307D4A" w:rsidRPr="00312733" w:rsidTr="00145048">
        <w:trPr>
          <w:cantSplit/>
          <w:trHeight w:val="20"/>
        </w:trPr>
        <w:tc>
          <w:tcPr>
            <w:tcW w:w="11430" w:type="dxa"/>
            <w:gridSpan w:val="5"/>
            <w:tcBorders>
              <w:top w:val="single" w:sz="4" w:space="0" w:color="auto"/>
              <w:left w:val="nil"/>
              <w:bottom w:val="nil"/>
              <w:right w:val="nil"/>
            </w:tcBorders>
            <w:vAlign w:val="center"/>
            <w:hideMark/>
          </w:tcPr>
          <w:p w:rsidR="00307D4A" w:rsidRPr="00312733" w:rsidRDefault="00307D4A" w:rsidP="00145048">
            <w:pPr>
              <w:spacing w:line="240" w:lineRule="auto"/>
              <w:jc w:val="center"/>
              <w:rPr>
                <w:b/>
              </w:rPr>
            </w:pPr>
            <w:r w:rsidRPr="00312733">
              <w:rPr>
                <w:b/>
                <w:sz w:val="22"/>
                <w:szCs w:val="22"/>
              </w:rPr>
              <w:t>Pacific Biome</w:t>
            </w:r>
          </w:p>
        </w:tc>
      </w:tr>
      <w:tr w:rsidR="00307D4A" w:rsidRPr="00312733" w:rsidTr="00F750C5">
        <w:trPr>
          <w:cantSplit/>
          <w:trHeight w:val="20"/>
        </w:trPr>
        <w:tc>
          <w:tcPr>
            <w:tcW w:w="3690" w:type="dxa"/>
            <w:tcBorders>
              <w:top w:val="single" w:sz="4" w:space="0" w:color="auto"/>
              <w:left w:val="nil"/>
              <w:bottom w:val="nil"/>
              <w:right w:val="nil"/>
            </w:tcBorders>
            <w:vAlign w:val="center"/>
            <w:hideMark/>
          </w:tcPr>
          <w:p w:rsidR="00307D4A" w:rsidRPr="00312733" w:rsidRDefault="00307D4A" w:rsidP="00F750C5">
            <w:pPr>
              <w:spacing w:line="240" w:lineRule="auto"/>
            </w:pPr>
            <w:r w:rsidRPr="00312733">
              <w:rPr>
                <w:sz w:val="22"/>
                <w:szCs w:val="22"/>
              </w:rPr>
              <w:t>Alite (2010)</w:t>
            </w:r>
          </w:p>
        </w:tc>
        <w:tc>
          <w:tcPr>
            <w:tcW w:w="2520" w:type="dxa"/>
            <w:tcBorders>
              <w:top w:val="single" w:sz="4" w:space="0" w:color="auto"/>
              <w:left w:val="nil"/>
              <w:bottom w:val="nil"/>
              <w:right w:val="nil"/>
            </w:tcBorders>
            <w:vAlign w:val="center"/>
            <w:hideMark/>
          </w:tcPr>
          <w:p w:rsidR="00307D4A" w:rsidRPr="00312733" w:rsidRDefault="00307D4A" w:rsidP="00F750C5">
            <w:pPr>
              <w:spacing w:line="240" w:lineRule="auto"/>
              <w:jc w:val="center"/>
            </w:pPr>
            <w:r w:rsidRPr="00312733">
              <w:rPr>
                <w:sz w:val="22"/>
                <w:szCs w:val="22"/>
              </w:rPr>
              <w:t>0.24</w:t>
            </w:r>
          </w:p>
        </w:tc>
        <w:tc>
          <w:tcPr>
            <w:tcW w:w="2160" w:type="dxa"/>
            <w:tcBorders>
              <w:top w:val="single" w:sz="4" w:space="0" w:color="auto"/>
              <w:left w:val="nil"/>
              <w:bottom w:val="nil"/>
              <w:right w:val="nil"/>
            </w:tcBorders>
            <w:vAlign w:val="center"/>
            <w:hideMark/>
          </w:tcPr>
          <w:p w:rsidR="00307D4A" w:rsidRPr="00312733" w:rsidRDefault="00307D4A" w:rsidP="00F750C5">
            <w:pPr>
              <w:spacing w:line="240" w:lineRule="auto"/>
              <w:jc w:val="center"/>
            </w:pPr>
            <w:r w:rsidRPr="00312733">
              <w:rPr>
                <w:sz w:val="22"/>
                <w:szCs w:val="22"/>
              </w:rPr>
              <w:t>(0.00-0.56)</w:t>
            </w:r>
          </w:p>
        </w:tc>
        <w:tc>
          <w:tcPr>
            <w:tcW w:w="1800" w:type="dxa"/>
            <w:tcBorders>
              <w:top w:val="single" w:sz="4" w:space="0" w:color="auto"/>
              <w:left w:val="nil"/>
              <w:bottom w:val="nil"/>
              <w:right w:val="nil"/>
            </w:tcBorders>
            <w:vAlign w:val="bottom"/>
            <w:hideMark/>
          </w:tcPr>
          <w:p w:rsidR="00307D4A" w:rsidRPr="00312733" w:rsidRDefault="00307D4A" w:rsidP="00F750C5">
            <w:pPr>
              <w:spacing w:line="240" w:lineRule="auto"/>
            </w:pPr>
            <w:r w:rsidRPr="00312733">
              <w:rPr>
                <w:sz w:val="22"/>
                <w:szCs w:val="22"/>
              </w:rPr>
              <w:t>Shoenfeld</w:t>
            </w:r>
          </w:p>
        </w:tc>
        <w:tc>
          <w:tcPr>
            <w:tcW w:w="1260" w:type="dxa"/>
            <w:tcBorders>
              <w:top w:val="single" w:sz="4" w:space="0" w:color="auto"/>
              <w:left w:val="nil"/>
              <w:bottom w:val="nil"/>
              <w:right w:val="nil"/>
            </w:tcBorders>
            <w:vAlign w:val="center"/>
          </w:tcPr>
          <w:p w:rsidR="00307D4A" w:rsidRPr="00307D4A" w:rsidRDefault="00307D4A" w:rsidP="00F750C5">
            <w:pPr>
              <w:spacing w:line="240" w:lineRule="auto"/>
              <w:jc w:val="center"/>
              <w:rPr>
                <w:color w:val="000000"/>
              </w:rPr>
            </w:pPr>
            <w:r w:rsidRPr="00307D4A">
              <w:rPr>
                <w:noProof/>
                <w:sz w:val="22"/>
              </w:rPr>
              <w:t>[51]</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Diablo Winds</w:t>
            </w:r>
          </w:p>
        </w:tc>
        <w:tc>
          <w:tcPr>
            <w:tcW w:w="2520" w:type="dxa"/>
            <w:vAlign w:val="center"/>
            <w:hideMark/>
          </w:tcPr>
          <w:p w:rsidR="00307D4A" w:rsidRPr="00312733" w:rsidRDefault="00307D4A" w:rsidP="00F750C5">
            <w:pPr>
              <w:spacing w:line="240" w:lineRule="auto"/>
              <w:jc w:val="center"/>
            </w:pPr>
            <w:r w:rsidRPr="00312733">
              <w:rPr>
                <w:sz w:val="22"/>
                <w:szCs w:val="22"/>
              </w:rPr>
              <w:t>3.67</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Shoenfeld</w:t>
            </w:r>
          </w:p>
        </w:tc>
        <w:tc>
          <w:tcPr>
            <w:tcW w:w="1260" w:type="dxa"/>
            <w:vAlign w:val="center"/>
          </w:tcPr>
          <w:p w:rsidR="00307D4A" w:rsidRPr="00307D4A" w:rsidRDefault="00307D4A" w:rsidP="00F750C5">
            <w:pPr>
              <w:spacing w:line="240" w:lineRule="auto"/>
              <w:jc w:val="center"/>
            </w:pPr>
            <w:r w:rsidRPr="00307D4A">
              <w:rPr>
                <w:noProof/>
                <w:color w:val="000000"/>
                <w:sz w:val="22"/>
              </w:rPr>
              <w:t>[52, 53]</w:t>
            </w:r>
          </w:p>
        </w:tc>
      </w:tr>
      <w:tr w:rsidR="00307D4A" w:rsidRPr="00312733" w:rsidTr="00F750C5">
        <w:trPr>
          <w:cantSplit/>
          <w:trHeight w:val="20"/>
        </w:trPr>
        <w:tc>
          <w:tcPr>
            <w:tcW w:w="3690" w:type="dxa"/>
            <w:vAlign w:val="center"/>
            <w:hideMark/>
          </w:tcPr>
          <w:p w:rsidR="00307D4A" w:rsidRPr="00307D4A" w:rsidRDefault="00307D4A" w:rsidP="00F750C5">
            <w:pPr>
              <w:spacing w:line="240" w:lineRule="auto"/>
              <w:rPr>
                <w:vertAlign w:val="superscript"/>
              </w:rPr>
            </w:pPr>
            <w:r w:rsidRPr="00312733">
              <w:rPr>
                <w:sz w:val="22"/>
                <w:szCs w:val="22"/>
              </w:rPr>
              <w:t>Dillon</w:t>
            </w:r>
            <w:r>
              <w:rPr>
                <w:sz w:val="22"/>
                <w:szCs w:val="22"/>
              </w:rPr>
              <w:t xml:space="preserve"> </w:t>
            </w:r>
            <w:r>
              <w:rPr>
                <w:sz w:val="22"/>
                <w:szCs w:val="22"/>
                <w:vertAlign w:val="superscript"/>
              </w:rPr>
              <w:t>a</w:t>
            </w:r>
          </w:p>
        </w:tc>
        <w:tc>
          <w:tcPr>
            <w:tcW w:w="2520" w:type="dxa"/>
            <w:vAlign w:val="center"/>
            <w:hideMark/>
          </w:tcPr>
          <w:p w:rsidR="00307D4A" w:rsidRPr="00312733" w:rsidRDefault="00307D4A" w:rsidP="00F750C5">
            <w:pPr>
              <w:spacing w:line="240" w:lineRule="auto"/>
              <w:jc w:val="center"/>
            </w:pPr>
            <w:r w:rsidRPr="00312733">
              <w:rPr>
                <w:sz w:val="22"/>
                <w:szCs w:val="22"/>
              </w:rPr>
              <w:t>4.26</w:t>
            </w:r>
          </w:p>
        </w:tc>
        <w:tc>
          <w:tcPr>
            <w:tcW w:w="2160" w:type="dxa"/>
            <w:vAlign w:val="center"/>
            <w:hideMark/>
          </w:tcPr>
          <w:p w:rsidR="00307D4A" w:rsidRPr="00312733" w:rsidRDefault="00307D4A" w:rsidP="00F750C5">
            <w:pPr>
              <w:spacing w:line="240" w:lineRule="auto"/>
              <w:jc w:val="center"/>
            </w:pPr>
            <w:r w:rsidRPr="00312733">
              <w:rPr>
                <w:sz w:val="22"/>
                <w:szCs w:val="22"/>
              </w:rPr>
              <w:t>(2.76-6.50)</w:t>
            </w:r>
          </w:p>
        </w:tc>
        <w:tc>
          <w:tcPr>
            <w:tcW w:w="1800" w:type="dxa"/>
            <w:vAlign w:val="bottom"/>
            <w:hideMark/>
          </w:tcPr>
          <w:p w:rsidR="00307D4A" w:rsidRPr="00312733" w:rsidRDefault="00307D4A" w:rsidP="00F750C5">
            <w:pPr>
              <w:spacing w:line="240" w:lineRule="auto"/>
            </w:pPr>
            <w:r w:rsidRPr="00312733">
              <w:rPr>
                <w:sz w:val="22"/>
                <w:szCs w:val="22"/>
              </w:rPr>
              <w:t>Shoenfeld</w:t>
            </w:r>
          </w:p>
        </w:tc>
        <w:tc>
          <w:tcPr>
            <w:tcW w:w="1260" w:type="dxa"/>
            <w:vAlign w:val="center"/>
          </w:tcPr>
          <w:p w:rsidR="00307D4A" w:rsidRPr="00307D4A" w:rsidRDefault="00307D4A" w:rsidP="00F750C5">
            <w:pPr>
              <w:spacing w:line="240" w:lineRule="auto"/>
              <w:jc w:val="center"/>
            </w:pPr>
            <w:r w:rsidRPr="00307D4A">
              <w:rPr>
                <w:noProof/>
                <w:sz w:val="22"/>
              </w:rPr>
              <w:t>[54]</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Pine Tree</w:t>
            </w:r>
          </w:p>
        </w:tc>
        <w:tc>
          <w:tcPr>
            <w:tcW w:w="2520" w:type="dxa"/>
            <w:vAlign w:val="center"/>
            <w:hideMark/>
          </w:tcPr>
          <w:p w:rsidR="00307D4A" w:rsidRPr="00312733" w:rsidRDefault="00307D4A" w:rsidP="00F750C5">
            <w:pPr>
              <w:spacing w:line="240" w:lineRule="auto"/>
              <w:jc w:val="center"/>
            </w:pPr>
            <w:r w:rsidRPr="00312733">
              <w:rPr>
                <w:sz w:val="22"/>
                <w:szCs w:val="22"/>
              </w:rPr>
              <w:t>3.87</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Shoenfeld</w:t>
            </w:r>
          </w:p>
        </w:tc>
        <w:tc>
          <w:tcPr>
            <w:tcW w:w="1260" w:type="dxa"/>
            <w:vAlign w:val="center"/>
          </w:tcPr>
          <w:p w:rsidR="00307D4A" w:rsidRPr="00307D4A" w:rsidRDefault="00307D4A" w:rsidP="00F750C5">
            <w:pPr>
              <w:spacing w:line="240" w:lineRule="auto"/>
              <w:jc w:val="center"/>
              <w:rPr>
                <w:color w:val="000000"/>
              </w:rPr>
            </w:pPr>
            <w:r w:rsidRPr="00307D4A">
              <w:rPr>
                <w:noProof/>
                <w:sz w:val="22"/>
              </w:rPr>
              <w:t>[55]</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 xml:space="preserve">Shiloh </w:t>
            </w:r>
            <w:r w:rsidR="00101D39">
              <w:rPr>
                <w:sz w:val="22"/>
                <w:szCs w:val="22"/>
              </w:rPr>
              <w:t>I</w:t>
            </w:r>
          </w:p>
        </w:tc>
        <w:tc>
          <w:tcPr>
            <w:tcW w:w="2520" w:type="dxa"/>
            <w:vAlign w:val="center"/>
            <w:hideMark/>
          </w:tcPr>
          <w:p w:rsidR="00307D4A" w:rsidRPr="00312733" w:rsidRDefault="00307D4A" w:rsidP="00F750C5">
            <w:pPr>
              <w:spacing w:line="240" w:lineRule="auto"/>
              <w:jc w:val="center"/>
            </w:pPr>
            <w:r w:rsidRPr="00312733">
              <w:rPr>
                <w:sz w:val="22"/>
                <w:szCs w:val="22"/>
              </w:rPr>
              <w:t>4.86</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Jain</w:t>
            </w:r>
          </w:p>
        </w:tc>
        <w:tc>
          <w:tcPr>
            <w:tcW w:w="1260" w:type="dxa"/>
            <w:vAlign w:val="center"/>
          </w:tcPr>
          <w:p w:rsidR="00307D4A" w:rsidRPr="00307D4A" w:rsidRDefault="00307D4A" w:rsidP="00F750C5">
            <w:pPr>
              <w:spacing w:line="240" w:lineRule="auto"/>
              <w:jc w:val="center"/>
            </w:pPr>
            <w:r w:rsidRPr="00307D4A">
              <w:rPr>
                <w:noProof/>
                <w:sz w:val="22"/>
              </w:rPr>
              <w:t>[56]</w:t>
            </w:r>
          </w:p>
        </w:tc>
      </w:tr>
      <w:tr w:rsidR="00307D4A" w:rsidRPr="00312733" w:rsidTr="00F750C5">
        <w:trPr>
          <w:cantSplit/>
          <w:trHeight w:val="20"/>
        </w:trPr>
        <w:tc>
          <w:tcPr>
            <w:tcW w:w="3690" w:type="dxa"/>
            <w:tcBorders>
              <w:top w:val="nil"/>
              <w:left w:val="nil"/>
              <w:bottom w:val="single" w:sz="4" w:space="0" w:color="auto"/>
              <w:right w:val="nil"/>
            </w:tcBorders>
            <w:vAlign w:val="center"/>
            <w:hideMark/>
          </w:tcPr>
          <w:p w:rsidR="00307D4A" w:rsidRPr="00312733" w:rsidRDefault="00307D4A" w:rsidP="00F750C5">
            <w:pPr>
              <w:spacing w:line="240" w:lineRule="auto"/>
            </w:pPr>
            <w:r w:rsidRPr="00312733">
              <w:rPr>
                <w:sz w:val="22"/>
                <w:szCs w:val="22"/>
              </w:rPr>
              <w:t>Shiloh II (Year 1)</w:t>
            </w:r>
          </w:p>
        </w:tc>
        <w:tc>
          <w:tcPr>
            <w:tcW w:w="2520" w:type="dxa"/>
            <w:tcBorders>
              <w:top w:val="nil"/>
              <w:left w:val="nil"/>
              <w:bottom w:val="single" w:sz="4" w:space="0" w:color="auto"/>
              <w:right w:val="nil"/>
            </w:tcBorders>
            <w:vAlign w:val="center"/>
            <w:hideMark/>
          </w:tcPr>
          <w:p w:rsidR="00307D4A" w:rsidRPr="00312733" w:rsidRDefault="00307D4A" w:rsidP="00F750C5">
            <w:pPr>
              <w:spacing w:line="240" w:lineRule="auto"/>
              <w:jc w:val="center"/>
            </w:pPr>
            <w:r w:rsidRPr="00312733">
              <w:rPr>
                <w:sz w:val="22"/>
                <w:szCs w:val="22"/>
              </w:rPr>
              <w:t>0.81</w:t>
            </w:r>
          </w:p>
        </w:tc>
        <w:tc>
          <w:tcPr>
            <w:tcW w:w="2160" w:type="dxa"/>
            <w:tcBorders>
              <w:top w:val="nil"/>
              <w:left w:val="nil"/>
              <w:bottom w:val="single" w:sz="4" w:space="0" w:color="auto"/>
              <w:right w:val="nil"/>
            </w:tcBorders>
            <w:vAlign w:val="center"/>
          </w:tcPr>
          <w:p w:rsidR="00307D4A" w:rsidRPr="00312733" w:rsidRDefault="00307D4A" w:rsidP="00F750C5">
            <w:pPr>
              <w:spacing w:line="240" w:lineRule="auto"/>
              <w:jc w:val="center"/>
            </w:pPr>
          </w:p>
        </w:tc>
        <w:tc>
          <w:tcPr>
            <w:tcW w:w="1800" w:type="dxa"/>
            <w:tcBorders>
              <w:top w:val="nil"/>
              <w:left w:val="nil"/>
              <w:bottom w:val="single" w:sz="4" w:space="0" w:color="auto"/>
              <w:right w:val="nil"/>
            </w:tcBorders>
            <w:vAlign w:val="bottom"/>
            <w:hideMark/>
          </w:tcPr>
          <w:p w:rsidR="00307D4A" w:rsidRPr="00312733" w:rsidRDefault="00307D4A" w:rsidP="00F750C5">
            <w:pPr>
              <w:spacing w:line="240" w:lineRule="auto"/>
            </w:pPr>
            <w:r w:rsidRPr="00312733">
              <w:rPr>
                <w:sz w:val="22"/>
                <w:szCs w:val="22"/>
              </w:rPr>
              <w:t>Jain</w:t>
            </w:r>
          </w:p>
        </w:tc>
        <w:tc>
          <w:tcPr>
            <w:tcW w:w="1260" w:type="dxa"/>
            <w:tcBorders>
              <w:top w:val="nil"/>
              <w:left w:val="nil"/>
              <w:bottom w:val="single" w:sz="4" w:space="0" w:color="auto"/>
              <w:right w:val="nil"/>
            </w:tcBorders>
            <w:vAlign w:val="center"/>
          </w:tcPr>
          <w:p w:rsidR="00307D4A" w:rsidRPr="00307D4A" w:rsidRDefault="00307D4A" w:rsidP="00F750C5">
            <w:pPr>
              <w:spacing w:line="240" w:lineRule="auto"/>
              <w:jc w:val="center"/>
            </w:pPr>
            <w:r w:rsidRPr="00307D4A">
              <w:rPr>
                <w:noProof/>
                <w:sz w:val="22"/>
              </w:rPr>
              <w:t>[57]</w:t>
            </w:r>
          </w:p>
        </w:tc>
      </w:tr>
      <w:tr w:rsidR="00307D4A" w:rsidRPr="00312733" w:rsidTr="00145048">
        <w:trPr>
          <w:cantSplit/>
          <w:trHeight w:val="20"/>
        </w:trPr>
        <w:tc>
          <w:tcPr>
            <w:tcW w:w="11430" w:type="dxa"/>
            <w:gridSpan w:val="5"/>
            <w:tcBorders>
              <w:top w:val="single" w:sz="4" w:space="0" w:color="auto"/>
              <w:left w:val="nil"/>
              <w:bottom w:val="nil"/>
              <w:right w:val="nil"/>
            </w:tcBorders>
            <w:vAlign w:val="center"/>
            <w:hideMark/>
          </w:tcPr>
          <w:p w:rsidR="00307D4A" w:rsidRPr="00312733" w:rsidRDefault="00307D4A" w:rsidP="00AD7895">
            <w:pPr>
              <w:keepNext/>
              <w:spacing w:line="240" w:lineRule="auto"/>
              <w:jc w:val="center"/>
              <w:rPr>
                <w:b/>
              </w:rPr>
            </w:pPr>
            <w:r w:rsidRPr="00312733">
              <w:rPr>
                <w:b/>
                <w:sz w:val="22"/>
                <w:szCs w:val="22"/>
              </w:rPr>
              <w:lastRenderedPageBreak/>
              <w:t>Prairie Biome</w:t>
            </w:r>
          </w:p>
        </w:tc>
      </w:tr>
      <w:tr w:rsidR="00307D4A" w:rsidRPr="00312733" w:rsidTr="00F750C5">
        <w:trPr>
          <w:cantSplit/>
          <w:trHeight w:val="20"/>
        </w:trPr>
        <w:tc>
          <w:tcPr>
            <w:tcW w:w="3690" w:type="dxa"/>
            <w:tcBorders>
              <w:top w:val="single" w:sz="4" w:space="0" w:color="auto"/>
              <w:left w:val="nil"/>
              <w:right w:val="nil"/>
            </w:tcBorders>
            <w:vAlign w:val="center"/>
            <w:hideMark/>
          </w:tcPr>
          <w:p w:rsidR="00307D4A" w:rsidRPr="00312733" w:rsidRDefault="00307D4A" w:rsidP="00AD7895">
            <w:pPr>
              <w:keepNext/>
              <w:spacing w:line="240" w:lineRule="auto"/>
            </w:pPr>
            <w:r w:rsidRPr="00312733">
              <w:rPr>
                <w:sz w:val="22"/>
                <w:szCs w:val="22"/>
              </w:rPr>
              <w:t>Barton Chapel</w:t>
            </w:r>
          </w:p>
        </w:tc>
        <w:tc>
          <w:tcPr>
            <w:tcW w:w="2520" w:type="dxa"/>
            <w:tcBorders>
              <w:top w:val="single" w:sz="4" w:space="0" w:color="auto"/>
              <w:left w:val="nil"/>
              <w:right w:val="nil"/>
            </w:tcBorders>
            <w:vAlign w:val="center"/>
            <w:hideMark/>
          </w:tcPr>
          <w:p w:rsidR="00307D4A" w:rsidRPr="00312733" w:rsidRDefault="00307D4A" w:rsidP="00AD7895">
            <w:pPr>
              <w:keepNext/>
              <w:spacing w:line="240" w:lineRule="auto"/>
              <w:jc w:val="center"/>
            </w:pPr>
            <w:r w:rsidRPr="00312733">
              <w:rPr>
                <w:sz w:val="22"/>
                <w:szCs w:val="22"/>
              </w:rPr>
              <w:t>0.62</w:t>
            </w:r>
          </w:p>
        </w:tc>
        <w:tc>
          <w:tcPr>
            <w:tcW w:w="2160" w:type="dxa"/>
            <w:tcBorders>
              <w:top w:val="single" w:sz="4" w:space="0" w:color="auto"/>
              <w:left w:val="nil"/>
              <w:right w:val="nil"/>
            </w:tcBorders>
            <w:vAlign w:val="center"/>
            <w:hideMark/>
          </w:tcPr>
          <w:p w:rsidR="00307D4A" w:rsidRPr="00312733" w:rsidRDefault="00307D4A" w:rsidP="00AD7895">
            <w:pPr>
              <w:keepNext/>
              <w:spacing w:line="240" w:lineRule="auto"/>
              <w:jc w:val="center"/>
            </w:pPr>
            <w:r w:rsidRPr="00312733">
              <w:rPr>
                <w:sz w:val="22"/>
                <w:szCs w:val="22"/>
              </w:rPr>
              <w:t>(0-2.11)</w:t>
            </w:r>
          </w:p>
        </w:tc>
        <w:tc>
          <w:tcPr>
            <w:tcW w:w="1800" w:type="dxa"/>
            <w:tcBorders>
              <w:top w:val="single" w:sz="4" w:space="0" w:color="auto"/>
              <w:left w:val="nil"/>
              <w:right w:val="nil"/>
            </w:tcBorders>
            <w:vAlign w:val="bottom"/>
            <w:hideMark/>
          </w:tcPr>
          <w:p w:rsidR="00307D4A" w:rsidRPr="00312733" w:rsidRDefault="00307D4A" w:rsidP="00AD7895">
            <w:pPr>
              <w:keepNext/>
              <w:spacing w:line="240" w:lineRule="auto"/>
            </w:pPr>
            <w:r w:rsidRPr="00312733">
              <w:rPr>
                <w:sz w:val="22"/>
                <w:szCs w:val="22"/>
              </w:rPr>
              <w:t>Shoenfeld</w:t>
            </w:r>
          </w:p>
        </w:tc>
        <w:tc>
          <w:tcPr>
            <w:tcW w:w="1260" w:type="dxa"/>
            <w:tcBorders>
              <w:top w:val="single" w:sz="4" w:space="0" w:color="auto"/>
              <w:left w:val="nil"/>
              <w:right w:val="nil"/>
            </w:tcBorders>
            <w:vAlign w:val="center"/>
          </w:tcPr>
          <w:p w:rsidR="00307D4A" w:rsidRPr="00307D4A" w:rsidRDefault="00307D4A" w:rsidP="00AD7895">
            <w:pPr>
              <w:keepNext/>
              <w:spacing w:line="240" w:lineRule="auto"/>
              <w:jc w:val="center"/>
            </w:pPr>
            <w:r w:rsidRPr="00307D4A">
              <w:rPr>
                <w:noProof/>
                <w:sz w:val="22"/>
                <w:szCs w:val="22"/>
              </w:rPr>
              <w:t>[58]</w:t>
            </w:r>
          </w:p>
        </w:tc>
      </w:tr>
      <w:tr w:rsidR="00307D4A" w:rsidRPr="00312733" w:rsidTr="00F750C5">
        <w:trPr>
          <w:cantSplit/>
          <w:trHeight w:val="20"/>
        </w:trPr>
        <w:tc>
          <w:tcPr>
            <w:tcW w:w="3690" w:type="dxa"/>
            <w:tcBorders>
              <w:left w:val="nil"/>
              <w:right w:val="nil"/>
            </w:tcBorders>
            <w:vAlign w:val="center"/>
            <w:hideMark/>
          </w:tcPr>
          <w:p w:rsidR="00307D4A" w:rsidRPr="00312733" w:rsidRDefault="00307D4A" w:rsidP="00AD7895">
            <w:pPr>
              <w:keepNext/>
              <w:spacing w:line="240" w:lineRule="auto"/>
            </w:pPr>
            <w:r w:rsidRPr="00312733">
              <w:rPr>
                <w:sz w:val="22"/>
                <w:szCs w:val="22"/>
              </w:rPr>
              <w:t>Blue Sky Green Field</w:t>
            </w:r>
          </w:p>
        </w:tc>
        <w:tc>
          <w:tcPr>
            <w:tcW w:w="2520" w:type="dxa"/>
            <w:tcBorders>
              <w:left w:val="nil"/>
              <w:right w:val="nil"/>
            </w:tcBorders>
            <w:vAlign w:val="center"/>
            <w:hideMark/>
          </w:tcPr>
          <w:p w:rsidR="00307D4A" w:rsidRPr="00312733" w:rsidRDefault="00307D4A" w:rsidP="00AD7895">
            <w:pPr>
              <w:keepNext/>
              <w:spacing w:line="240" w:lineRule="auto"/>
              <w:jc w:val="center"/>
            </w:pPr>
            <w:r w:rsidRPr="00312733">
              <w:rPr>
                <w:sz w:val="22"/>
                <w:szCs w:val="22"/>
              </w:rPr>
              <w:t>6.96</w:t>
            </w:r>
          </w:p>
        </w:tc>
        <w:tc>
          <w:tcPr>
            <w:tcW w:w="2160" w:type="dxa"/>
            <w:tcBorders>
              <w:left w:val="nil"/>
              <w:right w:val="nil"/>
            </w:tcBorders>
            <w:vAlign w:val="center"/>
            <w:hideMark/>
          </w:tcPr>
          <w:p w:rsidR="00307D4A" w:rsidRPr="00312733" w:rsidRDefault="00307D4A" w:rsidP="00AD7895">
            <w:pPr>
              <w:keepNext/>
              <w:spacing w:line="240" w:lineRule="auto"/>
              <w:jc w:val="center"/>
            </w:pPr>
            <w:r w:rsidRPr="00312733">
              <w:rPr>
                <w:sz w:val="22"/>
                <w:szCs w:val="22"/>
              </w:rPr>
              <w:t>(5.32-9.63)</w:t>
            </w:r>
          </w:p>
        </w:tc>
        <w:tc>
          <w:tcPr>
            <w:tcW w:w="1800" w:type="dxa"/>
            <w:tcBorders>
              <w:left w:val="nil"/>
              <w:right w:val="nil"/>
            </w:tcBorders>
            <w:vAlign w:val="bottom"/>
            <w:hideMark/>
          </w:tcPr>
          <w:p w:rsidR="00307D4A" w:rsidRPr="00312733" w:rsidRDefault="00307D4A" w:rsidP="00AD7895">
            <w:pPr>
              <w:keepNext/>
              <w:spacing w:line="240" w:lineRule="auto"/>
            </w:pPr>
            <w:r w:rsidRPr="00312733">
              <w:rPr>
                <w:sz w:val="22"/>
                <w:szCs w:val="22"/>
              </w:rPr>
              <w:t>Shoenfeld</w:t>
            </w:r>
          </w:p>
        </w:tc>
        <w:tc>
          <w:tcPr>
            <w:tcW w:w="1260" w:type="dxa"/>
            <w:tcBorders>
              <w:left w:val="nil"/>
              <w:right w:val="nil"/>
            </w:tcBorders>
            <w:vAlign w:val="center"/>
          </w:tcPr>
          <w:p w:rsidR="00307D4A" w:rsidRPr="00307D4A" w:rsidRDefault="00307D4A" w:rsidP="00AD7895">
            <w:pPr>
              <w:keepNext/>
              <w:spacing w:line="240" w:lineRule="auto"/>
              <w:ind w:left="165" w:hanging="165"/>
              <w:jc w:val="center"/>
            </w:pPr>
            <w:r w:rsidRPr="00307D4A">
              <w:rPr>
                <w:noProof/>
                <w:sz w:val="22"/>
                <w:szCs w:val="22"/>
              </w:rPr>
              <w:t>[59]</w:t>
            </w:r>
          </w:p>
        </w:tc>
      </w:tr>
      <w:tr w:rsidR="00307D4A" w:rsidRPr="00312733" w:rsidTr="00F750C5">
        <w:trPr>
          <w:cantSplit/>
          <w:trHeight w:val="20"/>
        </w:trPr>
        <w:tc>
          <w:tcPr>
            <w:tcW w:w="3690" w:type="dxa"/>
            <w:tcBorders>
              <w:left w:val="nil"/>
              <w:bottom w:val="nil"/>
              <w:right w:val="nil"/>
            </w:tcBorders>
            <w:vAlign w:val="center"/>
            <w:hideMark/>
          </w:tcPr>
          <w:p w:rsidR="00307D4A" w:rsidRPr="00312733" w:rsidRDefault="00307D4A" w:rsidP="00AD7895">
            <w:pPr>
              <w:keepNext/>
              <w:spacing w:line="240" w:lineRule="auto"/>
            </w:pPr>
            <w:r w:rsidRPr="00312733">
              <w:rPr>
                <w:sz w:val="22"/>
                <w:szCs w:val="22"/>
              </w:rPr>
              <w:t>Buffalo Gap I</w:t>
            </w:r>
          </w:p>
        </w:tc>
        <w:tc>
          <w:tcPr>
            <w:tcW w:w="2520" w:type="dxa"/>
            <w:tcBorders>
              <w:left w:val="nil"/>
              <w:bottom w:val="nil"/>
              <w:right w:val="nil"/>
            </w:tcBorders>
            <w:vAlign w:val="center"/>
            <w:hideMark/>
          </w:tcPr>
          <w:p w:rsidR="00307D4A" w:rsidRPr="00312733" w:rsidRDefault="00307D4A" w:rsidP="00AD7895">
            <w:pPr>
              <w:keepNext/>
              <w:spacing w:line="240" w:lineRule="auto"/>
              <w:jc w:val="center"/>
            </w:pPr>
            <w:r w:rsidRPr="00312733">
              <w:rPr>
                <w:sz w:val="22"/>
                <w:szCs w:val="22"/>
              </w:rPr>
              <w:t>1.08</w:t>
            </w:r>
          </w:p>
        </w:tc>
        <w:tc>
          <w:tcPr>
            <w:tcW w:w="2160" w:type="dxa"/>
            <w:tcBorders>
              <w:left w:val="nil"/>
              <w:bottom w:val="nil"/>
              <w:right w:val="nil"/>
            </w:tcBorders>
            <w:vAlign w:val="center"/>
          </w:tcPr>
          <w:p w:rsidR="00307D4A" w:rsidRPr="00312733" w:rsidRDefault="00307D4A" w:rsidP="00AD7895">
            <w:pPr>
              <w:keepNext/>
              <w:spacing w:line="240" w:lineRule="auto"/>
              <w:jc w:val="center"/>
            </w:pPr>
          </w:p>
        </w:tc>
        <w:tc>
          <w:tcPr>
            <w:tcW w:w="1800" w:type="dxa"/>
            <w:tcBorders>
              <w:left w:val="nil"/>
              <w:bottom w:val="nil"/>
              <w:right w:val="nil"/>
            </w:tcBorders>
            <w:vAlign w:val="bottom"/>
            <w:hideMark/>
          </w:tcPr>
          <w:p w:rsidR="00307D4A" w:rsidRPr="00312733" w:rsidRDefault="00307D4A" w:rsidP="00AD7895">
            <w:pPr>
              <w:keepNext/>
              <w:spacing w:line="240" w:lineRule="auto"/>
            </w:pPr>
            <w:r w:rsidRPr="00312733">
              <w:rPr>
                <w:sz w:val="22"/>
                <w:szCs w:val="22"/>
              </w:rPr>
              <w:t>Shoenfeld</w:t>
            </w:r>
          </w:p>
        </w:tc>
        <w:tc>
          <w:tcPr>
            <w:tcW w:w="1260" w:type="dxa"/>
            <w:tcBorders>
              <w:left w:val="nil"/>
              <w:bottom w:val="nil"/>
              <w:right w:val="nil"/>
            </w:tcBorders>
            <w:vAlign w:val="center"/>
          </w:tcPr>
          <w:p w:rsidR="00307D4A" w:rsidRPr="00307D4A" w:rsidRDefault="00307D4A" w:rsidP="00AD7895">
            <w:pPr>
              <w:keepNext/>
              <w:spacing w:line="240" w:lineRule="auto"/>
              <w:ind w:left="165" w:hanging="165"/>
              <w:jc w:val="center"/>
            </w:pPr>
            <w:r w:rsidRPr="00307D4A">
              <w:rPr>
                <w:noProof/>
                <w:sz w:val="22"/>
                <w:szCs w:val="22"/>
              </w:rPr>
              <w:t>[60]</w:t>
            </w:r>
          </w:p>
        </w:tc>
      </w:tr>
      <w:tr w:rsidR="00307D4A" w:rsidRPr="00312733" w:rsidTr="00F750C5">
        <w:trPr>
          <w:cantSplit/>
          <w:trHeight w:val="20"/>
        </w:trPr>
        <w:tc>
          <w:tcPr>
            <w:tcW w:w="3690" w:type="dxa"/>
            <w:vAlign w:val="center"/>
            <w:hideMark/>
          </w:tcPr>
          <w:p w:rsidR="00307D4A" w:rsidRPr="00312733" w:rsidRDefault="00307D4A" w:rsidP="00F750C5">
            <w:pPr>
              <w:spacing w:line="240" w:lineRule="auto"/>
            </w:pPr>
            <w:r w:rsidRPr="00312733">
              <w:rPr>
                <w:sz w:val="22"/>
                <w:szCs w:val="22"/>
              </w:rPr>
              <w:t>Buffalo Gap II</w:t>
            </w:r>
          </w:p>
        </w:tc>
        <w:tc>
          <w:tcPr>
            <w:tcW w:w="2520" w:type="dxa"/>
            <w:vAlign w:val="center"/>
            <w:hideMark/>
          </w:tcPr>
          <w:p w:rsidR="00307D4A" w:rsidRPr="00312733" w:rsidRDefault="00307D4A" w:rsidP="00F750C5">
            <w:pPr>
              <w:spacing w:line="240" w:lineRule="auto"/>
              <w:jc w:val="center"/>
            </w:pPr>
            <w:r w:rsidRPr="00312733">
              <w:rPr>
                <w:sz w:val="22"/>
                <w:szCs w:val="22"/>
              </w:rPr>
              <w:t>0.07</w:t>
            </w:r>
          </w:p>
        </w:tc>
        <w:tc>
          <w:tcPr>
            <w:tcW w:w="2160" w:type="dxa"/>
            <w:vAlign w:val="center"/>
          </w:tcPr>
          <w:p w:rsidR="00307D4A" w:rsidRPr="00312733" w:rsidRDefault="00307D4A" w:rsidP="00F750C5">
            <w:pPr>
              <w:spacing w:line="240" w:lineRule="auto"/>
              <w:jc w:val="center"/>
            </w:pPr>
          </w:p>
        </w:tc>
        <w:tc>
          <w:tcPr>
            <w:tcW w:w="1800" w:type="dxa"/>
            <w:vAlign w:val="bottom"/>
            <w:hideMark/>
          </w:tcPr>
          <w:p w:rsidR="00307D4A" w:rsidRPr="00312733" w:rsidRDefault="00307D4A" w:rsidP="00F750C5">
            <w:pPr>
              <w:spacing w:line="240" w:lineRule="auto"/>
            </w:pPr>
            <w:r w:rsidRPr="00312733">
              <w:rPr>
                <w:sz w:val="22"/>
                <w:szCs w:val="22"/>
              </w:rPr>
              <w:t>Shoenfeld</w:t>
            </w:r>
          </w:p>
        </w:tc>
        <w:tc>
          <w:tcPr>
            <w:tcW w:w="1260" w:type="dxa"/>
            <w:vAlign w:val="center"/>
          </w:tcPr>
          <w:p w:rsidR="00307D4A" w:rsidRPr="00307D4A" w:rsidRDefault="00307D4A" w:rsidP="00F750C5">
            <w:pPr>
              <w:keepNext/>
              <w:spacing w:line="240" w:lineRule="auto"/>
              <w:ind w:left="165" w:hanging="165"/>
              <w:jc w:val="center"/>
            </w:pPr>
            <w:r w:rsidRPr="00307D4A">
              <w:rPr>
                <w:noProof/>
                <w:sz w:val="22"/>
                <w:szCs w:val="22"/>
              </w:rPr>
              <w:t>[61]</w:t>
            </w:r>
          </w:p>
        </w:tc>
      </w:tr>
      <w:tr w:rsidR="007A2C03" w:rsidRPr="00312733" w:rsidTr="00E35E5B">
        <w:trPr>
          <w:cantSplit/>
          <w:trHeight w:val="20"/>
        </w:trPr>
        <w:tc>
          <w:tcPr>
            <w:tcW w:w="3690" w:type="dxa"/>
            <w:vAlign w:val="center"/>
            <w:hideMark/>
          </w:tcPr>
          <w:p w:rsidR="007A2C03" w:rsidRPr="00312733" w:rsidRDefault="007A2C03" w:rsidP="00F750C5">
            <w:pPr>
              <w:spacing w:line="240" w:lineRule="auto"/>
            </w:pPr>
            <w:r w:rsidRPr="00312733">
              <w:rPr>
                <w:sz w:val="22"/>
                <w:szCs w:val="22"/>
              </w:rPr>
              <w:t>Buffalo Ridge (Phase I; 1996)</w:t>
            </w:r>
          </w:p>
        </w:tc>
        <w:tc>
          <w:tcPr>
            <w:tcW w:w="2520" w:type="dxa"/>
            <w:vAlign w:val="bottom"/>
            <w:hideMark/>
          </w:tcPr>
          <w:p w:rsidR="007A2C03" w:rsidRPr="00755471" w:rsidRDefault="00D6600C" w:rsidP="00F750C5">
            <w:pPr>
              <w:spacing w:line="240" w:lineRule="auto"/>
              <w:jc w:val="center"/>
            </w:pPr>
            <w:r w:rsidRPr="00D6600C">
              <w:rPr>
                <w:rFonts w:ascii="Calibri" w:hAnsi="Calibri"/>
                <w:sz w:val="22"/>
                <w:szCs w:val="22"/>
              </w:rPr>
              <w:t>4.14</w:t>
            </w:r>
          </w:p>
        </w:tc>
        <w:tc>
          <w:tcPr>
            <w:tcW w:w="2160" w:type="dxa"/>
            <w:vAlign w:val="bottom"/>
            <w:hideMark/>
          </w:tcPr>
          <w:p w:rsidR="007A2C03" w:rsidRPr="00312733" w:rsidRDefault="007A2C03" w:rsidP="00F750C5">
            <w:pPr>
              <w:spacing w:line="240" w:lineRule="auto"/>
              <w:jc w:val="center"/>
            </w:pPr>
            <w:r>
              <w:rPr>
                <w:rFonts w:ascii="Calibri" w:hAnsi="Calibri"/>
                <w:color w:val="000000"/>
                <w:sz w:val="22"/>
                <w:szCs w:val="22"/>
              </w:rPr>
              <w:t>(0.94-7.34)</w:t>
            </w:r>
          </w:p>
        </w:tc>
        <w:tc>
          <w:tcPr>
            <w:tcW w:w="1800" w:type="dxa"/>
            <w:vAlign w:val="bottom"/>
            <w:hideMark/>
          </w:tcPr>
          <w:p w:rsidR="007A2C03" w:rsidRPr="00312733" w:rsidRDefault="007A2C03" w:rsidP="00F750C5">
            <w:pPr>
              <w:spacing w:line="240" w:lineRule="auto"/>
            </w:pPr>
            <w:r w:rsidRPr="00312733">
              <w:rPr>
                <w:sz w:val="22"/>
                <w:szCs w:val="22"/>
              </w:rPr>
              <w:t>Naïve</w:t>
            </w:r>
          </w:p>
        </w:tc>
        <w:tc>
          <w:tcPr>
            <w:tcW w:w="1260" w:type="dxa"/>
            <w:vAlign w:val="center"/>
          </w:tcPr>
          <w:p w:rsidR="007A2C03" w:rsidRPr="008475F6" w:rsidRDefault="007A2C03" w:rsidP="00F750C5">
            <w:pPr>
              <w:spacing w:line="240" w:lineRule="auto"/>
              <w:jc w:val="center"/>
            </w:pPr>
            <w:r w:rsidRPr="008475F6">
              <w:rPr>
                <w:noProof/>
                <w:sz w:val="22"/>
              </w:rPr>
              <w:t>[62]</w:t>
            </w:r>
          </w:p>
        </w:tc>
      </w:tr>
      <w:tr w:rsidR="007A2C03" w:rsidRPr="00312733" w:rsidTr="00E35E5B">
        <w:trPr>
          <w:cantSplit/>
          <w:trHeight w:val="20"/>
        </w:trPr>
        <w:tc>
          <w:tcPr>
            <w:tcW w:w="3690" w:type="dxa"/>
            <w:vAlign w:val="center"/>
            <w:hideMark/>
          </w:tcPr>
          <w:p w:rsidR="007A2C03" w:rsidRPr="00312733" w:rsidRDefault="007A2C03" w:rsidP="00F750C5">
            <w:pPr>
              <w:spacing w:line="240" w:lineRule="auto"/>
            </w:pPr>
            <w:r w:rsidRPr="00312733">
              <w:rPr>
                <w:sz w:val="22"/>
                <w:szCs w:val="22"/>
              </w:rPr>
              <w:t>Buffalo Ridge (Phase I; 1997)</w:t>
            </w:r>
          </w:p>
        </w:tc>
        <w:tc>
          <w:tcPr>
            <w:tcW w:w="2520" w:type="dxa"/>
            <w:vAlign w:val="bottom"/>
            <w:hideMark/>
          </w:tcPr>
          <w:p w:rsidR="007A2C03" w:rsidRPr="00755471" w:rsidRDefault="00D6600C" w:rsidP="00F750C5">
            <w:pPr>
              <w:spacing w:line="240" w:lineRule="auto"/>
              <w:jc w:val="center"/>
            </w:pPr>
            <w:r w:rsidRPr="00D6600C">
              <w:rPr>
                <w:rFonts w:ascii="Calibri" w:hAnsi="Calibri"/>
                <w:sz w:val="22"/>
                <w:szCs w:val="22"/>
              </w:rPr>
              <w:t>1.40</w:t>
            </w:r>
          </w:p>
        </w:tc>
        <w:tc>
          <w:tcPr>
            <w:tcW w:w="2160" w:type="dxa"/>
            <w:vAlign w:val="bottom"/>
            <w:hideMark/>
          </w:tcPr>
          <w:p w:rsidR="007A2C03" w:rsidRPr="00312733" w:rsidRDefault="007A2C03" w:rsidP="00F750C5">
            <w:pPr>
              <w:spacing w:line="240" w:lineRule="auto"/>
              <w:jc w:val="center"/>
            </w:pPr>
            <w:r>
              <w:rPr>
                <w:rFonts w:ascii="Calibri" w:hAnsi="Calibri"/>
                <w:color w:val="000000"/>
                <w:sz w:val="22"/>
                <w:szCs w:val="22"/>
              </w:rPr>
              <w:t>(0.11-3.34)</w:t>
            </w:r>
          </w:p>
        </w:tc>
        <w:tc>
          <w:tcPr>
            <w:tcW w:w="1800" w:type="dxa"/>
            <w:vAlign w:val="bottom"/>
            <w:hideMark/>
          </w:tcPr>
          <w:p w:rsidR="007A2C03" w:rsidRPr="00312733" w:rsidRDefault="007A2C03" w:rsidP="00F750C5">
            <w:pPr>
              <w:spacing w:line="240" w:lineRule="auto"/>
            </w:pPr>
            <w:r w:rsidRPr="00312733">
              <w:rPr>
                <w:sz w:val="22"/>
                <w:szCs w:val="22"/>
              </w:rPr>
              <w:t>Naïve</w:t>
            </w:r>
          </w:p>
        </w:tc>
        <w:tc>
          <w:tcPr>
            <w:tcW w:w="1260" w:type="dxa"/>
            <w:vAlign w:val="center"/>
          </w:tcPr>
          <w:p w:rsidR="007A2C03" w:rsidRPr="008475F6" w:rsidRDefault="007A2C03" w:rsidP="00F750C5">
            <w:pPr>
              <w:jc w:val="center"/>
            </w:pPr>
            <w:r w:rsidRPr="008475F6">
              <w:rPr>
                <w:noProof/>
                <w:sz w:val="22"/>
              </w:rPr>
              <w:t>[62]</w:t>
            </w:r>
          </w:p>
        </w:tc>
      </w:tr>
      <w:tr w:rsidR="007A2C03" w:rsidRPr="00312733" w:rsidTr="00E35E5B">
        <w:trPr>
          <w:cantSplit/>
          <w:trHeight w:val="20"/>
        </w:trPr>
        <w:tc>
          <w:tcPr>
            <w:tcW w:w="3690" w:type="dxa"/>
            <w:vAlign w:val="center"/>
            <w:hideMark/>
          </w:tcPr>
          <w:p w:rsidR="007A2C03" w:rsidRPr="00312733" w:rsidRDefault="007A2C03" w:rsidP="00F750C5">
            <w:pPr>
              <w:spacing w:line="240" w:lineRule="auto"/>
            </w:pPr>
            <w:r w:rsidRPr="00312733">
              <w:rPr>
                <w:sz w:val="22"/>
                <w:szCs w:val="22"/>
              </w:rPr>
              <w:t>Buffalo Ridge (Phase I; 1998)</w:t>
            </w:r>
          </w:p>
        </w:tc>
        <w:tc>
          <w:tcPr>
            <w:tcW w:w="2520" w:type="dxa"/>
            <w:vAlign w:val="bottom"/>
            <w:hideMark/>
          </w:tcPr>
          <w:p w:rsidR="007A2C03" w:rsidRPr="00755471" w:rsidRDefault="00D6600C" w:rsidP="00F750C5">
            <w:pPr>
              <w:spacing w:line="240" w:lineRule="auto"/>
              <w:jc w:val="center"/>
            </w:pPr>
            <w:r w:rsidRPr="00D6600C">
              <w:rPr>
                <w:rFonts w:ascii="Calibri" w:hAnsi="Calibri"/>
                <w:sz w:val="22"/>
                <w:szCs w:val="22"/>
              </w:rPr>
              <w:t>2.40</w:t>
            </w:r>
          </w:p>
        </w:tc>
        <w:tc>
          <w:tcPr>
            <w:tcW w:w="2160" w:type="dxa"/>
            <w:vAlign w:val="bottom"/>
            <w:hideMark/>
          </w:tcPr>
          <w:p w:rsidR="007A2C03" w:rsidRPr="00312733" w:rsidRDefault="007A2C03" w:rsidP="00F750C5">
            <w:pPr>
              <w:spacing w:line="240" w:lineRule="auto"/>
              <w:jc w:val="center"/>
            </w:pPr>
            <w:r>
              <w:rPr>
                <w:rFonts w:ascii="Calibri" w:hAnsi="Calibri"/>
                <w:color w:val="000000"/>
                <w:sz w:val="22"/>
                <w:szCs w:val="22"/>
              </w:rPr>
              <w:t>(0.06-4.71)</w:t>
            </w:r>
          </w:p>
        </w:tc>
        <w:tc>
          <w:tcPr>
            <w:tcW w:w="1800" w:type="dxa"/>
            <w:vAlign w:val="bottom"/>
            <w:hideMark/>
          </w:tcPr>
          <w:p w:rsidR="007A2C03" w:rsidRPr="00312733" w:rsidRDefault="007A2C03" w:rsidP="00F750C5">
            <w:pPr>
              <w:spacing w:line="240" w:lineRule="auto"/>
            </w:pPr>
            <w:r w:rsidRPr="00312733">
              <w:rPr>
                <w:sz w:val="22"/>
                <w:szCs w:val="22"/>
              </w:rPr>
              <w:t>Naïve</w:t>
            </w:r>
          </w:p>
        </w:tc>
        <w:tc>
          <w:tcPr>
            <w:tcW w:w="1260" w:type="dxa"/>
            <w:vAlign w:val="center"/>
          </w:tcPr>
          <w:p w:rsidR="007A2C03" w:rsidRPr="008475F6" w:rsidRDefault="007A2C03" w:rsidP="00F750C5">
            <w:pPr>
              <w:jc w:val="center"/>
            </w:pPr>
            <w:r w:rsidRPr="008475F6">
              <w:rPr>
                <w:noProof/>
                <w:sz w:val="22"/>
              </w:rPr>
              <w:t>[62]</w:t>
            </w:r>
          </w:p>
        </w:tc>
      </w:tr>
      <w:tr w:rsidR="007A2C03" w:rsidRPr="00312733" w:rsidTr="00E35E5B">
        <w:trPr>
          <w:cantSplit/>
          <w:trHeight w:val="20"/>
        </w:trPr>
        <w:tc>
          <w:tcPr>
            <w:tcW w:w="3690" w:type="dxa"/>
            <w:vAlign w:val="center"/>
            <w:hideMark/>
          </w:tcPr>
          <w:p w:rsidR="007A2C03" w:rsidRPr="00312733" w:rsidRDefault="007A2C03" w:rsidP="00F750C5">
            <w:pPr>
              <w:spacing w:line="240" w:lineRule="auto"/>
            </w:pPr>
            <w:r w:rsidRPr="00312733">
              <w:rPr>
                <w:sz w:val="22"/>
                <w:szCs w:val="22"/>
              </w:rPr>
              <w:t>Buffalo Ridge (Phase I; 1999)</w:t>
            </w:r>
          </w:p>
        </w:tc>
        <w:tc>
          <w:tcPr>
            <w:tcW w:w="2520" w:type="dxa"/>
            <w:vAlign w:val="bottom"/>
            <w:hideMark/>
          </w:tcPr>
          <w:p w:rsidR="007A2C03" w:rsidRPr="00755471" w:rsidRDefault="00D6600C" w:rsidP="00F750C5">
            <w:pPr>
              <w:spacing w:line="240" w:lineRule="auto"/>
              <w:jc w:val="center"/>
            </w:pPr>
            <w:r w:rsidRPr="00D6600C">
              <w:rPr>
                <w:rFonts w:ascii="Calibri" w:hAnsi="Calibri"/>
                <w:sz w:val="22"/>
                <w:szCs w:val="22"/>
              </w:rPr>
              <w:t>1.43</w:t>
            </w:r>
          </w:p>
        </w:tc>
        <w:tc>
          <w:tcPr>
            <w:tcW w:w="2160" w:type="dxa"/>
            <w:vAlign w:val="bottom"/>
            <w:hideMark/>
          </w:tcPr>
          <w:p w:rsidR="007A2C03" w:rsidRPr="00312733" w:rsidRDefault="007A2C03" w:rsidP="00F750C5">
            <w:pPr>
              <w:spacing w:line="240" w:lineRule="auto"/>
              <w:jc w:val="center"/>
            </w:pPr>
            <w:r>
              <w:rPr>
                <w:rFonts w:ascii="Calibri" w:hAnsi="Calibri"/>
                <w:color w:val="000000"/>
                <w:sz w:val="22"/>
                <w:szCs w:val="22"/>
              </w:rPr>
              <w:t>(0.13-3.43)</w:t>
            </w:r>
          </w:p>
        </w:tc>
        <w:tc>
          <w:tcPr>
            <w:tcW w:w="1800" w:type="dxa"/>
            <w:vAlign w:val="bottom"/>
            <w:hideMark/>
          </w:tcPr>
          <w:p w:rsidR="007A2C03" w:rsidRPr="00312733" w:rsidRDefault="007A2C03" w:rsidP="00F750C5">
            <w:pPr>
              <w:spacing w:line="240" w:lineRule="auto"/>
            </w:pPr>
            <w:r w:rsidRPr="00312733">
              <w:rPr>
                <w:sz w:val="22"/>
                <w:szCs w:val="22"/>
              </w:rPr>
              <w:t>Naïve</w:t>
            </w:r>
          </w:p>
        </w:tc>
        <w:tc>
          <w:tcPr>
            <w:tcW w:w="1260" w:type="dxa"/>
            <w:vAlign w:val="center"/>
          </w:tcPr>
          <w:p w:rsidR="007A2C03" w:rsidRPr="008475F6" w:rsidRDefault="007A2C03" w:rsidP="00F750C5">
            <w:pPr>
              <w:jc w:val="center"/>
            </w:pPr>
            <w:r w:rsidRPr="008475F6">
              <w:rPr>
                <w:noProof/>
                <w:sz w:val="22"/>
              </w:rPr>
              <w:t>[62]</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Buffalo Ridge (Phase II; 1998)</w:t>
            </w:r>
          </w:p>
        </w:tc>
        <w:tc>
          <w:tcPr>
            <w:tcW w:w="2520" w:type="dxa"/>
            <w:vAlign w:val="center"/>
            <w:hideMark/>
          </w:tcPr>
          <w:p w:rsidR="008475F6" w:rsidRPr="00312733" w:rsidRDefault="008475F6" w:rsidP="00F750C5">
            <w:pPr>
              <w:spacing w:line="240" w:lineRule="auto"/>
              <w:jc w:val="center"/>
            </w:pPr>
            <w:r w:rsidRPr="00312733">
              <w:rPr>
                <w:sz w:val="22"/>
                <w:szCs w:val="22"/>
              </w:rPr>
              <w:t>2.28</w:t>
            </w:r>
          </w:p>
        </w:tc>
        <w:tc>
          <w:tcPr>
            <w:tcW w:w="2160" w:type="dxa"/>
            <w:vAlign w:val="center"/>
            <w:hideMark/>
          </w:tcPr>
          <w:p w:rsidR="008475F6" w:rsidRPr="00312733" w:rsidRDefault="008475F6" w:rsidP="00F750C5">
            <w:pPr>
              <w:spacing w:line="240" w:lineRule="auto"/>
              <w:jc w:val="center"/>
            </w:pPr>
            <w:r w:rsidRPr="00312733">
              <w:rPr>
                <w:sz w:val="22"/>
                <w:szCs w:val="22"/>
              </w:rPr>
              <w:t>(0.89-3.67)</w:t>
            </w:r>
          </w:p>
        </w:tc>
        <w:tc>
          <w:tcPr>
            <w:tcW w:w="1800" w:type="dxa"/>
            <w:vAlign w:val="bottom"/>
            <w:hideMark/>
          </w:tcPr>
          <w:p w:rsidR="008475F6" w:rsidRPr="00312733" w:rsidRDefault="008475F6" w:rsidP="00F750C5">
            <w:pPr>
              <w:spacing w:line="240" w:lineRule="auto"/>
            </w:pPr>
            <w:r w:rsidRPr="00312733">
              <w:rPr>
                <w:sz w:val="22"/>
                <w:szCs w:val="22"/>
              </w:rPr>
              <w:t>Naïve</w:t>
            </w:r>
          </w:p>
        </w:tc>
        <w:tc>
          <w:tcPr>
            <w:tcW w:w="1260" w:type="dxa"/>
            <w:vAlign w:val="center"/>
          </w:tcPr>
          <w:p w:rsidR="008475F6" w:rsidRPr="008475F6" w:rsidRDefault="008475F6" w:rsidP="00F750C5">
            <w:pPr>
              <w:jc w:val="center"/>
            </w:pPr>
            <w:r w:rsidRPr="008475F6">
              <w:rPr>
                <w:noProof/>
                <w:sz w:val="22"/>
              </w:rPr>
              <w:t>[62]</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Buffalo Ridge (Phase II; 1999)</w:t>
            </w:r>
          </w:p>
        </w:tc>
        <w:tc>
          <w:tcPr>
            <w:tcW w:w="2520" w:type="dxa"/>
            <w:vAlign w:val="center"/>
            <w:hideMark/>
          </w:tcPr>
          <w:p w:rsidR="008475F6" w:rsidRPr="00312733" w:rsidRDefault="008475F6" w:rsidP="00F750C5">
            <w:pPr>
              <w:spacing w:line="240" w:lineRule="auto"/>
              <w:jc w:val="center"/>
            </w:pPr>
            <w:r w:rsidRPr="00312733">
              <w:rPr>
                <w:sz w:val="22"/>
                <w:szCs w:val="22"/>
              </w:rPr>
              <w:t>3.04</w:t>
            </w:r>
          </w:p>
        </w:tc>
        <w:tc>
          <w:tcPr>
            <w:tcW w:w="2160" w:type="dxa"/>
            <w:vAlign w:val="center"/>
            <w:hideMark/>
          </w:tcPr>
          <w:p w:rsidR="008475F6" w:rsidRPr="00312733" w:rsidRDefault="008475F6" w:rsidP="00F750C5">
            <w:pPr>
              <w:spacing w:line="240" w:lineRule="auto"/>
              <w:jc w:val="center"/>
            </w:pPr>
            <w:r w:rsidRPr="00312733">
              <w:rPr>
                <w:sz w:val="22"/>
                <w:szCs w:val="22"/>
              </w:rPr>
              <w:t>(0.69-5.87)</w:t>
            </w:r>
          </w:p>
        </w:tc>
        <w:tc>
          <w:tcPr>
            <w:tcW w:w="1800" w:type="dxa"/>
            <w:vAlign w:val="bottom"/>
            <w:hideMark/>
          </w:tcPr>
          <w:p w:rsidR="008475F6" w:rsidRPr="00312733" w:rsidRDefault="008475F6" w:rsidP="00F750C5">
            <w:pPr>
              <w:spacing w:line="240" w:lineRule="auto"/>
            </w:pPr>
            <w:r w:rsidRPr="00312733">
              <w:rPr>
                <w:sz w:val="22"/>
                <w:szCs w:val="22"/>
              </w:rPr>
              <w:t>Naïve</w:t>
            </w:r>
          </w:p>
        </w:tc>
        <w:tc>
          <w:tcPr>
            <w:tcW w:w="1260" w:type="dxa"/>
            <w:vAlign w:val="center"/>
          </w:tcPr>
          <w:p w:rsidR="008475F6" w:rsidRPr="008475F6" w:rsidRDefault="008475F6" w:rsidP="00F750C5">
            <w:pPr>
              <w:jc w:val="center"/>
            </w:pPr>
            <w:r w:rsidRPr="008475F6">
              <w:rPr>
                <w:noProof/>
                <w:sz w:val="22"/>
              </w:rPr>
              <w:t>[62]</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Buffalo Ridge (Phase III; 1999)</w:t>
            </w:r>
          </w:p>
        </w:tc>
        <w:tc>
          <w:tcPr>
            <w:tcW w:w="2520" w:type="dxa"/>
            <w:vAlign w:val="center"/>
            <w:hideMark/>
          </w:tcPr>
          <w:p w:rsidR="008475F6" w:rsidRPr="00312733" w:rsidRDefault="008475F6" w:rsidP="00F750C5">
            <w:pPr>
              <w:spacing w:line="240" w:lineRule="auto"/>
              <w:jc w:val="center"/>
            </w:pPr>
            <w:r w:rsidRPr="00312733">
              <w:rPr>
                <w:sz w:val="22"/>
                <w:szCs w:val="22"/>
              </w:rPr>
              <w:t>5.93</w:t>
            </w:r>
          </w:p>
        </w:tc>
        <w:tc>
          <w:tcPr>
            <w:tcW w:w="2160" w:type="dxa"/>
            <w:vAlign w:val="center"/>
            <w:hideMark/>
          </w:tcPr>
          <w:p w:rsidR="008475F6" w:rsidRPr="00312733" w:rsidRDefault="008475F6" w:rsidP="00F750C5">
            <w:pPr>
              <w:spacing w:line="240" w:lineRule="auto"/>
              <w:jc w:val="center"/>
            </w:pPr>
            <w:r w:rsidRPr="00312733">
              <w:rPr>
                <w:sz w:val="22"/>
                <w:szCs w:val="22"/>
              </w:rPr>
              <w:t>(0.15-11.71)</w:t>
            </w:r>
          </w:p>
        </w:tc>
        <w:tc>
          <w:tcPr>
            <w:tcW w:w="1800" w:type="dxa"/>
            <w:vAlign w:val="bottom"/>
            <w:hideMark/>
          </w:tcPr>
          <w:p w:rsidR="008475F6" w:rsidRPr="00312733" w:rsidRDefault="008475F6" w:rsidP="00F750C5">
            <w:pPr>
              <w:spacing w:line="240" w:lineRule="auto"/>
            </w:pPr>
            <w:r w:rsidRPr="00312733">
              <w:rPr>
                <w:sz w:val="22"/>
                <w:szCs w:val="22"/>
              </w:rPr>
              <w:t>Naïve</w:t>
            </w:r>
          </w:p>
        </w:tc>
        <w:tc>
          <w:tcPr>
            <w:tcW w:w="1260" w:type="dxa"/>
            <w:vAlign w:val="center"/>
          </w:tcPr>
          <w:p w:rsidR="008475F6" w:rsidRPr="008475F6" w:rsidRDefault="008475F6" w:rsidP="00F750C5">
            <w:pPr>
              <w:jc w:val="center"/>
            </w:pPr>
            <w:r w:rsidRPr="008475F6">
              <w:rPr>
                <w:noProof/>
                <w:sz w:val="22"/>
              </w:rPr>
              <w:t>[62]</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Buffalo Ridge I (2010)</w:t>
            </w:r>
          </w:p>
        </w:tc>
        <w:tc>
          <w:tcPr>
            <w:tcW w:w="2520" w:type="dxa"/>
            <w:vAlign w:val="center"/>
            <w:hideMark/>
          </w:tcPr>
          <w:p w:rsidR="008475F6" w:rsidRPr="00312733" w:rsidRDefault="008475F6" w:rsidP="00F750C5">
            <w:pPr>
              <w:spacing w:line="240" w:lineRule="auto"/>
              <w:jc w:val="center"/>
            </w:pPr>
            <w:r w:rsidRPr="00312733">
              <w:rPr>
                <w:sz w:val="22"/>
                <w:szCs w:val="22"/>
              </w:rPr>
              <w:t>4.16</w:t>
            </w:r>
          </w:p>
        </w:tc>
        <w:tc>
          <w:tcPr>
            <w:tcW w:w="2160" w:type="dxa"/>
            <w:vAlign w:val="center"/>
            <w:hideMark/>
          </w:tcPr>
          <w:p w:rsidR="008475F6" w:rsidRPr="00312733" w:rsidRDefault="008475F6" w:rsidP="00F750C5">
            <w:pPr>
              <w:spacing w:line="240" w:lineRule="auto"/>
              <w:jc w:val="center"/>
            </w:pPr>
            <w:r w:rsidRPr="00312733">
              <w:rPr>
                <w:sz w:val="22"/>
                <w:szCs w:val="22"/>
              </w:rPr>
              <w:t>(1.66-7.53)</w:t>
            </w: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keepNext/>
              <w:spacing w:line="240" w:lineRule="auto"/>
              <w:ind w:left="165" w:hanging="165"/>
              <w:jc w:val="center"/>
            </w:pPr>
            <w:r w:rsidRPr="008475F6">
              <w:rPr>
                <w:noProof/>
                <w:sz w:val="22"/>
              </w:rPr>
              <w:t>[63]</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Buffalo Ridge II (2011)</w:t>
            </w:r>
          </w:p>
        </w:tc>
        <w:tc>
          <w:tcPr>
            <w:tcW w:w="2520" w:type="dxa"/>
            <w:vAlign w:val="center"/>
            <w:hideMark/>
          </w:tcPr>
          <w:p w:rsidR="008475F6" w:rsidRPr="00312733" w:rsidRDefault="008475F6" w:rsidP="00F750C5">
            <w:pPr>
              <w:spacing w:line="240" w:lineRule="auto"/>
              <w:jc w:val="center"/>
            </w:pPr>
            <w:r w:rsidRPr="00312733">
              <w:rPr>
                <w:sz w:val="22"/>
                <w:szCs w:val="22"/>
              </w:rPr>
              <w:t>1.12</w:t>
            </w:r>
          </w:p>
        </w:tc>
        <w:tc>
          <w:tcPr>
            <w:tcW w:w="2160" w:type="dxa"/>
            <w:vAlign w:val="center"/>
          </w:tcPr>
          <w:p w:rsidR="008475F6" w:rsidRPr="00312733" w:rsidRDefault="008475F6" w:rsidP="00F750C5">
            <w:pPr>
              <w:spacing w:line="240" w:lineRule="auto"/>
              <w:jc w:val="center"/>
            </w:pP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keepNext/>
              <w:spacing w:line="240" w:lineRule="auto"/>
              <w:ind w:left="165" w:hanging="165"/>
              <w:jc w:val="center"/>
            </w:pPr>
            <w:r w:rsidRPr="008475F6">
              <w:rPr>
                <w:noProof/>
                <w:sz w:val="22"/>
              </w:rPr>
              <w:t>[64]</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Cedar Ridge (2009)</w:t>
            </w:r>
          </w:p>
        </w:tc>
        <w:tc>
          <w:tcPr>
            <w:tcW w:w="2520" w:type="dxa"/>
            <w:vAlign w:val="center"/>
            <w:hideMark/>
          </w:tcPr>
          <w:p w:rsidR="008475F6" w:rsidRPr="00312733" w:rsidRDefault="008475F6" w:rsidP="00F750C5">
            <w:pPr>
              <w:spacing w:line="240" w:lineRule="auto"/>
              <w:jc w:val="center"/>
            </w:pPr>
            <w:r w:rsidRPr="00312733">
              <w:rPr>
                <w:sz w:val="22"/>
                <w:szCs w:val="22"/>
              </w:rPr>
              <w:t>5.21</w:t>
            </w:r>
          </w:p>
        </w:tc>
        <w:tc>
          <w:tcPr>
            <w:tcW w:w="2160" w:type="dxa"/>
            <w:vAlign w:val="center"/>
          </w:tcPr>
          <w:p w:rsidR="008475F6" w:rsidRPr="00312733" w:rsidRDefault="008475F6" w:rsidP="00F750C5">
            <w:pPr>
              <w:spacing w:line="240" w:lineRule="auto"/>
              <w:jc w:val="center"/>
            </w:pPr>
          </w:p>
        </w:tc>
        <w:tc>
          <w:tcPr>
            <w:tcW w:w="1800" w:type="dxa"/>
            <w:vAlign w:val="bottom"/>
            <w:hideMark/>
          </w:tcPr>
          <w:p w:rsidR="008475F6" w:rsidRPr="00312733" w:rsidRDefault="008475F6" w:rsidP="00F750C5">
            <w:pPr>
              <w:spacing w:line="240" w:lineRule="auto"/>
            </w:pPr>
            <w:r w:rsidRPr="00312733">
              <w:rPr>
                <w:sz w:val="22"/>
                <w:szCs w:val="22"/>
              </w:rPr>
              <w:t>Huso</w:t>
            </w:r>
          </w:p>
        </w:tc>
        <w:tc>
          <w:tcPr>
            <w:tcW w:w="1260" w:type="dxa"/>
            <w:vAlign w:val="center"/>
          </w:tcPr>
          <w:p w:rsidR="008475F6" w:rsidRPr="008475F6" w:rsidRDefault="008475F6" w:rsidP="00F750C5">
            <w:pPr>
              <w:spacing w:line="240" w:lineRule="auto"/>
              <w:ind w:left="121" w:hanging="121"/>
              <w:jc w:val="center"/>
            </w:pPr>
            <w:r w:rsidRPr="008475F6">
              <w:rPr>
                <w:noProof/>
                <w:sz w:val="22"/>
              </w:rPr>
              <w:t>[65]</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Cedar Ridge (2010)</w:t>
            </w:r>
          </w:p>
        </w:tc>
        <w:tc>
          <w:tcPr>
            <w:tcW w:w="2520" w:type="dxa"/>
            <w:vAlign w:val="center"/>
            <w:hideMark/>
          </w:tcPr>
          <w:p w:rsidR="008475F6" w:rsidRPr="00312733" w:rsidRDefault="008475F6" w:rsidP="00F750C5">
            <w:pPr>
              <w:spacing w:line="240" w:lineRule="auto"/>
              <w:jc w:val="center"/>
            </w:pPr>
            <w:r w:rsidRPr="00312733">
              <w:rPr>
                <w:sz w:val="22"/>
                <w:szCs w:val="22"/>
              </w:rPr>
              <w:t>2.21</w:t>
            </w:r>
          </w:p>
        </w:tc>
        <w:tc>
          <w:tcPr>
            <w:tcW w:w="2160" w:type="dxa"/>
            <w:vAlign w:val="center"/>
          </w:tcPr>
          <w:p w:rsidR="008475F6" w:rsidRPr="00312733" w:rsidRDefault="008475F6" w:rsidP="00F750C5">
            <w:pPr>
              <w:spacing w:line="240" w:lineRule="auto"/>
              <w:jc w:val="center"/>
            </w:pP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spacing w:line="240" w:lineRule="auto"/>
              <w:ind w:left="121" w:hanging="121"/>
              <w:jc w:val="center"/>
            </w:pPr>
            <w:r w:rsidRPr="008475F6">
              <w:rPr>
                <w:noProof/>
                <w:sz w:val="22"/>
              </w:rPr>
              <w:t>[66]</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Elm Creek</w:t>
            </w:r>
          </w:p>
        </w:tc>
        <w:tc>
          <w:tcPr>
            <w:tcW w:w="2520" w:type="dxa"/>
            <w:vAlign w:val="center"/>
            <w:hideMark/>
          </w:tcPr>
          <w:p w:rsidR="008475F6" w:rsidRPr="00312733" w:rsidRDefault="008475F6" w:rsidP="00F750C5">
            <w:pPr>
              <w:spacing w:line="240" w:lineRule="auto"/>
              <w:jc w:val="center"/>
            </w:pPr>
            <w:r w:rsidRPr="00312733">
              <w:rPr>
                <w:sz w:val="22"/>
                <w:szCs w:val="22"/>
              </w:rPr>
              <w:t>1.07</w:t>
            </w:r>
          </w:p>
        </w:tc>
        <w:tc>
          <w:tcPr>
            <w:tcW w:w="2160" w:type="dxa"/>
            <w:vAlign w:val="center"/>
            <w:hideMark/>
          </w:tcPr>
          <w:p w:rsidR="008475F6" w:rsidRPr="00312733" w:rsidRDefault="008475F6" w:rsidP="00F750C5">
            <w:pPr>
              <w:spacing w:line="240" w:lineRule="auto"/>
              <w:jc w:val="center"/>
            </w:pPr>
            <w:r w:rsidRPr="00312733">
              <w:rPr>
                <w:sz w:val="22"/>
                <w:szCs w:val="22"/>
              </w:rPr>
              <w:t>(0.00-2.94)</w:t>
            </w: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keepNext/>
              <w:spacing w:line="240" w:lineRule="auto"/>
              <w:ind w:left="158" w:hanging="158"/>
              <w:jc w:val="center"/>
            </w:pPr>
            <w:r w:rsidRPr="008475F6">
              <w:rPr>
                <w:noProof/>
                <w:sz w:val="22"/>
              </w:rPr>
              <w:t>[67]</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Elm Creek II</w:t>
            </w:r>
          </w:p>
        </w:tc>
        <w:tc>
          <w:tcPr>
            <w:tcW w:w="2520" w:type="dxa"/>
            <w:vAlign w:val="center"/>
            <w:hideMark/>
          </w:tcPr>
          <w:p w:rsidR="008475F6" w:rsidRPr="00312733" w:rsidRDefault="008475F6" w:rsidP="00F750C5">
            <w:pPr>
              <w:spacing w:line="240" w:lineRule="auto"/>
              <w:jc w:val="center"/>
            </w:pPr>
            <w:r w:rsidRPr="00312733">
              <w:rPr>
                <w:sz w:val="22"/>
                <w:szCs w:val="22"/>
              </w:rPr>
              <w:t>3.60</w:t>
            </w:r>
          </w:p>
        </w:tc>
        <w:tc>
          <w:tcPr>
            <w:tcW w:w="2160" w:type="dxa"/>
            <w:vAlign w:val="center"/>
          </w:tcPr>
          <w:p w:rsidR="008475F6" w:rsidRPr="00312733" w:rsidRDefault="008475F6" w:rsidP="00F750C5">
            <w:pPr>
              <w:spacing w:line="240" w:lineRule="auto"/>
              <w:jc w:val="center"/>
            </w:pP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spacing w:line="240" w:lineRule="auto"/>
              <w:jc w:val="center"/>
            </w:pPr>
            <w:r w:rsidRPr="008475F6">
              <w:rPr>
                <w:noProof/>
                <w:sz w:val="22"/>
              </w:rPr>
              <w:t>[68]</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Grand Ridge I</w:t>
            </w:r>
          </w:p>
        </w:tc>
        <w:tc>
          <w:tcPr>
            <w:tcW w:w="2520" w:type="dxa"/>
            <w:vAlign w:val="center"/>
            <w:hideMark/>
          </w:tcPr>
          <w:p w:rsidR="008475F6" w:rsidRPr="00312733" w:rsidRDefault="008475F6" w:rsidP="00F750C5">
            <w:pPr>
              <w:spacing w:line="240" w:lineRule="auto"/>
              <w:jc w:val="center"/>
            </w:pPr>
            <w:r w:rsidRPr="00312733">
              <w:rPr>
                <w:sz w:val="22"/>
                <w:szCs w:val="22"/>
              </w:rPr>
              <w:t>0</w:t>
            </w:r>
          </w:p>
        </w:tc>
        <w:tc>
          <w:tcPr>
            <w:tcW w:w="2160" w:type="dxa"/>
            <w:vAlign w:val="center"/>
          </w:tcPr>
          <w:p w:rsidR="008475F6" w:rsidRPr="00312733" w:rsidRDefault="008475F6" w:rsidP="00F750C5">
            <w:pPr>
              <w:spacing w:line="240" w:lineRule="auto"/>
              <w:jc w:val="center"/>
            </w:pP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spacing w:line="240" w:lineRule="auto"/>
              <w:jc w:val="center"/>
              <w:rPr>
                <w:color w:val="000000"/>
              </w:rPr>
            </w:pPr>
            <w:r w:rsidRPr="008475F6">
              <w:rPr>
                <w:noProof/>
                <w:sz w:val="22"/>
              </w:rPr>
              <w:t>[69]</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NPPD Ainsworth</w:t>
            </w:r>
          </w:p>
        </w:tc>
        <w:tc>
          <w:tcPr>
            <w:tcW w:w="2520" w:type="dxa"/>
            <w:vAlign w:val="center"/>
            <w:hideMark/>
          </w:tcPr>
          <w:p w:rsidR="008475F6" w:rsidRPr="00312733" w:rsidRDefault="008475F6" w:rsidP="00F750C5">
            <w:pPr>
              <w:spacing w:line="240" w:lineRule="auto"/>
              <w:jc w:val="center"/>
            </w:pPr>
            <w:r w:rsidRPr="00312733">
              <w:rPr>
                <w:sz w:val="22"/>
                <w:szCs w:val="22"/>
              </w:rPr>
              <w:t>1.51</w:t>
            </w:r>
          </w:p>
        </w:tc>
        <w:tc>
          <w:tcPr>
            <w:tcW w:w="2160" w:type="dxa"/>
            <w:vAlign w:val="center"/>
            <w:hideMark/>
          </w:tcPr>
          <w:p w:rsidR="008475F6" w:rsidRPr="00312733" w:rsidRDefault="008475F6" w:rsidP="00F750C5">
            <w:pPr>
              <w:spacing w:line="240" w:lineRule="auto"/>
              <w:jc w:val="center"/>
            </w:pPr>
            <w:r w:rsidRPr="00312733">
              <w:rPr>
                <w:sz w:val="22"/>
                <w:szCs w:val="22"/>
              </w:rPr>
              <w:t>(0.79-2.57)</w:t>
            </w: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spacing w:line="240" w:lineRule="auto"/>
              <w:jc w:val="center"/>
              <w:rPr>
                <w:color w:val="000000"/>
              </w:rPr>
            </w:pPr>
            <w:r w:rsidRPr="008475F6">
              <w:rPr>
                <w:noProof/>
                <w:sz w:val="22"/>
              </w:rPr>
              <w:t>[70]</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Prairie Winds SD1/Crow Lake</w:t>
            </w:r>
          </w:p>
        </w:tc>
        <w:tc>
          <w:tcPr>
            <w:tcW w:w="2520" w:type="dxa"/>
            <w:vAlign w:val="center"/>
            <w:hideMark/>
          </w:tcPr>
          <w:p w:rsidR="008475F6" w:rsidRPr="00312733" w:rsidRDefault="008475F6" w:rsidP="00F750C5">
            <w:pPr>
              <w:spacing w:line="240" w:lineRule="auto"/>
              <w:jc w:val="center"/>
            </w:pPr>
            <w:r w:rsidRPr="00312733">
              <w:rPr>
                <w:sz w:val="22"/>
                <w:szCs w:val="22"/>
              </w:rPr>
              <w:t>0.96</w:t>
            </w:r>
          </w:p>
        </w:tc>
        <w:tc>
          <w:tcPr>
            <w:tcW w:w="2160" w:type="dxa"/>
            <w:vAlign w:val="center"/>
          </w:tcPr>
          <w:p w:rsidR="008475F6" w:rsidRPr="00312733" w:rsidRDefault="008475F6" w:rsidP="00F750C5">
            <w:pPr>
              <w:spacing w:line="240" w:lineRule="auto"/>
              <w:jc w:val="center"/>
            </w:pP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spacing w:line="240" w:lineRule="auto"/>
              <w:jc w:val="center"/>
              <w:rPr>
                <w:color w:val="000000"/>
              </w:rPr>
            </w:pPr>
            <w:r w:rsidRPr="008475F6">
              <w:rPr>
                <w:noProof/>
                <w:sz w:val="22"/>
              </w:rPr>
              <w:t>[71]</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Rugby</w:t>
            </w:r>
          </w:p>
        </w:tc>
        <w:tc>
          <w:tcPr>
            <w:tcW w:w="2520" w:type="dxa"/>
            <w:vAlign w:val="center"/>
            <w:hideMark/>
          </w:tcPr>
          <w:p w:rsidR="008475F6" w:rsidRPr="00312733" w:rsidRDefault="008475F6" w:rsidP="00F750C5">
            <w:pPr>
              <w:spacing w:line="240" w:lineRule="auto"/>
              <w:jc w:val="center"/>
            </w:pPr>
            <w:r w:rsidRPr="00312733">
              <w:rPr>
                <w:sz w:val="22"/>
                <w:szCs w:val="22"/>
              </w:rPr>
              <w:t>1.03</w:t>
            </w:r>
          </w:p>
        </w:tc>
        <w:tc>
          <w:tcPr>
            <w:tcW w:w="2160" w:type="dxa"/>
            <w:vAlign w:val="center"/>
            <w:hideMark/>
          </w:tcPr>
          <w:p w:rsidR="008475F6" w:rsidRPr="00312733" w:rsidRDefault="008475F6" w:rsidP="00F750C5">
            <w:pPr>
              <w:spacing w:line="240" w:lineRule="auto"/>
              <w:jc w:val="center"/>
            </w:pPr>
            <w:r w:rsidRPr="00312733">
              <w:rPr>
                <w:sz w:val="22"/>
                <w:szCs w:val="22"/>
              </w:rPr>
              <w:t>(0.37-2.02)</w:t>
            </w: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spacing w:line="240" w:lineRule="auto"/>
              <w:jc w:val="center"/>
              <w:rPr>
                <w:color w:val="000000"/>
              </w:rPr>
            </w:pPr>
            <w:r w:rsidRPr="008475F6">
              <w:rPr>
                <w:noProof/>
                <w:sz w:val="22"/>
              </w:rPr>
              <w:t>[72]</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Wessington Springs (2009)</w:t>
            </w:r>
          </w:p>
        </w:tc>
        <w:tc>
          <w:tcPr>
            <w:tcW w:w="2520" w:type="dxa"/>
            <w:vAlign w:val="center"/>
            <w:hideMark/>
          </w:tcPr>
          <w:p w:rsidR="008475F6" w:rsidRPr="00312733" w:rsidRDefault="008475F6" w:rsidP="00F750C5">
            <w:pPr>
              <w:spacing w:line="240" w:lineRule="auto"/>
              <w:jc w:val="center"/>
            </w:pPr>
            <w:r w:rsidRPr="00312733">
              <w:rPr>
                <w:sz w:val="22"/>
                <w:szCs w:val="22"/>
              </w:rPr>
              <w:t>7.67</w:t>
            </w:r>
          </w:p>
        </w:tc>
        <w:tc>
          <w:tcPr>
            <w:tcW w:w="2160" w:type="dxa"/>
            <w:vAlign w:val="center"/>
          </w:tcPr>
          <w:p w:rsidR="008475F6" w:rsidRPr="00312733" w:rsidRDefault="008475F6" w:rsidP="00F750C5">
            <w:pPr>
              <w:spacing w:line="240" w:lineRule="auto"/>
              <w:jc w:val="center"/>
            </w:pP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keepNext/>
              <w:spacing w:line="240" w:lineRule="auto"/>
              <w:ind w:left="165" w:hanging="165"/>
              <w:jc w:val="center"/>
            </w:pPr>
            <w:r w:rsidRPr="008475F6">
              <w:rPr>
                <w:noProof/>
                <w:sz w:val="22"/>
              </w:rPr>
              <w:t>[73]</w:t>
            </w:r>
          </w:p>
        </w:tc>
      </w:tr>
      <w:tr w:rsidR="008475F6" w:rsidRPr="00312733" w:rsidTr="00F750C5">
        <w:trPr>
          <w:cantSplit/>
          <w:trHeight w:val="20"/>
        </w:trPr>
        <w:tc>
          <w:tcPr>
            <w:tcW w:w="3690" w:type="dxa"/>
            <w:vAlign w:val="center"/>
            <w:hideMark/>
          </w:tcPr>
          <w:p w:rsidR="008475F6" w:rsidRPr="00312733" w:rsidRDefault="008475F6" w:rsidP="00F750C5">
            <w:pPr>
              <w:spacing w:line="240" w:lineRule="auto"/>
            </w:pPr>
            <w:r w:rsidRPr="00312733">
              <w:rPr>
                <w:sz w:val="22"/>
                <w:szCs w:val="22"/>
              </w:rPr>
              <w:t>Wessington Springs (2010)</w:t>
            </w:r>
          </w:p>
        </w:tc>
        <w:tc>
          <w:tcPr>
            <w:tcW w:w="2520" w:type="dxa"/>
            <w:vAlign w:val="center"/>
            <w:hideMark/>
          </w:tcPr>
          <w:p w:rsidR="008475F6" w:rsidRPr="00312733" w:rsidRDefault="008475F6" w:rsidP="00F750C5">
            <w:pPr>
              <w:spacing w:line="240" w:lineRule="auto"/>
              <w:jc w:val="center"/>
            </w:pPr>
            <w:r w:rsidRPr="00312733">
              <w:rPr>
                <w:sz w:val="22"/>
                <w:szCs w:val="22"/>
              </w:rPr>
              <w:t>0.27</w:t>
            </w:r>
          </w:p>
        </w:tc>
        <w:tc>
          <w:tcPr>
            <w:tcW w:w="2160" w:type="dxa"/>
            <w:vAlign w:val="center"/>
            <w:hideMark/>
          </w:tcPr>
          <w:p w:rsidR="008475F6" w:rsidRPr="00312733" w:rsidRDefault="008475F6" w:rsidP="00F750C5">
            <w:pPr>
              <w:spacing w:line="240" w:lineRule="auto"/>
              <w:jc w:val="center"/>
            </w:pPr>
            <w:r w:rsidRPr="00312733">
              <w:rPr>
                <w:sz w:val="22"/>
                <w:szCs w:val="22"/>
              </w:rPr>
              <w:t>(0.00-0.85)</w:t>
            </w:r>
          </w:p>
        </w:tc>
        <w:tc>
          <w:tcPr>
            <w:tcW w:w="1800" w:type="dxa"/>
            <w:vAlign w:val="bottom"/>
            <w:hideMark/>
          </w:tcPr>
          <w:p w:rsidR="008475F6" w:rsidRPr="00312733" w:rsidRDefault="008475F6" w:rsidP="00F750C5">
            <w:pPr>
              <w:spacing w:line="240" w:lineRule="auto"/>
            </w:pPr>
            <w:r w:rsidRPr="00312733">
              <w:rPr>
                <w:sz w:val="22"/>
                <w:szCs w:val="22"/>
              </w:rPr>
              <w:t>Shoenfeld</w:t>
            </w:r>
          </w:p>
        </w:tc>
        <w:tc>
          <w:tcPr>
            <w:tcW w:w="1260" w:type="dxa"/>
            <w:vAlign w:val="center"/>
          </w:tcPr>
          <w:p w:rsidR="008475F6" w:rsidRPr="008475F6" w:rsidRDefault="008475F6" w:rsidP="00F750C5">
            <w:pPr>
              <w:keepNext/>
              <w:spacing w:line="240" w:lineRule="auto"/>
              <w:ind w:left="165" w:hanging="165"/>
              <w:jc w:val="center"/>
            </w:pPr>
            <w:r w:rsidRPr="008475F6">
              <w:rPr>
                <w:noProof/>
                <w:sz w:val="22"/>
              </w:rPr>
              <w:t>[74]</w:t>
            </w:r>
          </w:p>
        </w:tc>
      </w:tr>
      <w:tr w:rsidR="008475F6" w:rsidRPr="00312733" w:rsidTr="008475F6">
        <w:trPr>
          <w:cantSplit/>
          <w:trHeight w:val="20"/>
        </w:trPr>
        <w:tc>
          <w:tcPr>
            <w:tcW w:w="3690" w:type="dxa"/>
            <w:tcBorders>
              <w:top w:val="nil"/>
              <w:left w:val="nil"/>
              <w:bottom w:val="single" w:sz="4" w:space="0" w:color="auto"/>
              <w:right w:val="nil"/>
            </w:tcBorders>
            <w:vAlign w:val="center"/>
            <w:hideMark/>
          </w:tcPr>
          <w:p w:rsidR="008475F6" w:rsidRPr="00312733" w:rsidRDefault="008475F6" w:rsidP="00F750C5">
            <w:pPr>
              <w:spacing w:line="240" w:lineRule="auto"/>
            </w:pPr>
            <w:r w:rsidRPr="00312733">
              <w:rPr>
                <w:sz w:val="22"/>
                <w:szCs w:val="22"/>
              </w:rPr>
              <w:t>Winnebago</w:t>
            </w:r>
          </w:p>
        </w:tc>
        <w:tc>
          <w:tcPr>
            <w:tcW w:w="2520" w:type="dxa"/>
            <w:tcBorders>
              <w:top w:val="nil"/>
              <w:left w:val="nil"/>
              <w:bottom w:val="single" w:sz="4" w:space="0" w:color="auto"/>
              <w:right w:val="nil"/>
            </w:tcBorders>
            <w:vAlign w:val="center"/>
            <w:hideMark/>
          </w:tcPr>
          <w:p w:rsidR="008475F6" w:rsidRPr="00312733" w:rsidRDefault="008475F6" w:rsidP="00F750C5">
            <w:pPr>
              <w:spacing w:line="240" w:lineRule="auto"/>
              <w:jc w:val="center"/>
            </w:pPr>
            <w:r w:rsidRPr="00312733">
              <w:rPr>
                <w:sz w:val="22"/>
                <w:szCs w:val="22"/>
              </w:rPr>
              <w:t>3.16</w:t>
            </w:r>
          </w:p>
        </w:tc>
        <w:tc>
          <w:tcPr>
            <w:tcW w:w="2160" w:type="dxa"/>
            <w:tcBorders>
              <w:top w:val="nil"/>
              <w:left w:val="nil"/>
              <w:bottom w:val="single" w:sz="4" w:space="0" w:color="auto"/>
              <w:right w:val="nil"/>
            </w:tcBorders>
            <w:vAlign w:val="center"/>
            <w:hideMark/>
          </w:tcPr>
          <w:p w:rsidR="008475F6" w:rsidRPr="00312733" w:rsidRDefault="008475F6" w:rsidP="00F750C5">
            <w:pPr>
              <w:spacing w:line="240" w:lineRule="auto"/>
              <w:jc w:val="center"/>
            </w:pPr>
            <w:r w:rsidRPr="00312733">
              <w:rPr>
                <w:sz w:val="22"/>
                <w:szCs w:val="22"/>
              </w:rPr>
              <w:t>(0.65-7.21)</w:t>
            </w:r>
          </w:p>
        </w:tc>
        <w:tc>
          <w:tcPr>
            <w:tcW w:w="1800" w:type="dxa"/>
            <w:tcBorders>
              <w:top w:val="nil"/>
              <w:left w:val="nil"/>
              <w:bottom w:val="single" w:sz="4" w:space="0" w:color="auto"/>
              <w:right w:val="nil"/>
            </w:tcBorders>
            <w:vAlign w:val="bottom"/>
            <w:hideMark/>
          </w:tcPr>
          <w:p w:rsidR="008475F6" w:rsidRPr="00312733" w:rsidRDefault="008475F6" w:rsidP="00F750C5">
            <w:pPr>
              <w:spacing w:line="240" w:lineRule="auto"/>
            </w:pPr>
            <w:r w:rsidRPr="00312733">
              <w:rPr>
                <w:sz w:val="22"/>
                <w:szCs w:val="22"/>
              </w:rPr>
              <w:t>Shoenfeld</w:t>
            </w:r>
          </w:p>
        </w:tc>
        <w:tc>
          <w:tcPr>
            <w:tcW w:w="1260" w:type="dxa"/>
            <w:tcBorders>
              <w:top w:val="nil"/>
              <w:left w:val="nil"/>
              <w:bottom w:val="single" w:sz="4" w:space="0" w:color="auto"/>
              <w:right w:val="nil"/>
            </w:tcBorders>
            <w:vAlign w:val="center"/>
          </w:tcPr>
          <w:p w:rsidR="008475F6" w:rsidRPr="008475F6" w:rsidRDefault="008475F6" w:rsidP="00F750C5">
            <w:pPr>
              <w:spacing w:line="240" w:lineRule="auto"/>
              <w:jc w:val="center"/>
              <w:rPr>
                <w:color w:val="000000"/>
              </w:rPr>
            </w:pPr>
            <w:r w:rsidRPr="008475F6">
              <w:rPr>
                <w:noProof/>
                <w:sz w:val="22"/>
              </w:rPr>
              <w:t>[75]</w:t>
            </w:r>
          </w:p>
        </w:tc>
      </w:tr>
      <w:tr w:rsidR="008475F6" w:rsidRPr="00312733" w:rsidTr="008475F6">
        <w:trPr>
          <w:cantSplit/>
          <w:trHeight w:val="20"/>
        </w:trPr>
        <w:tc>
          <w:tcPr>
            <w:tcW w:w="11430" w:type="dxa"/>
            <w:gridSpan w:val="5"/>
            <w:tcBorders>
              <w:top w:val="single" w:sz="4" w:space="0" w:color="auto"/>
              <w:left w:val="nil"/>
              <w:right w:val="nil"/>
            </w:tcBorders>
            <w:vAlign w:val="center"/>
            <w:hideMark/>
          </w:tcPr>
          <w:p w:rsidR="008475F6" w:rsidRPr="008475F6" w:rsidRDefault="008475F6" w:rsidP="00037B9C">
            <w:pPr>
              <w:spacing w:line="240" w:lineRule="auto"/>
              <w:ind w:left="360" w:hanging="360"/>
              <w:rPr>
                <w:noProof/>
              </w:rPr>
            </w:pPr>
            <w:r w:rsidRPr="008475F6">
              <w:rPr>
                <w:sz w:val="18"/>
                <w:szCs w:val="18"/>
                <w:vertAlign w:val="superscript"/>
              </w:rPr>
              <w:t>a</w:t>
            </w:r>
            <w:r w:rsidRPr="008475F6">
              <w:rPr>
                <w:rFonts w:eastAsia="Calibri"/>
                <w:sz w:val="18"/>
                <w:szCs w:val="18"/>
              </w:rPr>
              <w:t xml:space="preserve"> The Dillon Project was the only project in the Sout</w:t>
            </w:r>
            <w:r w:rsidR="00037B9C">
              <w:rPr>
                <w:rFonts w:eastAsia="Calibri"/>
                <w:sz w:val="18"/>
                <w:szCs w:val="18"/>
              </w:rPr>
              <w:t xml:space="preserve">hwestern Biome represented by an </w:t>
            </w:r>
            <w:r w:rsidRPr="008475F6">
              <w:rPr>
                <w:rFonts w:eastAsia="Calibri"/>
                <w:sz w:val="18"/>
                <w:szCs w:val="18"/>
              </w:rPr>
              <w:t>available fatality report. Due to its singularity and since it is located very close to the Pacific Biome; it was combined with the Pacific Biome data.</w:t>
            </w:r>
          </w:p>
        </w:tc>
      </w:tr>
    </w:tbl>
    <w:p w:rsidR="00F750C5" w:rsidRDefault="00F750C5">
      <w:pPr>
        <w:rPr>
          <w:sz w:val="18"/>
          <w:szCs w:val="18"/>
        </w:rPr>
      </w:pPr>
    </w:p>
    <w:p w:rsidR="00F750C5" w:rsidRDefault="00F750C5">
      <w:pPr>
        <w:rPr>
          <w:sz w:val="18"/>
          <w:szCs w:val="18"/>
        </w:rPr>
        <w:sectPr w:rsidR="00F750C5" w:rsidSect="00145048">
          <w:pgSz w:w="15840" w:h="12240" w:orient="landscape"/>
          <w:pgMar w:top="1440" w:right="1440" w:bottom="1440" w:left="1440" w:header="720" w:footer="720" w:gutter="0"/>
          <w:cols w:space="720"/>
          <w:docGrid w:linePitch="360"/>
        </w:sectPr>
      </w:pPr>
    </w:p>
    <w:p w:rsidR="00F750C5" w:rsidRDefault="00F750C5">
      <w:pPr>
        <w:rPr>
          <w:sz w:val="18"/>
          <w:szCs w:val="18"/>
        </w:rPr>
      </w:pPr>
    </w:p>
    <w:p w:rsidR="00F750C5" w:rsidRPr="008475F6" w:rsidRDefault="00F750C5">
      <w:pPr>
        <w:rPr>
          <w:sz w:val="18"/>
          <w:szCs w:val="18"/>
        </w:rPr>
      </w:pPr>
    </w:p>
    <w:p w:rsidR="00F750C5" w:rsidRPr="00F750C5" w:rsidRDefault="00F750C5" w:rsidP="00C25696">
      <w:pPr>
        <w:pStyle w:val="Heading1"/>
        <w:rPr>
          <w:rFonts w:eastAsiaTheme="minorHAnsi"/>
        </w:rPr>
      </w:pPr>
      <w:r w:rsidRPr="00F750C5">
        <w:rPr>
          <w:rFonts w:eastAsiaTheme="minorHAnsi"/>
        </w:rPr>
        <w:t>References:</w:t>
      </w:r>
    </w:p>
    <w:p w:rsidR="00F750C5" w:rsidRPr="00F750C5" w:rsidRDefault="00F750C5" w:rsidP="00F750C5">
      <w:pPr>
        <w:keepNext/>
        <w:keepLines/>
        <w:spacing w:after="120" w:line="240" w:lineRule="auto"/>
        <w:ind w:left="720" w:hanging="720"/>
        <w:rPr>
          <w:rFonts w:eastAsiaTheme="minorHAnsi"/>
          <w:noProof/>
          <w:sz w:val="20"/>
          <w:szCs w:val="20"/>
        </w:rPr>
      </w:pPr>
      <w:bookmarkStart w:id="0" w:name="_ENREF_1"/>
      <w:r w:rsidRPr="00F750C5">
        <w:rPr>
          <w:rFonts w:eastAsiaTheme="minorHAnsi"/>
          <w:noProof/>
          <w:sz w:val="20"/>
          <w:szCs w:val="20"/>
        </w:rPr>
        <w:t xml:space="preserve">1. </w:t>
      </w:r>
      <w:bookmarkEnd w:id="0"/>
      <w:r w:rsidR="00C25696" w:rsidRPr="007304E0">
        <w:rPr>
          <w:noProof/>
          <w:sz w:val="20"/>
          <w:szCs w:val="20"/>
        </w:rPr>
        <w:t>Young, D.P. Jr., M. Lout, Z. Courage, S. Nomani, and K. Bay. 2012. 2011 Post-Construction Monitoring Study, Criterion Wind Project, Garrett County, Maryland: April - November 2011.</w:t>
      </w:r>
      <w:r w:rsidR="00C25696">
        <w:rPr>
          <w:noProof/>
          <w:sz w:val="20"/>
          <w:szCs w:val="20"/>
        </w:rPr>
        <w:t xml:space="preserve"> Revised November 25, 2013.</w:t>
      </w:r>
    </w:p>
    <w:p w:rsidR="00F750C5" w:rsidRPr="00F750C5" w:rsidRDefault="00F750C5" w:rsidP="00F750C5">
      <w:pPr>
        <w:keepNext/>
        <w:keepLines/>
        <w:spacing w:after="120" w:line="240" w:lineRule="auto"/>
        <w:ind w:left="720" w:hanging="720"/>
        <w:rPr>
          <w:rFonts w:eastAsiaTheme="minorHAnsi"/>
          <w:noProof/>
          <w:sz w:val="20"/>
          <w:szCs w:val="20"/>
        </w:rPr>
      </w:pPr>
      <w:bookmarkStart w:id="1" w:name="_ENREF_2"/>
      <w:r w:rsidRPr="00F750C5">
        <w:rPr>
          <w:rFonts w:eastAsiaTheme="minorHAnsi"/>
          <w:noProof/>
          <w:sz w:val="20"/>
          <w:szCs w:val="20"/>
        </w:rPr>
        <w:t>2. Young, D.P. Jr., Bay K, Nomani S, Tidhar W (2009) Nedpower Mount Storm Wind Energy Facility, Post-Construction Avian and Bat Monitoring: March - June 2009.</w:t>
      </w:r>
      <w:bookmarkEnd w:id="1"/>
    </w:p>
    <w:p w:rsidR="00F750C5" w:rsidRPr="00F750C5" w:rsidRDefault="00F750C5" w:rsidP="00F750C5">
      <w:pPr>
        <w:keepLines/>
        <w:spacing w:after="120" w:line="240" w:lineRule="auto"/>
        <w:ind w:left="720" w:hanging="720"/>
        <w:rPr>
          <w:rFonts w:eastAsiaTheme="minorHAnsi"/>
          <w:noProof/>
          <w:sz w:val="20"/>
          <w:szCs w:val="20"/>
        </w:rPr>
      </w:pPr>
      <w:bookmarkStart w:id="2" w:name="_ENREF_3"/>
      <w:r w:rsidRPr="00F750C5">
        <w:rPr>
          <w:rFonts w:eastAsiaTheme="minorHAnsi"/>
          <w:noProof/>
          <w:sz w:val="20"/>
          <w:szCs w:val="20"/>
        </w:rPr>
        <w:t>3. Young, D.P. Jr., Bay K, Nomani S, Tidhar W (2010) Nedpower Mount Storm Wind Energy Facility, Post-Construction Avian and Bat Monitoring: July - October 2009.</w:t>
      </w:r>
      <w:bookmarkEnd w:id="2"/>
    </w:p>
    <w:p w:rsidR="00F750C5" w:rsidRPr="00F750C5" w:rsidRDefault="00F750C5" w:rsidP="00F750C5">
      <w:pPr>
        <w:keepLines/>
        <w:spacing w:after="120" w:line="240" w:lineRule="auto"/>
        <w:ind w:left="720" w:hanging="720"/>
        <w:rPr>
          <w:rFonts w:eastAsiaTheme="minorHAnsi"/>
          <w:noProof/>
          <w:sz w:val="20"/>
          <w:szCs w:val="20"/>
        </w:rPr>
      </w:pPr>
      <w:bookmarkStart w:id="3" w:name="_ENREF_4"/>
      <w:r w:rsidRPr="00F750C5">
        <w:rPr>
          <w:rFonts w:eastAsiaTheme="minorHAnsi"/>
          <w:noProof/>
          <w:sz w:val="20"/>
          <w:szCs w:val="20"/>
        </w:rPr>
        <w:t>4. Young, D.P. Jr., Bay K, Nomani S, Tidhar W (2010) Nedpower Mount Storm Wind Energy Facility, Post-Construction Avian and Bat Monitoring: April - July 2010.</w:t>
      </w:r>
      <w:bookmarkEnd w:id="3"/>
    </w:p>
    <w:p w:rsidR="00F750C5" w:rsidRPr="00F750C5" w:rsidRDefault="00F750C5" w:rsidP="00F750C5">
      <w:pPr>
        <w:keepLines/>
        <w:spacing w:after="120" w:line="240" w:lineRule="auto"/>
        <w:ind w:left="720" w:hanging="720"/>
        <w:rPr>
          <w:rFonts w:eastAsiaTheme="minorHAnsi"/>
          <w:noProof/>
          <w:sz w:val="20"/>
          <w:szCs w:val="20"/>
        </w:rPr>
      </w:pPr>
      <w:bookmarkStart w:id="4" w:name="_ENREF_5"/>
      <w:r w:rsidRPr="00F750C5">
        <w:rPr>
          <w:rFonts w:eastAsiaTheme="minorHAnsi"/>
          <w:noProof/>
          <w:sz w:val="20"/>
          <w:szCs w:val="20"/>
        </w:rPr>
        <w:t>5. Young, D.P. Jr., Nomani S, Tidhar W, Bay K (2011) Nedpower Mount Storm Wind Energy Facility, Post-Construction Avian and Bat Monitoring: July - October 2010.</w:t>
      </w:r>
      <w:bookmarkEnd w:id="4"/>
    </w:p>
    <w:p w:rsidR="00F750C5" w:rsidRPr="00F750C5" w:rsidRDefault="00F750C5" w:rsidP="00F750C5">
      <w:pPr>
        <w:keepLines/>
        <w:spacing w:after="120" w:line="240" w:lineRule="auto"/>
        <w:ind w:left="720" w:hanging="720"/>
        <w:rPr>
          <w:rFonts w:eastAsiaTheme="minorHAnsi"/>
          <w:noProof/>
          <w:sz w:val="20"/>
          <w:szCs w:val="20"/>
        </w:rPr>
      </w:pPr>
      <w:bookmarkStart w:id="5" w:name="_ENREF_6"/>
      <w:r w:rsidRPr="00F750C5">
        <w:rPr>
          <w:rFonts w:eastAsiaTheme="minorHAnsi"/>
          <w:noProof/>
          <w:sz w:val="20"/>
          <w:szCs w:val="20"/>
        </w:rPr>
        <w:t>6. Young, D.P. Jr., Nomani S, Courage Z, Bay K (2011) Nedpower Mount Storm Wind Energy Facility, Post-Construction Avian and Bat Monitoring: April - July 2011.</w:t>
      </w:r>
      <w:bookmarkEnd w:id="5"/>
    </w:p>
    <w:p w:rsidR="00F750C5" w:rsidRPr="00F750C5" w:rsidRDefault="00F750C5" w:rsidP="00F750C5">
      <w:pPr>
        <w:keepLines/>
        <w:spacing w:after="120" w:line="240" w:lineRule="auto"/>
        <w:ind w:left="720" w:hanging="720"/>
        <w:rPr>
          <w:rFonts w:eastAsiaTheme="minorHAnsi"/>
          <w:noProof/>
          <w:sz w:val="20"/>
          <w:szCs w:val="20"/>
        </w:rPr>
      </w:pPr>
      <w:bookmarkStart w:id="6" w:name="_ENREF_7"/>
      <w:r w:rsidRPr="00F750C5">
        <w:rPr>
          <w:rFonts w:eastAsiaTheme="minorHAnsi"/>
          <w:noProof/>
          <w:sz w:val="20"/>
          <w:szCs w:val="20"/>
        </w:rPr>
        <w:t>7. Young, D.P. Jr., Nomani S, Courage Z, Bay K (2012) Nedpower Mount Storm Wind Energy Facility, Post-Construction Avian and Bat Monitoring: July - October 2011.</w:t>
      </w:r>
      <w:bookmarkEnd w:id="6"/>
    </w:p>
    <w:p w:rsidR="00F750C5" w:rsidRPr="00F750C5" w:rsidRDefault="00F750C5" w:rsidP="00F750C5">
      <w:pPr>
        <w:keepLines/>
        <w:spacing w:after="120" w:line="240" w:lineRule="auto"/>
        <w:ind w:left="720" w:hanging="720"/>
        <w:rPr>
          <w:rFonts w:eastAsiaTheme="minorHAnsi"/>
          <w:noProof/>
          <w:sz w:val="20"/>
          <w:szCs w:val="20"/>
        </w:rPr>
      </w:pPr>
      <w:bookmarkStart w:id="7" w:name="_ENREF_8"/>
      <w:r w:rsidRPr="00F750C5">
        <w:rPr>
          <w:rFonts w:eastAsiaTheme="minorHAnsi"/>
          <w:noProof/>
          <w:sz w:val="20"/>
          <w:szCs w:val="20"/>
        </w:rPr>
        <w:t>8. Jain A, Kerlinger P, Curry R, Slobodnik L, Quant J, et al. (2009) Annual Report for the Noble Bliss Windpark, LLC, Postconstruction Bird and Bat Fatality Study - 2008.</w:t>
      </w:r>
      <w:bookmarkEnd w:id="7"/>
    </w:p>
    <w:p w:rsidR="00F750C5" w:rsidRPr="00F750C5" w:rsidRDefault="00F750C5" w:rsidP="00F750C5">
      <w:pPr>
        <w:keepLines/>
        <w:spacing w:after="120" w:line="240" w:lineRule="auto"/>
        <w:ind w:left="720" w:hanging="720"/>
        <w:rPr>
          <w:rFonts w:eastAsiaTheme="minorHAnsi"/>
          <w:noProof/>
          <w:sz w:val="20"/>
          <w:szCs w:val="20"/>
        </w:rPr>
      </w:pPr>
      <w:bookmarkStart w:id="8" w:name="_ENREF_9"/>
      <w:r w:rsidRPr="00F750C5">
        <w:rPr>
          <w:rFonts w:eastAsiaTheme="minorHAnsi"/>
          <w:noProof/>
          <w:sz w:val="20"/>
          <w:szCs w:val="20"/>
        </w:rPr>
        <w:t>9. Jain A, Kerlinger P, Slobodnik L, Curry R, Fuerst A, et al. (2010) Annual Report for the Noble Bliss Windpark, LLC: Postconstruction Bird and Bat Fatality Study - 2009.</w:t>
      </w:r>
      <w:bookmarkEnd w:id="8"/>
    </w:p>
    <w:p w:rsidR="00F750C5" w:rsidRPr="00F750C5" w:rsidRDefault="00F750C5" w:rsidP="00F750C5">
      <w:pPr>
        <w:keepLines/>
        <w:spacing w:after="120" w:line="240" w:lineRule="auto"/>
        <w:ind w:left="720" w:hanging="720"/>
        <w:rPr>
          <w:rFonts w:eastAsiaTheme="minorHAnsi"/>
          <w:noProof/>
          <w:sz w:val="20"/>
          <w:szCs w:val="20"/>
        </w:rPr>
      </w:pPr>
      <w:bookmarkStart w:id="9" w:name="_ENREF_10"/>
      <w:r w:rsidRPr="00F750C5">
        <w:rPr>
          <w:rFonts w:eastAsiaTheme="minorHAnsi"/>
          <w:noProof/>
          <w:sz w:val="20"/>
          <w:szCs w:val="20"/>
        </w:rPr>
        <w:t>10. Jain A, Kerlinger P, Slobodnik L, Curry R, Harte A (2011) Annual Report for the Noble Wethersfield Windpark, LLC: Postconstruction Bird and Bat Fatality Study - 2010.</w:t>
      </w:r>
      <w:bookmarkEnd w:id="9"/>
    </w:p>
    <w:p w:rsidR="00F750C5" w:rsidRPr="00F750C5" w:rsidRDefault="00F750C5" w:rsidP="00F750C5">
      <w:pPr>
        <w:keepLines/>
        <w:spacing w:after="120" w:line="240" w:lineRule="auto"/>
        <w:ind w:left="720" w:hanging="720"/>
        <w:rPr>
          <w:rFonts w:eastAsiaTheme="minorHAnsi"/>
          <w:noProof/>
          <w:sz w:val="20"/>
          <w:szCs w:val="20"/>
        </w:rPr>
      </w:pPr>
      <w:bookmarkStart w:id="10" w:name="_ENREF_11"/>
      <w:r w:rsidRPr="00F750C5">
        <w:rPr>
          <w:rFonts w:eastAsiaTheme="minorHAnsi"/>
          <w:noProof/>
          <w:sz w:val="20"/>
          <w:szCs w:val="20"/>
        </w:rPr>
        <w:t>11. Jeffrey JD, Bay K, Erickson WP, Sonneberg M, Baker J, et al. (2009) Portland General Electric Biglow Canyon Wind Farm Phase I Post-Construction Avian and Bat Monitoring First Annual Report, Sherman County, Oregon. January 2008 - December 2008.</w:t>
      </w:r>
      <w:bookmarkEnd w:id="10"/>
    </w:p>
    <w:p w:rsidR="00F750C5" w:rsidRPr="00F750C5" w:rsidRDefault="00F750C5" w:rsidP="00F750C5">
      <w:pPr>
        <w:keepLines/>
        <w:spacing w:after="120" w:line="240" w:lineRule="auto"/>
        <w:ind w:left="720" w:hanging="720"/>
        <w:rPr>
          <w:rFonts w:eastAsiaTheme="minorHAnsi"/>
          <w:noProof/>
          <w:sz w:val="20"/>
          <w:szCs w:val="20"/>
        </w:rPr>
      </w:pPr>
      <w:bookmarkStart w:id="11" w:name="_ENREF_12"/>
      <w:r w:rsidRPr="00F750C5">
        <w:rPr>
          <w:rFonts w:eastAsiaTheme="minorHAnsi"/>
          <w:noProof/>
          <w:sz w:val="20"/>
          <w:szCs w:val="20"/>
        </w:rPr>
        <w:t>12. Enk T, Bay K, Sonnenberg M, Baker J, Kesterke M, et al. (2010) Biglow Canyon Wind Farm Phase I Post-Construction Avian and Bat Monitoring Second Annual Report, Sherman County, Oregon. January 26, 2009 - December 11, 2009.</w:t>
      </w:r>
      <w:bookmarkEnd w:id="11"/>
    </w:p>
    <w:p w:rsidR="00F750C5" w:rsidRPr="00F750C5" w:rsidRDefault="00F750C5" w:rsidP="00F750C5">
      <w:pPr>
        <w:keepLines/>
        <w:spacing w:after="120" w:line="240" w:lineRule="auto"/>
        <w:ind w:left="720" w:hanging="720"/>
        <w:rPr>
          <w:rFonts w:eastAsiaTheme="minorHAnsi"/>
          <w:noProof/>
          <w:sz w:val="20"/>
          <w:szCs w:val="20"/>
        </w:rPr>
      </w:pPr>
      <w:bookmarkStart w:id="12" w:name="_ENREF_13"/>
      <w:r w:rsidRPr="00F750C5">
        <w:rPr>
          <w:rFonts w:eastAsiaTheme="minorHAnsi"/>
          <w:noProof/>
          <w:sz w:val="20"/>
          <w:szCs w:val="20"/>
        </w:rPr>
        <w:t>13. Enk T, Bay K, Sonnenberg M, Flaig J, Boehrs JR, et al. (2011) Year 1 Post-Construction Avian and Bat Monitoring Report: Biglow Canyon Wind Farm Phase II, Sherman County, Oregon. September 10, 2009 - September 12, 2010.</w:t>
      </w:r>
      <w:bookmarkEnd w:id="12"/>
    </w:p>
    <w:p w:rsidR="00F750C5" w:rsidRPr="00F750C5" w:rsidRDefault="00F750C5" w:rsidP="00F750C5">
      <w:pPr>
        <w:keepLines/>
        <w:spacing w:after="120" w:line="240" w:lineRule="auto"/>
        <w:ind w:left="720" w:hanging="720"/>
        <w:rPr>
          <w:rFonts w:eastAsiaTheme="minorHAnsi"/>
          <w:noProof/>
          <w:sz w:val="20"/>
          <w:szCs w:val="20"/>
        </w:rPr>
      </w:pPr>
      <w:bookmarkStart w:id="13" w:name="_ENREF_14"/>
      <w:r w:rsidRPr="00F750C5">
        <w:rPr>
          <w:rFonts w:eastAsiaTheme="minorHAnsi"/>
          <w:noProof/>
          <w:sz w:val="20"/>
          <w:szCs w:val="20"/>
        </w:rPr>
        <w:t>14. Enk T, Bay K, Sonnenberg M, Boehrs JR (2012) Year 2 Avian and Bat Monitoring Report: Biglow Canyon Wind Farm Phase II, Sherman County, Oregon. September 13, 2010 - September 12, 2011.</w:t>
      </w:r>
      <w:bookmarkEnd w:id="13"/>
    </w:p>
    <w:p w:rsidR="00F750C5" w:rsidRPr="00F750C5" w:rsidRDefault="00F750C5" w:rsidP="00F750C5">
      <w:pPr>
        <w:keepLines/>
        <w:spacing w:after="120" w:line="240" w:lineRule="auto"/>
        <w:ind w:left="720" w:hanging="720"/>
        <w:rPr>
          <w:rFonts w:eastAsiaTheme="minorHAnsi"/>
          <w:noProof/>
          <w:sz w:val="20"/>
          <w:szCs w:val="20"/>
        </w:rPr>
      </w:pPr>
      <w:bookmarkStart w:id="14" w:name="_ENREF_15"/>
      <w:r w:rsidRPr="00F750C5">
        <w:rPr>
          <w:rFonts w:eastAsiaTheme="minorHAnsi"/>
          <w:noProof/>
          <w:sz w:val="20"/>
          <w:szCs w:val="20"/>
        </w:rPr>
        <w:t>15. Enk T, Bay K, Sonnenberg M, Boehrs JR (2012) Year 1 Avian and Bat Monitoring Report: Biglow Canyon Wind Farm Phase III, Sherman County, Oregon. September 13, 2010 - September 9, 2011.</w:t>
      </w:r>
      <w:bookmarkEnd w:id="14"/>
    </w:p>
    <w:p w:rsidR="00F750C5" w:rsidRPr="00F750C5" w:rsidRDefault="00F750C5" w:rsidP="00F750C5">
      <w:pPr>
        <w:keepLines/>
        <w:spacing w:after="120" w:line="240" w:lineRule="auto"/>
        <w:ind w:left="720" w:hanging="720"/>
        <w:rPr>
          <w:rFonts w:eastAsiaTheme="minorHAnsi"/>
          <w:noProof/>
          <w:sz w:val="20"/>
          <w:szCs w:val="20"/>
        </w:rPr>
      </w:pPr>
      <w:bookmarkStart w:id="15" w:name="_ENREF_16"/>
      <w:r w:rsidRPr="00F750C5">
        <w:rPr>
          <w:rFonts w:eastAsiaTheme="minorHAnsi"/>
          <w:noProof/>
          <w:sz w:val="20"/>
          <w:szCs w:val="20"/>
        </w:rPr>
        <w:t>16. Young, D.P. Jr., Jeffrey J, Erickson WP, Bay K, Poulton VK, et al. (2006) Eurus Combine Hills Turbine Ranch. Phase 1 Post Construction Wildlife Monitoring First Annual Report: February 2004 - February 2005.</w:t>
      </w:r>
      <w:bookmarkEnd w:id="15"/>
    </w:p>
    <w:p w:rsidR="00F750C5" w:rsidRPr="00F750C5" w:rsidRDefault="00F750C5" w:rsidP="00F750C5">
      <w:pPr>
        <w:keepLines/>
        <w:spacing w:after="120" w:line="240" w:lineRule="auto"/>
        <w:ind w:left="720" w:hanging="720"/>
        <w:rPr>
          <w:rFonts w:eastAsiaTheme="minorHAnsi"/>
          <w:noProof/>
          <w:sz w:val="20"/>
          <w:szCs w:val="20"/>
        </w:rPr>
      </w:pPr>
      <w:bookmarkStart w:id="16" w:name="_ENREF_17"/>
      <w:r w:rsidRPr="00F750C5">
        <w:rPr>
          <w:rFonts w:eastAsiaTheme="minorHAnsi"/>
          <w:noProof/>
          <w:sz w:val="20"/>
          <w:szCs w:val="20"/>
        </w:rPr>
        <w:t>17. Enz T, Bay K, Sonnenberg M, Palochak A (2012) Post-Construction Monitoring Studies for the Combine Hills Turbine Ranch, Umatilla County, Oregon. Final Report: January 7 - December 2, 2011.</w:t>
      </w:r>
      <w:bookmarkEnd w:id="16"/>
    </w:p>
    <w:p w:rsidR="00F750C5" w:rsidRPr="00F750C5" w:rsidRDefault="00F750C5" w:rsidP="00F750C5">
      <w:pPr>
        <w:keepLines/>
        <w:spacing w:after="120" w:line="240" w:lineRule="auto"/>
        <w:ind w:left="720" w:hanging="720"/>
        <w:rPr>
          <w:rFonts w:eastAsiaTheme="minorHAnsi"/>
          <w:noProof/>
          <w:sz w:val="20"/>
          <w:szCs w:val="20"/>
        </w:rPr>
      </w:pPr>
      <w:bookmarkStart w:id="17" w:name="_ENREF_18"/>
      <w:r w:rsidRPr="00F750C5">
        <w:rPr>
          <w:rFonts w:eastAsiaTheme="minorHAnsi"/>
          <w:noProof/>
          <w:sz w:val="20"/>
          <w:szCs w:val="20"/>
        </w:rPr>
        <w:t>18. Thompson J, Solick D, Bay K (2011) Post-Construction Fatality Surveys for the Dry Lake Phase I Wind Project. Iberdrola Renewables: September 2009 - November 2010.</w:t>
      </w:r>
      <w:bookmarkEnd w:id="17"/>
    </w:p>
    <w:p w:rsidR="00F750C5" w:rsidRPr="00F750C5" w:rsidRDefault="00F750C5" w:rsidP="00F750C5">
      <w:pPr>
        <w:keepLines/>
        <w:spacing w:after="120" w:line="240" w:lineRule="auto"/>
        <w:ind w:left="720" w:hanging="720"/>
        <w:rPr>
          <w:rFonts w:eastAsiaTheme="minorHAnsi"/>
          <w:noProof/>
          <w:sz w:val="20"/>
          <w:szCs w:val="20"/>
        </w:rPr>
      </w:pPr>
      <w:bookmarkStart w:id="18" w:name="_ENREF_19"/>
      <w:r w:rsidRPr="00F750C5">
        <w:rPr>
          <w:rFonts w:eastAsiaTheme="minorHAnsi"/>
          <w:noProof/>
          <w:sz w:val="20"/>
          <w:szCs w:val="20"/>
        </w:rPr>
        <w:t>19. Thompson J, Bay K (2012) Post-Construction Fatality Surveys for the Dry Lake II Wind Project: February 2011 – February 2012.</w:t>
      </w:r>
      <w:bookmarkEnd w:id="18"/>
    </w:p>
    <w:p w:rsidR="00F750C5" w:rsidRPr="00F750C5" w:rsidRDefault="00F750C5" w:rsidP="00F750C5">
      <w:pPr>
        <w:keepLines/>
        <w:spacing w:after="120" w:line="240" w:lineRule="auto"/>
        <w:ind w:left="720" w:hanging="720"/>
        <w:rPr>
          <w:rFonts w:eastAsiaTheme="minorHAnsi"/>
          <w:noProof/>
          <w:sz w:val="20"/>
          <w:szCs w:val="20"/>
        </w:rPr>
      </w:pPr>
      <w:bookmarkStart w:id="19" w:name="_ENREF_20"/>
      <w:r w:rsidRPr="00F750C5">
        <w:rPr>
          <w:rFonts w:eastAsiaTheme="minorHAnsi"/>
          <w:noProof/>
          <w:sz w:val="20"/>
          <w:szCs w:val="20"/>
        </w:rPr>
        <w:t>20. Jeffrey JD, Erickson WP, Bay K, Sonneberg M, Baker J, et al. (2009) Horizon Wind Energy, Elkhorn Valley Wind Project, Post-Construction Avian and Bat Monitoring, First Annual Report, January-December 2008.</w:t>
      </w:r>
      <w:bookmarkEnd w:id="19"/>
    </w:p>
    <w:p w:rsidR="00F750C5" w:rsidRPr="00F750C5" w:rsidRDefault="00F750C5" w:rsidP="00F750C5">
      <w:pPr>
        <w:keepLines/>
        <w:spacing w:after="120" w:line="240" w:lineRule="auto"/>
        <w:ind w:left="720" w:hanging="720"/>
        <w:rPr>
          <w:rFonts w:eastAsiaTheme="minorHAnsi"/>
          <w:noProof/>
          <w:sz w:val="20"/>
          <w:szCs w:val="20"/>
        </w:rPr>
      </w:pPr>
      <w:bookmarkStart w:id="20" w:name="_ENREF_21"/>
      <w:r w:rsidRPr="00F750C5">
        <w:rPr>
          <w:rFonts w:eastAsiaTheme="minorHAnsi"/>
          <w:noProof/>
          <w:sz w:val="20"/>
          <w:szCs w:val="20"/>
        </w:rPr>
        <w:lastRenderedPageBreak/>
        <w:t>21. Enk T, Derby C, Bay K, Sonnenberg M (2011) 2010 Post-Construction Fatality Monitoring Report, Elkhorn Valley Wind Farm, Union County, Oregon. January – December 2010.</w:t>
      </w:r>
      <w:bookmarkEnd w:id="20"/>
    </w:p>
    <w:p w:rsidR="00F750C5" w:rsidRPr="00F750C5" w:rsidRDefault="00F750C5" w:rsidP="00F750C5">
      <w:pPr>
        <w:keepLines/>
        <w:spacing w:after="120" w:line="240" w:lineRule="auto"/>
        <w:ind w:left="720" w:hanging="720"/>
        <w:rPr>
          <w:rFonts w:eastAsiaTheme="minorHAnsi"/>
          <w:noProof/>
          <w:sz w:val="20"/>
          <w:szCs w:val="20"/>
        </w:rPr>
      </w:pPr>
      <w:bookmarkStart w:id="21" w:name="_ENREF_23"/>
      <w:r w:rsidRPr="00F750C5">
        <w:rPr>
          <w:rFonts w:eastAsiaTheme="minorHAnsi"/>
          <w:noProof/>
          <w:sz w:val="20"/>
          <w:szCs w:val="20"/>
        </w:rPr>
        <w:t>22. Young, D.P. Jr., Erickson WP, Good RE, Strickland MD, Johnson GD (2003) Avian and Bat Mortality Associated with the Initial Phase of the Foote Creek Rim Windpower Project, Carbon County, Wyoming, Final Report, November 1998 - June 2002.</w:t>
      </w:r>
    </w:p>
    <w:p w:rsidR="00F750C5" w:rsidRPr="00F750C5" w:rsidRDefault="00F750C5" w:rsidP="00F750C5">
      <w:pPr>
        <w:keepLines/>
        <w:spacing w:after="120" w:line="240" w:lineRule="auto"/>
        <w:ind w:left="720" w:hanging="720"/>
        <w:rPr>
          <w:rFonts w:eastAsiaTheme="minorHAnsi"/>
          <w:noProof/>
          <w:sz w:val="20"/>
          <w:szCs w:val="20"/>
        </w:rPr>
      </w:pPr>
      <w:r w:rsidRPr="00F750C5">
        <w:rPr>
          <w:rFonts w:eastAsiaTheme="minorHAnsi"/>
          <w:noProof/>
          <w:sz w:val="20"/>
          <w:szCs w:val="20"/>
        </w:rPr>
        <w:t>23. URS Corporation (2010) Final Goodnoe Hills Wind Project Avian Mortality Monitoring Report.</w:t>
      </w:r>
      <w:bookmarkEnd w:id="21"/>
    </w:p>
    <w:p w:rsidR="00F750C5" w:rsidRPr="00F750C5" w:rsidRDefault="00F750C5" w:rsidP="00F750C5">
      <w:pPr>
        <w:keepLines/>
        <w:spacing w:after="120" w:line="240" w:lineRule="auto"/>
        <w:ind w:left="720" w:hanging="720"/>
        <w:rPr>
          <w:rFonts w:eastAsiaTheme="minorHAnsi"/>
          <w:noProof/>
          <w:sz w:val="20"/>
          <w:szCs w:val="20"/>
        </w:rPr>
      </w:pPr>
      <w:bookmarkStart w:id="22" w:name="_ENREF_24"/>
      <w:r w:rsidRPr="00F750C5">
        <w:rPr>
          <w:rFonts w:eastAsiaTheme="minorHAnsi"/>
          <w:noProof/>
          <w:sz w:val="20"/>
          <w:szCs w:val="20"/>
        </w:rPr>
        <w:t>24. Gritski R, Kronner K (2010) Hay Canyon Wind Power Project Wildlife Monitoring Study: May 2009 - May 2010.</w:t>
      </w:r>
      <w:bookmarkEnd w:id="22"/>
    </w:p>
    <w:p w:rsidR="00F750C5" w:rsidRPr="00F750C5" w:rsidRDefault="00F750C5" w:rsidP="00F750C5">
      <w:pPr>
        <w:keepLines/>
        <w:spacing w:after="120" w:line="240" w:lineRule="auto"/>
        <w:ind w:left="720" w:hanging="720"/>
        <w:rPr>
          <w:rFonts w:eastAsiaTheme="minorHAnsi"/>
          <w:noProof/>
          <w:sz w:val="20"/>
          <w:szCs w:val="20"/>
        </w:rPr>
      </w:pPr>
      <w:bookmarkStart w:id="23" w:name="_ENREF_25"/>
      <w:r w:rsidRPr="00F750C5">
        <w:rPr>
          <w:rFonts w:eastAsiaTheme="minorHAnsi"/>
          <w:noProof/>
          <w:sz w:val="20"/>
          <w:szCs w:val="20"/>
        </w:rPr>
        <w:t>25. Young, D.P. Jr., Erickson WP, Jeffrey J, Poulton VK (2007) Puget Sound Energy Hopkins Ridge Wind Project Phase 1 Post-Construction Avian and Bat Monitoring First Annual Report, January - December 2006. 25 pp. p.</w:t>
      </w:r>
      <w:bookmarkEnd w:id="23"/>
    </w:p>
    <w:p w:rsidR="00F750C5" w:rsidRPr="00F750C5" w:rsidRDefault="00F750C5" w:rsidP="00F750C5">
      <w:pPr>
        <w:keepLines/>
        <w:spacing w:after="120" w:line="240" w:lineRule="auto"/>
        <w:ind w:left="720" w:hanging="720"/>
        <w:rPr>
          <w:rFonts w:eastAsiaTheme="minorHAnsi"/>
          <w:noProof/>
          <w:sz w:val="20"/>
          <w:szCs w:val="20"/>
        </w:rPr>
      </w:pPr>
      <w:bookmarkStart w:id="24" w:name="_ENREF_26"/>
      <w:r w:rsidRPr="00F750C5">
        <w:rPr>
          <w:rFonts w:eastAsiaTheme="minorHAnsi"/>
          <w:noProof/>
          <w:sz w:val="20"/>
          <w:szCs w:val="20"/>
        </w:rPr>
        <w:t>26. Young, D.P. Jr., Jeffrey JD, Bay K, Erickson WP (2009) Puget Sound Energy Hopkins Ridge Wind Project, Phase 1, Columbia County, Washington. Post-Construction Avian and Bat Monitoring, Second Annual Report: January - December, 2008.</w:t>
      </w:r>
      <w:bookmarkEnd w:id="24"/>
    </w:p>
    <w:p w:rsidR="00F750C5" w:rsidRPr="00F750C5" w:rsidRDefault="00F750C5" w:rsidP="00F750C5">
      <w:pPr>
        <w:keepLines/>
        <w:spacing w:after="120" w:line="240" w:lineRule="auto"/>
        <w:ind w:left="720" w:hanging="720"/>
        <w:rPr>
          <w:rFonts w:eastAsiaTheme="minorHAnsi"/>
          <w:noProof/>
          <w:sz w:val="20"/>
          <w:szCs w:val="20"/>
        </w:rPr>
      </w:pPr>
      <w:bookmarkStart w:id="25" w:name="_ENREF_27"/>
      <w:r w:rsidRPr="00F750C5">
        <w:rPr>
          <w:rFonts w:eastAsiaTheme="minorHAnsi"/>
          <w:noProof/>
          <w:sz w:val="20"/>
          <w:szCs w:val="20"/>
        </w:rPr>
        <w:t>27. Stantec Consulting Services, Inc. (Stantec Consulting Services) (2012) Post-Construction Monitoring, Summer 2011 - Spring 2012, Year 1 Annual Report: Kittitas Valley Wind Power Project, Cle Elum, Washington.</w:t>
      </w:r>
      <w:bookmarkEnd w:id="25"/>
    </w:p>
    <w:p w:rsidR="00F750C5" w:rsidRPr="00F750C5" w:rsidRDefault="00F750C5" w:rsidP="00F750C5">
      <w:pPr>
        <w:keepLines/>
        <w:spacing w:after="120" w:line="240" w:lineRule="auto"/>
        <w:ind w:left="720" w:hanging="720"/>
        <w:rPr>
          <w:rFonts w:eastAsiaTheme="minorHAnsi"/>
          <w:noProof/>
          <w:sz w:val="20"/>
          <w:szCs w:val="20"/>
        </w:rPr>
      </w:pPr>
      <w:bookmarkStart w:id="26" w:name="_ENREF_28"/>
      <w:r w:rsidRPr="00F750C5">
        <w:rPr>
          <w:rFonts w:eastAsiaTheme="minorHAnsi"/>
          <w:noProof/>
          <w:sz w:val="20"/>
          <w:szCs w:val="20"/>
        </w:rPr>
        <w:t>28. Johnson GD, Erickson WP, White J (2003) Avian and Bat Mortality During the First Year of Operation at the Klondike Phase I Wind Project, Sherman County, Oregon.</w:t>
      </w:r>
      <w:bookmarkEnd w:id="26"/>
    </w:p>
    <w:p w:rsidR="00F750C5" w:rsidRPr="00F750C5" w:rsidRDefault="00F750C5" w:rsidP="00F750C5">
      <w:pPr>
        <w:keepLines/>
        <w:spacing w:after="120" w:line="240" w:lineRule="auto"/>
        <w:ind w:left="720" w:hanging="720"/>
        <w:rPr>
          <w:rFonts w:eastAsiaTheme="minorHAnsi"/>
          <w:noProof/>
          <w:sz w:val="20"/>
          <w:szCs w:val="20"/>
        </w:rPr>
      </w:pPr>
      <w:bookmarkStart w:id="27" w:name="_ENREF_29"/>
      <w:r w:rsidRPr="00F750C5">
        <w:rPr>
          <w:rFonts w:eastAsiaTheme="minorHAnsi"/>
          <w:noProof/>
          <w:sz w:val="20"/>
          <w:szCs w:val="20"/>
        </w:rPr>
        <w:t>29. Northwest Wildlife Consultants, Inc. (NWC), Western EcoSystems Technology, Inc. (WEST) (2007) Avian and Bat Monitoring Report for the Klondike II Wind Power Project. Sherman County, Oregon.</w:t>
      </w:r>
      <w:bookmarkEnd w:id="27"/>
    </w:p>
    <w:p w:rsidR="00F750C5" w:rsidRPr="00F750C5" w:rsidRDefault="00F750C5" w:rsidP="00F750C5">
      <w:pPr>
        <w:keepLines/>
        <w:spacing w:after="120" w:line="240" w:lineRule="auto"/>
        <w:ind w:left="720" w:hanging="720"/>
        <w:rPr>
          <w:rFonts w:eastAsiaTheme="minorHAnsi"/>
          <w:noProof/>
          <w:sz w:val="20"/>
          <w:szCs w:val="20"/>
        </w:rPr>
      </w:pPr>
      <w:bookmarkStart w:id="28" w:name="_ENREF_30"/>
      <w:r w:rsidRPr="00F750C5">
        <w:rPr>
          <w:rFonts w:eastAsiaTheme="minorHAnsi"/>
          <w:noProof/>
          <w:sz w:val="20"/>
          <w:szCs w:val="20"/>
        </w:rPr>
        <w:t>30. Gritski R, Downes S, Kronner K (2010) Klondike III (Phase 1) Wind Power Project Wildlife Monitoring: October 2007-October 2009.</w:t>
      </w:r>
      <w:bookmarkEnd w:id="28"/>
    </w:p>
    <w:p w:rsidR="00F750C5" w:rsidRPr="00F750C5" w:rsidRDefault="00F750C5" w:rsidP="00F750C5">
      <w:pPr>
        <w:keepLines/>
        <w:spacing w:after="120" w:line="240" w:lineRule="auto"/>
        <w:ind w:left="720" w:hanging="720"/>
        <w:rPr>
          <w:rFonts w:eastAsiaTheme="minorHAnsi"/>
          <w:noProof/>
          <w:sz w:val="20"/>
          <w:szCs w:val="20"/>
        </w:rPr>
      </w:pPr>
      <w:bookmarkStart w:id="29" w:name="_ENREF_31"/>
      <w:r w:rsidRPr="00F750C5">
        <w:rPr>
          <w:rFonts w:eastAsiaTheme="minorHAnsi"/>
          <w:noProof/>
          <w:sz w:val="20"/>
          <w:szCs w:val="20"/>
        </w:rPr>
        <w:t>31. Gritski R, Downes S, Kronner K (2011) Klondike IIIa (Phase 2) Wind Power Project Wildlife Monitoring: August 2008 - August 2010.</w:t>
      </w:r>
      <w:bookmarkEnd w:id="29"/>
    </w:p>
    <w:p w:rsidR="00F750C5" w:rsidRPr="00F750C5" w:rsidRDefault="00F750C5" w:rsidP="00F750C5">
      <w:pPr>
        <w:keepLines/>
        <w:spacing w:after="120" w:line="240" w:lineRule="auto"/>
        <w:ind w:left="720" w:hanging="720"/>
        <w:rPr>
          <w:rFonts w:eastAsiaTheme="minorHAnsi"/>
          <w:noProof/>
          <w:sz w:val="20"/>
          <w:szCs w:val="20"/>
        </w:rPr>
      </w:pPr>
      <w:bookmarkStart w:id="30" w:name="_ENREF_32"/>
      <w:r w:rsidRPr="00F750C5">
        <w:rPr>
          <w:rFonts w:eastAsiaTheme="minorHAnsi"/>
          <w:noProof/>
          <w:sz w:val="20"/>
          <w:szCs w:val="20"/>
        </w:rPr>
        <w:t>32. Enz T, Bay K (2011) Post-Construction Monitoring at the Linden Ranch Wind Farm, Klickitat County, Washington. Final Report: June 30, 2010 - July 17, 2011.</w:t>
      </w:r>
      <w:bookmarkEnd w:id="30"/>
    </w:p>
    <w:p w:rsidR="00F750C5" w:rsidRPr="00F750C5" w:rsidRDefault="00F750C5" w:rsidP="00F750C5">
      <w:pPr>
        <w:keepLines/>
        <w:spacing w:after="120" w:line="240" w:lineRule="auto"/>
        <w:ind w:left="720" w:hanging="720"/>
        <w:rPr>
          <w:rFonts w:eastAsiaTheme="minorHAnsi"/>
          <w:noProof/>
          <w:sz w:val="20"/>
          <w:szCs w:val="20"/>
        </w:rPr>
      </w:pPr>
      <w:bookmarkStart w:id="31" w:name="_ENREF_33"/>
      <w:r w:rsidRPr="00F750C5">
        <w:rPr>
          <w:rFonts w:eastAsiaTheme="minorHAnsi"/>
          <w:noProof/>
          <w:sz w:val="20"/>
          <w:szCs w:val="20"/>
        </w:rPr>
        <w:t>33. URS Corporation (2010) Final Marengo I Wind Project Year One Avian Mortality Monitoring Report.</w:t>
      </w:r>
      <w:bookmarkEnd w:id="31"/>
    </w:p>
    <w:p w:rsidR="00F750C5" w:rsidRPr="00F750C5" w:rsidRDefault="00F750C5" w:rsidP="00F750C5">
      <w:pPr>
        <w:keepLines/>
        <w:spacing w:after="120" w:line="240" w:lineRule="auto"/>
        <w:ind w:left="720" w:hanging="720"/>
        <w:rPr>
          <w:rFonts w:eastAsiaTheme="minorHAnsi"/>
          <w:noProof/>
          <w:sz w:val="20"/>
          <w:szCs w:val="20"/>
        </w:rPr>
      </w:pPr>
      <w:bookmarkStart w:id="32" w:name="_ENREF_34"/>
      <w:r w:rsidRPr="00F750C5">
        <w:rPr>
          <w:rFonts w:eastAsiaTheme="minorHAnsi"/>
          <w:noProof/>
          <w:sz w:val="20"/>
          <w:szCs w:val="20"/>
        </w:rPr>
        <w:t>34. URS Corporation (2010) Final Marengo II Wind Project Year One Avian Mortality Monitoring Report.</w:t>
      </w:r>
      <w:bookmarkEnd w:id="32"/>
    </w:p>
    <w:p w:rsidR="00F750C5" w:rsidRPr="00F750C5" w:rsidRDefault="00F750C5" w:rsidP="00F750C5">
      <w:pPr>
        <w:keepLines/>
        <w:spacing w:after="120" w:line="240" w:lineRule="auto"/>
        <w:ind w:left="720" w:hanging="720"/>
        <w:rPr>
          <w:rFonts w:eastAsiaTheme="minorHAnsi"/>
          <w:noProof/>
          <w:sz w:val="20"/>
          <w:szCs w:val="20"/>
        </w:rPr>
      </w:pPr>
      <w:bookmarkStart w:id="33" w:name="_ENREF_35"/>
      <w:r w:rsidRPr="00F750C5">
        <w:rPr>
          <w:rFonts w:eastAsiaTheme="minorHAnsi"/>
          <w:noProof/>
          <w:sz w:val="20"/>
          <w:szCs w:val="20"/>
        </w:rPr>
        <w:t>35. Erickson WP, Kronner K, Gritski R (2003) Nine Canyon Wind Power Project Avian and Bat Monitoring Report. September 2002 – August 2003.</w:t>
      </w:r>
      <w:bookmarkEnd w:id="33"/>
    </w:p>
    <w:p w:rsidR="00F750C5" w:rsidRPr="00F750C5" w:rsidRDefault="00F750C5" w:rsidP="00F750C5">
      <w:pPr>
        <w:keepLines/>
        <w:spacing w:after="120" w:line="240" w:lineRule="auto"/>
        <w:ind w:left="720" w:hanging="720"/>
        <w:rPr>
          <w:rFonts w:eastAsiaTheme="minorHAnsi"/>
          <w:noProof/>
          <w:sz w:val="20"/>
          <w:szCs w:val="20"/>
        </w:rPr>
      </w:pPr>
      <w:bookmarkStart w:id="34" w:name="_ENREF_36"/>
      <w:r w:rsidRPr="00F750C5">
        <w:rPr>
          <w:rFonts w:eastAsiaTheme="minorHAnsi"/>
          <w:noProof/>
          <w:sz w:val="20"/>
          <w:szCs w:val="20"/>
        </w:rPr>
        <w:t>36. Erickson WP, Jeffrey J, Kronner K, Bay K (2004) Stateline Wind Project Wildlife Monitoring Annual Report. July 2001 - December 2003.</w:t>
      </w:r>
      <w:bookmarkEnd w:id="34"/>
    </w:p>
    <w:p w:rsidR="00F750C5" w:rsidRPr="00F750C5" w:rsidRDefault="00F750C5" w:rsidP="00F750C5">
      <w:pPr>
        <w:keepLines/>
        <w:spacing w:after="120" w:line="240" w:lineRule="auto"/>
        <w:ind w:left="720" w:hanging="720"/>
        <w:rPr>
          <w:rFonts w:eastAsiaTheme="minorHAnsi"/>
          <w:noProof/>
          <w:sz w:val="20"/>
          <w:szCs w:val="20"/>
        </w:rPr>
      </w:pPr>
      <w:bookmarkStart w:id="35" w:name="_ENREF_37"/>
      <w:r w:rsidRPr="00F750C5">
        <w:rPr>
          <w:rFonts w:eastAsiaTheme="minorHAnsi"/>
          <w:noProof/>
          <w:sz w:val="20"/>
          <w:szCs w:val="20"/>
        </w:rPr>
        <w:t>37. Erickson WP, Kronner K, Bay KJ (2007) Stateline 2 Wind Project Wildlife Monitoring Report, January - December 2006.</w:t>
      </w:r>
      <w:bookmarkEnd w:id="35"/>
    </w:p>
    <w:p w:rsidR="00F750C5" w:rsidRPr="00F750C5" w:rsidRDefault="00F750C5" w:rsidP="00F750C5">
      <w:pPr>
        <w:keepLines/>
        <w:spacing w:after="120" w:line="240" w:lineRule="auto"/>
        <w:ind w:left="720" w:hanging="720"/>
        <w:rPr>
          <w:rFonts w:eastAsiaTheme="minorHAnsi"/>
          <w:noProof/>
          <w:sz w:val="20"/>
          <w:szCs w:val="20"/>
        </w:rPr>
      </w:pPr>
      <w:bookmarkStart w:id="36" w:name="_ENREF_38"/>
      <w:r w:rsidRPr="00F750C5">
        <w:rPr>
          <w:rFonts w:eastAsiaTheme="minorHAnsi"/>
          <w:noProof/>
          <w:sz w:val="20"/>
          <w:szCs w:val="20"/>
        </w:rPr>
        <w:t>38. Erickson WP, Johnson GD, Strickland MD, Kronner K (2000) Avian and Bat Mortality Associated with the Vansycle Wind Project, Umatilla County, Oregon: 1999 Study Year.</w:t>
      </w:r>
      <w:bookmarkEnd w:id="36"/>
    </w:p>
    <w:p w:rsidR="00F750C5" w:rsidRPr="00F750C5" w:rsidRDefault="00F750C5" w:rsidP="00F750C5">
      <w:pPr>
        <w:keepLines/>
        <w:spacing w:after="120" w:line="240" w:lineRule="auto"/>
        <w:ind w:left="720" w:hanging="720"/>
        <w:rPr>
          <w:rFonts w:eastAsiaTheme="minorHAnsi"/>
          <w:noProof/>
          <w:sz w:val="20"/>
          <w:szCs w:val="20"/>
        </w:rPr>
      </w:pPr>
      <w:bookmarkStart w:id="37" w:name="_ENREF_39"/>
      <w:r w:rsidRPr="00F750C5">
        <w:rPr>
          <w:rFonts w:eastAsiaTheme="minorHAnsi"/>
          <w:noProof/>
          <w:sz w:val="20"/>
          <w:szCs w:val="20"/>
        </w:rPr>
        <w:t>39. Ventus Environmental Solutions (Ventus) (2012) Vantage Wind Energy Center Avian and Bat Monitoring Study: March 2011- March 2012.</w:t>
      </w:r>
      <w:bookmarkEnd w:id="37"/>
    </w:p>
    <w:p w:rsidR="00F750C5" w:rsidRPr="00F750C5" w:rsidRDefault="00F750C5" w:rsidP="00F750C5">
      <w:pPr>
        <w:keepLines/>
        <w:spacing w:after="120" w:line="240" w:lineRule="auto"/>
        <w:ind w:left="720" w:hanging="720"/>
        <w:rPr>
          <w:rFonts w:eastAsiaTheme="minorHAnsi"/>
          <w:noProof/>
          <w:sz w:val="20"/>
          <w:szCs w:val="20"/>
        </w:rPr>
      </w:pPr>
      <w:bookmarkStart w:id="38" w:name="_ENREF_40"/>
      <w:r w:rsidRPr="00F750C5">
        <w:rPr>
          <w:rFonts w:eastAsiaTheme="minorHAnsi"/>
          <w:noProof/>
          <w:sz w:val="20"/>
          <w:szCs w:val="20"/>
        </w:rPr>
        <w:t>40. Erickson WP, Jeffrey J, Poulton VK (2008) Avian and Bat Monitoring: Year 1 Report. Puget Sound Energy Wild Horse Wind Project, Kittitas County, Washington.</w:t>
      </w:r>
      <w:bookmarkEnd w:id="38"/>
    </w:p>
    <w:p w:rsidR="00F750C5" w:rsidRPr="00F750C5" w:rsidRDefault="00F750C5" w:rsidP="00F750C5">
      <w:pPr>
        <w:keepLines/>
        <w:spacing w:after="120" w:line="240" w:lineRule="auto"/>
        <w:ind w:left="720" w:hanging="720"/>
        <w:rPr>
          <w:rFonts w:eastAsiaTheme="minorHAnsi"/>
          <w:noProof/>
          <w:sz w:val="20"/>
          <w:szCs w:val="20"/>
        </w:rPr>
      </w:pPr>
      <w:bookmarkStart w:id="39" w:name="_ENREF_41"/>
      <w:r w:rsidRPr="00F750C5">
        <w:rPr>
          <w:rFonts w:eastAsiaTheme="minorHAnsi"/>
          <w:noProof/>
          <w:sz w:val="20"/>
          <w:szCs w:val="20"/>
        </w:rPr>
        <w:t>41. Enz T, Bay K, Nomani S, Kesterke M (2011) Bird and Bat Fatality Monitoring Study, Windy Flats and Windy Point II Wind Energy Projects, Klickitat County, Washington. Final Report: February 1, 2010 - January 14, 2011.</w:t>
      </w:r>
      <w:bookmarkEnd w:id="39"/>
    </w:p>
    <w:p w:rsidR="00F750C5" w:rsidRPr="00F750C5" w:rsidRDefault="00F750C5" w:rsidP="00F750C5">
      <w:pPr>
        <w:keepLines/>
        <w:spacing w:after="120" w:line="240" w:lineRule="auto"/>
        <w:ind w:left="720" w:hanging="720"/>
        <w:rPr>
          <w:rFonts w:eastAsiaTheme="minorHAnsi"/>
          <w:noProof/>
          <w:sz w:val="20"/>
          <w:szCs w:val="20"/>
        </w:rPr>
      </w:pPr>
      <w:bookmarkStart w:id="40" w:name="_ENREF_42"/>
      <w:r w:rsidRPr="00F750C5">
        <w:rPr>
          <w:rFonts w:eastAsiaTheme="minorHAnsi"/>
          <w:noProof/>
          <w:sz w:val="20"/>
          <w:szCs w:val="20"/>
        </w:rPr>
        <w:t>42. Tidhar D, Tidhar WL, McManus L, Courage Z (2011) 2010 Post-Construction Fatality Surveys for the Lempster Wind Project, Lempster, New Hampshire.</w:t>
      </w:r>
      <w:bookmarkEnd w:id="40"/>
    </w:p>
    <w:p w:rsidR="00F750C5" w:rsidRPr="00F750C5" w:rsidRDefault="00F750C5" w:rsidP="00F750C5">
      <w:pPr>
        <w:keepLines/>
        <w:spacing w:after="120" w:line="240" w:lineRule="auto"/>
        <w:ind w:left="720" w:hanging="720"/>
        <w:rPr>
          <w:rFonts w:eastAsiaTheme="minorHAnsi"/>
          <w:noProof/>
          <w:sz w:val="20"/>
          <w:szCs w:val="20"/>
        </w:rPr>
      </w:pPr>
      <w:bookmarkStart w:id="41" w:name="_ENREF_43"/>
      <w:r w:rsidRPr="00F750C5">
        <w:rPr>
          <w:rFonts w:eastAsiaTheme="minorHAnsi"/>
          <w:noProof/>
          <w:sz w:val="20"/>
          <w:szCs w:val="20"/>
        </w:rPr>
        <w:lastRenderedPageBreak/>
        <w:t>43. Jain A, Kerlinger P, Curry R, Slobodnik L (2009) Annual Report for the Maple Ridge Wind Power Project: Post-Construction Bird and Bat Fatality Study - 2007.</w:t>
      </w:r>
      <w:bookmarkEnd w:id="41"/>
    </w:p>
    <w:p w:rsidR="00F750C5" w:rsidRPr="00F750C5" w:rsidRDefault="00F750C5" w:rsidP="00F750C5">
      <w:pPr>
        <w:keepLines/>
        <w:spacing w:after="120" w:line="240" w:lineRule="auto"/>
        <w:ind w:left="720" w:hanging="720"/>
        <w:rPr>
          <w:rFonts w:eastAsiaTheme="minorHAnsi"/>
          <w:noProof/>
          <w:sz w:val="20"/>
          <w:szCs w:val="20"/>
        </w:rPr>
      </w:pPr>
      <w:bookmarkStart w:id="42" w:name="_ENREF_44"/>
      <w:r w:rsidRPr="00F750C5">
        <w:rPr>
          <w:rFonts w:eastAsiaTheme="minorHAnsi"/>
          <w:noProof/>
          <w:sz w:val="20"/>
          <w:szCs w:val="20"/>
        </w:rPr>
        <w:t>44. Jain A, Kerlinger P, Curry R, Slobodnik L, Lehman M (2009) Maple Ridge Wind Power Avian and Bat Fatality Study Report - 2008.</w:t>
      </w:r>
      <w:bookmarkEnd w:id="42"/>
    </w:p>
    <w:p w:rsidR="00F750C5" w:rsidRPr="00F750C5" w:rsidRDefault="00F750C5" w:rsidP="00F750C5">
      <w:pPr>
        <w:keepLines/>
        <w:spacing w:after="120" w:line="240" w:lineRule="auto"/>
        <w:ind w:left="720" w:hanging="720"/>
        <w:rPr>
          <w:rFonts w:eastAsiaTheme="minorHAnsi"/>
          <w:noProof/>
          <w:sz w:val="20"/>
          <w:szCs w:val="20"/>
        </w:rPr>
      </w:pPr>
      <w:bookmarkStart w:id="43" w:name="_ENREF_45"/>
      <w:r w:rsidRPr="00F750C5">
        <w:rPr>
          <w:rFonts w:eastAsiaTheme="minorHAnsi"/>
          <w:noProof/>
          <w:sz w:val="20"/>
          <w:szCs w:val="20"/>
        </w:rPr>
        <w:t>45. Jain A, Kerlinger P, Slobodnik L, Curry R, Russell K (2011) Annual Report for the Noble Altona Windpark, LLC: Postconstruction Bird and Bat Fatality Study - 2010.</w:t>
      </w:r>
      <w:bookmarkEnd w:id="43"/>
    </w:p>
    <w:p w:rsidR="00F750C5" w:rsidRPr="00F750C5" w:rsidRDefault="00F750C5" w:rsidP="00F750C5">
      <w:pPr>
        <w:keepLines/>
        <w:spacing w:after="120" w:line="240" w:lineRule="auto"/>
        <w:ind w:left="720" w:hanging="720"/>
        <w:rPr>
          <w:rFonts w:eastAsiaTheme="minorHAnsi"/>
          <w:noProof/>
          <w:sz w:val="20"/>
          <w:szCs w:val="20"/>
        </w:rPr>
      </w:pPr>
      <w:bookmarkStart w:id="44" w:name="_ENREF_46"/>
      <w:r w:rsidRPr="00F750C5">
        <w:rPr>
          <w:rFonts w:eastAsiaTheme="minorHAnsi"/>
          <w:noProof/>
          <w:sz w:val="20"/>
          <w:szCs w:val="20"/>
        </w:rPr>
        <w:t>46. Jain A, Kerlinger P, Slobodnik L, Curry R, Russell K (2011) Annual Report for the Noble Chateaugay Windpark, LLC: Postconstruction Bird and Bat Fatality Study - 2010.</w:t>
      </w:r>
      <w:bookmarkEnd w:id="44"/>
    </w:p>
    <w:p w:rsidR="00F750C5" w:rsidRPr="00F750C5" w:rsidRDefault="00F750C5" w:rsidP="00F750C5">
      <w:pPr>
        <w:keepLines/>
        <w:spacing w:after="120" w:line="240" w:lineRule="auto"/>
        <w:ind w:left="720" w:hanging="720"/>
        <w:rPr>
          <w:rFonts w:eastAsiaTheme="minorHAnsi"/>
          <w:noProof/>
          <w:sz w:val="20"/>
          <w:szCs w:val="20"/>
        </w:rPr>
      </w:pPr>
      <w:bookmarkStart w:id="45" w:name="_ENREF_47"/>
      <w:r w:rsidRPr="00F750C5">
        <w:rPr>
          <w:rFonts w:eastAsiaTheme="minorHAnsi"/>
          <w:noProof/>
          <w:sz w:val="20"/>
          <w:szCs w:val="20"/>
        </w:rPr>
        <w:t>47. Jain A, Kerlinger P, Curry R, Slobodnik L, Histed J, et al. (2009) Annual Report for the Noble Clinton Windpark, LLC, Postconstruction Bird and Bat Fatality Study - 2008.</w:t>
      </w:r>
      <w:bookmarkEnd w:id="45"/>
    </w:p>
    <w:p w:rsidR="00F750C5" w:rsidRPr="00F750C5" w:rsidRDefault="00F750C5" w:rsidP="00F750C5">
      <w:pPr>
        <w:keepLines/>
        <w:spacing w:after="120" w:line="240" w:lineRule="auto"/>
        <w:ind w:left="720" w:hanging="720"/>
        <w:rPr>
          <w:rFonts w:eastAsiaTheme="minorHAnsi"/>
          <w:noProof/>
          <w:sz w:val="20"/>
          <w:szCs w:val="20"/>
        </w:rPr>
      </w:pPr>
      <w:bookmarkStart w:id="46" w:name="_ENREF_48"/>
      <w:r w:rsidRPr="00F750C5">
        <w:rPr>
          <w:rFonts w:eastAsiaTheme="minorHAnsi"/>
          <w:noProof/>
          <w:sz w:val="20"/>
          <w:szCs w:val="20"/>
        </w:rPr>
        <w:t>48. Jain A, Kerlinger P, Slobodnik L, Curry R, Russell K (2010) Annual Report for the Noble Clinton Windpark, LLC: Postconstruction Bird and Bat Fatality Study - 2009.</w:t>
      </w:r>
      <w:bookmarkEnd w:id="46"/>
    </w:p>
    <w:p w:rsidR="00F750C5" w:rsidRPr="00F750C5" w:rsidRDefault="00F750C5" w:rsidP="00F750C5">
      <w:pPr>
        <w:keepLines/>
        <w:spacing w:after="120" w:line="240" w:lineRule="auto"/>
        <w:ind w:left="720" w:hanging="720"/>
        <w:rPr>
          <w:rFonts w:eastAsiaTheme="minorHAnsi"/>
          <w:noProof/>
          <w:sz w:val="20"/>
          <w:szCs w:val="20"/>
        </w:rPr>
      </w:pPr>
      <w:bookmarkStart w:id="47" w:name="_ENREF_49"/>
      <w:r w:rsidRPr="00F750C5">
        <w:rPr>
          <w:rFonts w:eastAsiaTheme="minorHAnsi"/>
          <w:noProof/>
          <w:sz w:val="20"/>
          <w:szCs w:val="20"/>
        </w:rPr>
        <w:t>49. Jain A, Kerlinger P, Curry R, Slobodnik L, Fuerst A, et al. (2009) Annual Report for the Noble Ellenburg Windpark, LLC, Postconstruction Bird and Bat Fatality Study - 2008.</w:t>
      </w:r>
      <w:bookmarkEnd w:id="47"/>
    </w:p>
    <w:p w:rsidR="00F750C5" w:rsidRPr="00F750C5" w:rsidRDefault="00F750C5" w:rsidP="00F750C5">
      <w:pPr>
        <w:keepLines/>
        <w:spacing w:after="120" w:line="240" w:lineRule="auto"/>
        <w:ind w:left="720" w:hanging="720"/>
        <w:rPr>
          <w:rFonts w:eastAsiaTheme="minorHAnsi"/>
          <w:noProof/>
          <w:sz w:val="20"/>
          <w:szCs w:val="20"/>
        </w:rPr>
      </w:pPr>
      <w:bookmarkStart w:id="48" w:name="_ENREF_50"/>
      <w:r w:rsidRPr="00F750C5">
        <w:rPr>
          <w:rFonts w:eastAsiaTheme="minorHAnsi"/>
          <w:noProof/>
          <w:sz w:val="20"/>
          <w:szCs w:val="20"/>
        </w:rPr>
        <w:t>50. Jain A, Kerlinger P, Slobodnik L, Curry R, Russell K (2010) Annual Report for the Noble Ellenburg Windpark, LLC: Postconstruction Bird and Bat Fatality Study - 2009.</w:t>
      </w:r>
      <w:bookmarkEnd w:id="48"/>
    </w:p>
    <w:p w:rsidR="00F750C5" w:rsidRPr="00F750C5" w:rsidRDefault="00F750C5" w:rsidP="00F750C5">
      <w:pPr>
        <w:keepLines/>
        <w:spacing w:after="120" w:line="240" w:lineRule="auto"/>
        <w:ind w:left="720" w:hanging="720"/>
        <w:rPr>
          <w:rFonts w:eastAsiaTheme="minorHAnsi"/>
          <w:noProof/>
          <w:sz w:val="20"/>
          <w:szCs w:val="20"/>
        </w:rPr>
      </w:pPr>
      <w:bookmarkStart w:id="49" w:name="_ENREF_51"/>
      <w:r w:rsidRPr="00F750C5">
        <w:rPr>
          <w:rFonts w:eastAsiaTheme="minorHAnsi"/>
          <w:noProof/>
          <w:sz w:val="20"/>
          <w:szCs w:val="20"/>
        </w:rPr>
        <w:t>51. Chatfield A, Erickson WP, Bay K (2010) Final Report: Avian and Bat Fatality Study at the Alite Wind-Energy Facility, Kern County, California. Final Report: June 15, 2009 – June 15, 2010.</w:t>
      </w:r>
      <w:bookmarkEnd w:id="49"/>
    </w:p>
    <w:p w:rsidR="00F750C5" w:rsidRPr="00F750C5" w:rsidRDefault="00F750C5" w:rsidP="00F750C5">
      <w:pPr>
        <w:keepLines/>
        <w:spacing w:after="120" w:line="240" w:lineRule="auto"/>
        <w:ind w:left="720" w:hanging="720"/>
        <w:rPr>
          <w:rFonts w:eastAsiaTheme="minorHAnsi"/>
          <w:noProof/>
          <w:sz w:val="20"/>
          <w:szCs w:val="20"/>
        </w:rPr>
      </w:pPr>
      <w:bookmarkStart w:id="50" w:name="_ENREF_52"/>
      <w:r w:rsidRPr="00F750C5">
        <w:rPr>
          <w:rFonts w:eastAsiaTheme="minorHAnsi"/>
          <w:noProof/>
          <w:sz w:val="20"/>
          <w:szCs w:val="20"/>
        </w:rPr>
        <w:t>52. Western EcoSystems Technology, Inc. (WEST) (2006) Diablo Winds Wildlife Monitoring Progress Report, March 2005 - February 2006. Cheyenne, Wyoming: WEST.</w:t>
      </w:r>
      <w:bookmarkEnd w:id="50"/>
    </w:p>
    <w:p w:rsidR="00F750C5" w:rsidRPr="00F750C5" w:rsidRDefault="00F750C5" w:rsidP="00F750C5">
      <w:pPr>
        <w:keepLines/>
        <w:spacing w:after="120" w:line="240" w:lineRule="auto"/>
        <w:ind w:left="720" w:hanging="720"/>
        <w:rPr>
          <w:rFonts w:eastAsiaTheme="minorHAnsi"/>
          <w:noProof/>
          <w:sz w:val="20"/>
          <w:szCs w:val="20"/>
        </w:rPr>
      </w:pPr>
      <w:bookmarkStart w:id="51" w:name="_ENREF_53"/>
      <w:r w:rsidRPr="00F750C5">
        <w:rPr>
          <w:rFonts w:eastAsiaTheme="minorHAnsi"/>
          <w:noProof/>
          <w:sz w:val="20"/>
          <w:szCs w:val="20"/>
        </w:rPr>
        <w:t>53. Western EcoSystems Technology, Inc. (WEST) (2008) Diablo Winds Wildlife Monitoring Progress Report: March 2005 – February 2007.</w:t>
      </w:r>
      <w:bookmarkEnd w:id="51"/>
    </w:p>
    <w:p w:rsidR="00F750C5" w:rsidRPr="00F750C5" w:rsidRDefault="00F750C5" w:rsidP="00F750C5">
      <w:pPr>
        <w:keepLines/>
        <w:spacing w:after="120" w:line="240" w:lineRule="auto"/>
        <w:ind w:left="720" w:hanging="720"/>
        <w:rPr>
          <w:rFonts w:eastAsiaTheme="minorHAnsi"/>
          <w:noProof/>
          <w:sz w:val="20"/>
          <w:szCs w:val="20"/>
        </w:rPr>
      </w:pPr>
      <w:bookmarkStart w:id="52" w:name="_ENREF_54"/>
      <w:r w:rsidRPr="00F750C5">
        <w:rPr>
          <w:rFonts w:eastAsiaTheme="minorHAnsi"/>
          <w:noProof/>
          <w:sz w:val="20"/>
          <w:szCs w:val="20"/>
        </w:rPr>
        <w:t>54. Chatfield A, Erickson W, Bay K (2009) Avian and Bat Fatality Study, Dillon Wind-Energy Facility, Riverside County, California. Final Report: March 26, 2008 - March 26, 2009.</w:t>
      </w:r>
      <w:bookmarkEnd w:id="52"/>
    </w:p>
    <w:p w:rsidR="00F750C5" w:rsidRPr="00F750C5" w:rsidRDefault="00F750C5" w:rsidP="00F750C5">
      <w:pPr>
        <w:keepLines/>
        <w:spacing w:after="120" w:line="240" w:lineRule="auto"/>
        <w:ind w:left="720" w:hanging="720"/>
        <w:rPr>
          <w:rFonts w:eastAsiaTheme="minorHAnsi"/>
          <w:noProof/>
          <w:sz w:val="20"/>
          <w:szCs w:val="20"/>
        </w:rPr>
      </w:pPr>
      <w:bookmarkStart w:id="53" w:name="_ENREF_55"/>
      <w:r w:rsidRPr="00F750C5">
        <w:rPr>
          <w:rFonts w:eastAsiaTheme="minorHAnsi"/>
          <w:noProof/>
          <w:sz w:val="20"/>
          <w:szCs w:val="20"/>
        </w:rPr>
        <w:t>55. BioResource Consultants, Inc. (BRC) (2010) 2009/2010 Annual Report: Bird and Bat Mortality Monitoring, Pine Tree Wind Farm, Kern County, California.</w:t>
      </w:r>
      <w:bookmarkEnd w:id="53"/>
    </w:p>
    <w:p w:rsidR="00F750C5" w:rsidRPr="00F750C5" w:rsidRDefault="00F750C5" w:rsidP="00F750C5">
      <w:pPr>
        <w:keepLines/>
        <w:spacing w:after="120" w:line="240" w:lineRule="auto"/>
        <w:ind w:left="720" w:hanging="720"/>
        <w:rPr>
          <w:rFonts w:eastAsiaTheme="minorHAnsi"/>
          <w:noProof/>
          <w:sz w:val="20"/>
          <w:szCs w:val="20"/>
        </w:rPr>
      </w:pPr>
      <w:bookmarkStart w:id="54" w:name="_ENREF_56"/>
      <w:r w:rsidRPr="00F750C5">
        <w:rPr>
          <w:rFonts w:eastAsiaTheme="minorHAnsi"/>
          <w:noProof/>
          <w:sz w:val="20"/>
          <w:szCs w:val="20"/>
        </w:rPr>
        <w:t>56. Kerlinger P, Curry R, Culp L, Hasch A, Jain A (2009) Post-Construction Avian Monitoring Study for the Shiloh I Wind Power Project, Solano County, California. Final Report: October 2009.</w:t>
      </w:r>
      <w:bookmarkEnd w:id="54"/>
    </w:p>
    <w:p w:rsidR="00F750C5" w:rsidRPr="00F750C5" w:rsidRDefault="00F750C5" w:rsidP="00F750C5">
      <w:pPr>
        <w:keepLines/>
        <w:spacing w:after="120" w:line="240" w:lineRule="auto"/>
        <w:ind w:left="720" w:hanging="720"/>
        <w:rPr>
          <w:rFonts w:eastAsiaTheme="minorHAnsi"/>
          <w:noProof/>
          <w:sz w:val="20"/>
          <w:szCs w:val="20"/>
        </w:rPr>
      </w:pPr>
      <w:bookmarkStart w:id="55" w:name="_ENREF_57"/>
      <w:r w:rsidRPr="00F750C5">
        <w:rPr>
          <w:rFonts w:eastAsiaTheme="minorHAnsi"/>
          <w:noProof/>
          <w:sz w:val="20"/>
          <w:szCs w:val="20"/>
        </w:rPr>
        <w:t>57. Kerlinger P, Curry R, Culp L, Hasch A, Jain A (2010) Post-Construction Avian Monitoring Study for the Shiloh II Wind Power Project, Solano County, California. Year One Report.</w:t>
      </w:r>
      <w:bookmarkEnd w:id="55"/>
    </w:p>
    <w:p w:rsidR="00F750C5" w:rsidRPr="00F750C5" w:rsidRDefault="00F750C5" w:rsidP="00F750C5">
      <w:pPr>
        <w:keepLines/>
        <w:spacing w:after="120" w:line="240" w:lineRule="auto"/>
        <w:ind w:left="720" w:hanging="720"/>
        <w:rPr>
          <w:rFonts w:eastAsiaTheme="minorHAnsi"/>
          <w:noProof/>
          <w:sz w:val="20"/>
          <w:szCs w:val="20"/>
        </w:rPr>
      </w:pPr>
      <w:bookmarkStart w:id="56" w:name="_ENREF_58"/>
      <w:r w:rsidRPr="00F750C5">
        <w:rPr>
          <w:rFonts w:eastAsiaTheme="minorHAnsi"/>
          <w:noProof/>
          <w:sz w:val="20"/>
          <w:szCs w:val="20"/>
        </w:rPr>
        <w:t>58. Western EcoSystems Technology, Inc. (WEST) (2011) Post-Construction Fatality Surveys for the Barton Chapel Wind Project: Iberdrola Renewables. Version: July 2011.</w:t>
      </w:r>
      <w:bookmarkEnd w:id="56"/>
    </w:p>
    <w:p w:rsidR="00F750C5" w:rsidRPr="00F750C5" w:rsidRDefault="00F750C5" w:rsidP="00F750C5">
      <w:pPr>
        <w:keepLines/>
        <w:spacing w:after="120" w:line="240" w:lineRule="auto"/>
        <w:ind w:left="720" w:hanging="720"/>
        <w:rPr>
          <w:rFonts w:eastAsiaTheme="minorHAnsi"/>
          <w:noProof/>
          <w:sz w:val="20"/>
          <w:szCs w:val="20"/>
        </w:rPr>
      </w:pPr>
      <w:bookmarkStart w:id="57" w:name="_ENREF_59"/>
      <w:r w:rsidRPr="00F750C5">
        <w:rPr>
          <w:rFonts w:eastAsiaTheme="minorHAnsi"/>
          <w:noProof/>
          <w:sz w:val="20"/>
          <w:szCs w:val="20"/>
        </w:rPr>
        <w:t>59. Gruver J, Sonnenberg M, Bay K, Erickson W (2009) Post-Construction Bat and Bird Fatality Study at the Blue Sky Green Field Wind Energy Center, Fond Du Lac County, Wisconsin July 21 - October 31, 2008 and March 15 - June 4, 2009.</w:t>
      </w:r>
      <w:bookmarkEnd w:id="57"/>
    </w:p>
    <w:p w:rsidR="00F750C5" w:rsidRPr="00F750C5" w:rsidRDefault="00F750C5" w:rsidP="00F750C5">
      <w:pPr>
        <w:keepLines/>
        <w:spacing w:after="120" w:line="240" w:lineRule="auto"/>
        <w:ind w:left="720" w:hanging="720"/>
        <w:rPr>
          <w:rFonts w:eastAsiaTheme="minorHAnsi"/>
          <w:noProof/>
          <w:sz w:val="20"/>
          <w:szCs w:val="20"/>
        </w:rPr>
      </w:pPr>
      <w:bookmarkStart w:id="58" w:name="_ENREF_60"/>
      <w:r w:rsidRPr="00F750C5">
        <w:rPr>
          <w:rFonts w:eastAsiaTheme="minorHAnsi"/>
          <w:noProof/>
          <w:sz w:val="20"/>
          <w:szCs w:val="20"/>
        </w:rPr>
        <w:t>60. Tierney R (2007) Buffalo Gap I Wind Farm Avian Mortality Study: February 2006-January 2007.</w:t>
      </w:r>
      <w:bookmarkEnd w:id="58"/>
    </w:p>
    <w:p w:rsidR="00F750C5" w:rsidRPr="00F750C5" w:rsidRDefault="00F750C5" w:rsidP="00F750C5">
      <w:pPr>
        <w:keepLines/>
        <w:spacing w:after="120" w:line="240" w:lineRule="auto"/>
        <w:ind w:left="720" w:hanging="720"/>
        <w:rPr>
          <w:rFonts w:eastAsiaTheme="minorHAnsi"/>
          <w:noProof/>
          <w:sz w:val="20"/>
          <w:szCs w:val="20"/>
        </w:rPr>
      </w:pPr>
      <w:bookmarkStart w:id="59" w:name="_ENREF_61"/>
      <w:r w:rsidRPr="00F750C5">
        <w:rPr>
          <w:rFonts w:eastAsiaTheme="minorHAnsi"/>
          <w:noProof/>
          <w:sz w:val="20"/>
          <w:szCs w:val="20"/>
        </w:rPr>
        <w:t>61. Tierney R (2009) Buffalo Gap 2 Wind Farm Avian Mortality Study: July 2007 - December 2008. Final Survey Report.</w:t>
      </w:r>
      <w:bookmarkEnd w:id="59"/>
    </w:p>
    <w:p w:rsidR="00F750C5" w:rsidRPr="00F750C5" w:rsidRDefault="00F750C5" w:rsidP="00F750C5">
      <w:pPr>
        <w:keepLines/>
        <w:spacing w:after="120" w:line="240" w:lineRule="auto"/>
        <w:ind w:left="720" w:hanging="720"/>
        <w:rPr>
          <w:rFonts w:eastAsiaTheme="minorHAnsi"/>
          <w:noProof/>
          <w:sz w:val="20"/>
          <w:szCs w:val="20"/>
        </w:rPr>
      </w:pPr>
      <w:bookmarkStart w:id="60" w:name="_ENREF_62"/>
      <w:r w:rsidRPr="00F750C5">
        <w:rPr>
          <w:rFonts w:eastAsiaTheme="minorHAnsi"/>
          <w:noProof/>
          <w:sz w:val="20"/>
          <w:szCs w:val="20"/>
        </w:rPr>
        <w:t>62. Johnson GD, Erickson WP, Strickland MD, Shepherd MF, Shepherd DA (2000) Avian Monitoring Studies at the Buffalo Ridge Wind Resource Area, Minnesota: Results of a 4-Year Study. 212 pp.</w:t>
      </w:r>
    </w:p>
    <w:p w:rsidR="00F750C5" w:rsidRPr="00F750C5" w:rsidRDefault="00F750C5" w:rsidP="00F750C5">
      <w:pPr>
        <w:keepLines/>
        <w:spacing w:after="120" w:line="240" w:lineRule="auto"/>
        <w:ind w:left="720" w:hanging="720"/>
        <w:rPr>
          <w:rFonts w:eastAsiaTheme="minorHAnsi"/>
          <w:noProof/>
          <w:sz w:val="20"/>
          <w:szCs w:val="20"/>
        </w:rPr>
      </w:pPr>
      <w:r w:rsidRPr="00F750C5">
        <w:rPr>
          <w:rFonts w:eastAsiaTheme="minorHAnsi"/>
          <w:noProof/>
          <w:sz w:val="20"/>
          <w:szCs w:val="20"/>
        </w:rPr>
        <w:t>63. Derby C, Chodachek K, Bay K, Merrill A (2010) Post-Construction Fatality Survey for the Buffalo Ridge I Wind Project. May 2009 - May 2010.</w:t>
      </w:r>
      <w:bookmarkEnd w:id="60"/>
    </w:p>
    <w:p w:rsidR="00F750C5" w:rsidRPr="00F750C5" w:rsidRDefault="00F750C5" w:rsidP="00F750C5">
      <w:pPr>
        <w:keepLines/>
        <w:spacing w:after="120" w:line="240" w:lineRule="auto"/>
        <w:ind w:left="720" w:hanging="720"/>
        <w:rPr>
          <w:rFonts w:eastAsiaTheme="minorHAnsi"/>
          <w:noProof/>
          <w:sz w:val="20"/>
          <w:szCs w:val="20"/>
        </w:rPr>
      </w:pPr>
      <w:bookmarkStart w:id="61" w:name="_ENREF_63"/>
      <w:r w:rsidRPr="00F750C5">
        <w:rPr>
          <w:rFonts w:eastAsiaTheme="minorHAnsi"/>
          <w:noProof/>
          <w:sz w:val="20"/>
          <w:szCs w:val="20"/>
        </w:rPr>
        <w:t>64. Derby C, Chodachek K, Sonnenberg M (2012) Post-Construction Casualty Surveys for the Buffalo Ridge II Wind Project. Iberdrola Renewables: March 2011- February 2012.</w:t>
      </w:r>
      <w:bookmarkEnd w:id="61"/>
    </w:p>
    <w:p w:rsidR="00F750C5" w:rsidRPr="00F750C5" w:rsidRDefault="00F750C5" w:rsidP="00F750C5">
      <w:pPr>
        <w:keepLines/>
        <w:spacing w:after="120" w:line="240" w:lineRule="auto"/>
        <w:ind w:left="720" w:hanging="720"/>
        <w:rPr>
          <w:rFonts w:eastAsiaTheme="minorHAnsi"/>
          <w:noProof/>
          <w:sz w:val="20"/>
          <w:szCs w:val="20"/>
        </w:rPr>
      </w:pPr>
      <w:bookmarkStart w:id="62" w:name="_ENREF_64"/>
      <w:r w:rsidRPr="00F750C5">
        <w:rPr>
          <w:rFonts w:eastAsiaTheme="minorHAnsi"/>
          <w:noProof/>
          <w:sz w:val="20"/>
          <w:szCs w:val="20"/>
        </w:rPr>
        <w:lastRenderedPageBreak/>
        <w:t>65. BHE Environmental, Inc. (BHE) (2010) Post-Construction Bird and Bat Mortality Study: Cedar Ridge Wind Farm, Fond Du Lac County, Wisconsin.</w:t>
      </w:r>
      <w:bookmarkEnd w:id="62"/>
    </w:p>
    <w:p w:rsidR="00F750C5" w:rsidRPr="00F750C5" w:rsidRDefault="00F750C5" w:rsidP="00F750C5">
      <w:pPr>
        <w:keepLines/>
        <w:spacing w:after="120" w:line="240" w:lineRule="auto"/>
        <w:ind w:left="720" w:hanging="720"/>
        <w:rPr>
          <w:rFonts w:eastAsiaTheme="minorHAnsi"/>
          <w:noProof/>
          <w:sz w:val="20"/>
          <w:szCs w:val="20"/>
        </w:rPr>
      </w:pPr>
      <w:bookmarkStart w:id="63" w:name="_ENREF_65"/>
      <w:r w:rsidRPr="00F750C5">
        <w:rPr>
          <w:rFonts w:eastAsiaTheme="minorHAnsi"/>
          <w:noProof/>
          <w:sz w:val="20"/>
          <w:szCs w:val="20"/>
        </w:rPr>
        <w:t>66. BHE Environmental, Inc. (BHE) (2011) Post-Construction Bird and Bat Mortality Study: Cedar Ridge Wind Farm, Fond Du Lac County, Wisconsin.</w:t>
      </w:r>
      <w:bookmarkEnd w:id="63"/>
    </w:p>
    <w:p w:rsidR="00F750C5" w:rsidRPr="00F750C5" w:rsidRDefault="00F750C5" w:rsidP="00F750C5">
      <w:pPr>
        <w:keepLines/>
        <w:spacing w:after="120" w:line="240" w:lineRule="auto"/>
        <w:ind w:left="720" w:hanging="720"/>
        <w:rPr>
          <w:rFonts w:eastAsiaTheme="minorHAnsi"/>
          <w:noProof/>
          <w:sz w:val="20"/>
          <w:szCs w:val="20"/>
        </w:rPr>
      </w:pPr>
      <w:bookmarkStart w:id="64" w:name="_ENREF_66"/>
      <w:r w:rsidRPr="00F750C5">
        <w:rPr>
          <w:rFonts w:eastAsiaTheme="minorHAnsi"/>
          <w:noProof/>
          <w:sz w:val="20"/>
          <w:szCs w:val="20"/>
        </w:rPr>
        <w:t>67. Derby C, Chodachek K, Bay K, Merrill A (2010) Post-Construction Fatality Surveys for the Elm Creek Wind Project: March 2009- February 2010.</w:t>
      </w:r>
      <w:bookmarkEnd w:id="64"/>
    </w:p>
    <w:p w:rsidR="00F750C5" w:rsidRPr="00F750C5" w:rsidRDefault="00F750C5" w:rsidP="00F750C5">
      <w:pPr>
        <w:keepLines/>
        <w:spacing w:after="120" w:line="240" w:lineRule="auto"/>
        <w:ind w:left="720" w:hanging="720"/>
        <w:rPr>
          <w:rFonts w:eastAsiaTheme="minorHAnsi"/>
          <w:noProof/>
          <w:sz w:val="20"/>
          <w:szCs w:val="20"/>
        </w:rPr>
      </w:pPr>
      <w:bookmarkStart w:id="65" w:name="_ENREF_67"/>
      <w:r w:rsidRPr="00F750C5">
        <w:rPr>
          <w:rFonts w:eastAsiaTheme="minorHAnsi"/>
          <w:noProof/>
          <w:sz w:val="20"/>
          <w:szCs w:val="20"/>
        </w:rPr>
        <w:t>68. Derby C, Chodachek K, Sonnenberg M (2012) Post-Construction Fatality Surveys for the Elm Creek II Wind Project. Iberdrola Renewables: March 2011-February 2012.</w:t>
      </w:r>
      <w:bookmarkStart w:id="66" w:name="_GoBack"/>
      <w:bookmarkEnd w:id="65"/>
      <w:bookmarkEnd w:id="66"/>
    </w:p>
    <w:p w:rsidR="00F750C5" w:rsidRPr="00F750C5" w:rsidRDefault="00F750C5" w:rsidP="00F750C5">
      <w:pPr>
        <w:keepLines/>
        <w:spacing w:after="120" w:line="240" w:lineRule="auto"/>
        <w:ind w:left="720" w:hanging="720"/>
        <w:rPr>
          <w:rFonts w:eastAsiaTheme="minorHAnsi"/>
          <w:noProof/>
          <w:sz w:val="20"/>
          <w:szCs w:val="20"/>
        </w:rPr>
      </w:pPr>
      <w:bookmarkStart w:id="67" w:name="_ENREF_68"/>
      <w:r w:rsidRPr="00F750C5">
        <w:rPr>
          <w:rFonts w:eastAsiaTheme="minorHAnsi"/>
          <w:noProof/>
          <w:sz w:val="20"/>
          <w:szCs w:val="20"/>
        </w:rPr>
        <w:t>69. Derby C, Ritzert J, Bay K (2010) Bird and Bat Fatality Study, Grand Ridge Wind Resource Area, Lasalle County, Illinois. January 2009 - January 2010.</w:t>
      </w:r>
      <w:bookmarkEnd w:id="67"/>
    </w:p>
    <w:p w:rsidR="00F750C5" w:rsidRPr="00F750C5" w:rsidRDefault="00F750C5" w:rsidP="00F750C5">
      <w:pPr>
        <w:keepLines/>
        <w:spacing w:after="120" w:line="240" w:lineRule="auto"/>
        <w:ind w:left="720" w:hanging="720"/>
        <w:rPr>
          <w:rFonts w:eastAsiaTheme="minorHAnsi"/>
          <w:noProof/>
          <w:sz w:val="20"/>
          <w:szCs w:val="20"/>
        </w:rPr>
      </w:pPr>
      <w:bookmarkStart w:id="68" w:name="_ENREF_69"/>
      <w:r w:rsidRPr="00F750C5">
        <w:rPr>
          <w:rFonts w:eastAsiaTheme="minorHAnsi"/>
          <w:noProof/>
          <w:sz w:val="20"/>
          <w:szCs w:val="20"/>
        </w:rPr>
        <w:t>70. Derby C, Dahl A, Erickson W, Bay K, Hoban J (2007) Post-Construction Monitoring Report for Avian and Bat Mortality at the NPPD Ainsworth Wind Farm. Unpublished report prepared by Western EcoSystems Technology, Inc. (WEST), Cheyenne, Wyoming, for the Nebraska Public Power District.</w:t>
      </w:r>
      <w:bookmarkEnd w:id="68"/>
    </w:p>
    <w:p w:rsidR="00F750C5" w:rsidRPr="00F750C5" w:rsidRDefault="00F750C5" w:rsidP="00F750C5">
      <w:pPr>
        <w:keepLines/>
        <w:spacing w:after="120" w:line="240" w:lineRule="auto"/>
        <w:ind w:left="720" w:hanging="720"/>
        <w:rPr>
          <w:rFonts w:eastAsiaTheme="minorHAnsi"/>
          <w:noProof/>
          <w:sz w:val="20"/>
          <w:szCs w:val="20"/>
        </w:rPr>
      </w:pPr>
      <w:bookmarkStart w:id="69" w:name="_ENREF_70"/>
      <w:r w:rsidRPr="00F750C5">
        <w:rPr>
          <w:rFonts w:eastAsiaTheme="minorHAnsi"/>
          <w:noProof/>
          <w:sz w:val="20"/>
          <w:szCs w:val="20"/>
        </w:rPr>
        <w:t>71. Derby C, Dahl A, Merrill A (2012) Post-Construction Monitoring Results for the PrairieWinds SD1 Wind Energy Facility, South Dakota. Final Report: March 2011 - February 2012.</w:t>
      </w:r>
      <w:bookmarkEnd w:id="69"/>
    </w:p>
    <w:p w:rsidR="00F750C5" w:rsidRPr="00F750C5" w:rsidRDefault="00F750C5" w:rsidP="00F750C5">
      <w:pPr>
        <w:keepLines/>
        <w:spacing w:after="120" w:line="240" w:lineRule="auto"/>
        <w:ind w:left="720" w:hanging="720"/>
        <w:rPr>
          <w:rFonts w:eastAsiaTheme="minorHAnsi"/>
          <w:noProof/>
          <w:sz w:val="20"/>
          <w:szCs w:val="20"/>
        </w:rPr>
      </w:pPr>
      <w:bookmarkStart w:id="70" w:name="_ENREF_71"/>
      <w:r w:rsidRPr="00F750C5">
        <w:rPr>
          <w:rFonts w:eastAsiaTheme="minorHAnsi"/>
          <w:noProof/>
          <w:sz w:val="20"/>
          <w:szCs w:val="20"/>
        </w:rPr>
        <w:t>72. Derby C, Chodachek K, Bay K, Nomani S (2011) Post-Construction Fatality Surveys for the Rugby Wind Project: Iberdrola Renewables, Inc. March 2010 - March 2011.</w:t>
      </w:r>
      <w:bookmarkEnd w:id="70"/>
    </w:p>
    <w:p w:rsidR="00F750C5" w:rsidRPr="00F750C5" w:rsidRDefault="00F750C5" w:rsidP="00F750C5">
      <w:pPr>
        <w:keepLines/>
        <w:spacing w:after="120" w:line="240" w:lineRule="auto"/>
        <w:ind w:left="720" w:hanging="720"/>
        <w:rPr>
          <w:rFonts w:eastAsiaTheme="minorHAnsi"/>
          <w:noProof/>
          <w:sz w:val="20"/>
          <w:szCs w:val="20"/>
        </w:rPr>
      </w:pPr>
      <w:bookmarkStart w:id="71" w:name="_ENREF_72"/>
      <w:r w:rsidRPr="00F750C5">
        <w:rPr>
          <w:rFonts w:eastAsiaTheme="minorHAnsi"/>
          <w:noProof/>
          <w:sz w:val="20"/>
          <w:szCs w:val="20"/>
        </w:rPr>
        <w:t>73. Derby C, Dahl A, Merrill A, Bay K (2010) 2009 Post-Construction Monitoring Results for the Wessington Springs Wind-Energy Facility, South Dakota. Final Report.</w:t>
      </w:r>
      <w:bookmarkEnd w:id="71"/>
    </w:p>
    <w:p w:rsidR="00F750C5" w:rsidRPr="00F750C5" w:rsidRDefault="00F750C5" w:rsidP="00F750C5">
      <w:pPr>
        <w:keepLines/>
        <w:spacing w:after="120" w:line="240" w:lineRule="auto"/>
        <w:ind w:left="720" w:hanging="720"/>
        <w:rPr>
          <w:rFonts w:eastAsiaTheme="minorHAnsi"/>
          <w:noProof/>
          <w:sz w:val="20"/>
          <w:szCs w:val="20"/>
        </w:rPr>
      </w:pPr>
      <w:bookmarkStart w:id="72" w:name="_ENREF_73"/>
      <w:r w:rsidRPr="00F750C5">
        <w:rPr>
          <w:rFonts w:eastAsiaTheme="minorHAnsi"/>
          <w:noProof/>
          <w:sz w:val="20"/>
          <w:szCs w:val="20"/>
        </w:rPr>
        <w:t>74. Derby C, Dahl A, Bay K, McManus L (2011) 2010 Post-Construction Monitoring Results for the Wessington Springs Wind Energy Facility, South Dakota. Final Report: March 9 – November 16, 2010.</w:t>
      </w:r>
      <w:bookmarkEnd w:id="72"/>
    </w:p>
    <w:p w:rsidR="00F750C5" w:rsidRPr="00F750C5" w:rsidRDefault="00F750C5" w:rsidP="00F750C5">
      <w:pPr>
        <w:keepLines/>
        <w:spacing w:after="120" w:line="240" w:lineRule="auto"/>
        <w:ind w:left="720" w:hanging="720"/>
        <w:rPr>
          <w:rFonts w:eastAsiaTheme="minorHAnsi"/>
          <w:noProof/>
          <w:sz w:val="20"/>
          <w:szCs w:val="20"/>
        </w:rPr>
      </w:pPr>
      <w:bookmarkStart w:id="73" w:name="_ENREF_74"/>
      <w:r w:rsidRPr="00F750C5">
        <w:rPr>
          <w:rFonts w:eastAsiaTheme="minorHAnsi"/>
          <w:noProof/>
          <w:sz w:val="20"/>
          <w:szCs w:val="20"/>
        </w:rPr>
        <w:t>75. Derby C, Chodachek K, Bay K, Merrill A (2010) Post-Construction Fatality Surveys for the Winnebago Wind Project: March 2009- February 2010.</w:t>
      </w:r>
      <w:bookmarkEnd w:id="73"/>
    </w:p>
    <w:sectPr w:rsidR="00F750C5" w:rsidRPr="00F750C5" w:rsidSect="00F75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compat/>
  <w:rsids>
    <w:rsidRoot w:val="00712F06"/>
    <w:rsid w:val="00037B9C"/>
    <w:rsid w:val="00101D39"/>
    <w:rsid w:val="00124DA8"/>
    <w:rsid w:val="00145048"/>
    <w:rsid w:val="001C092B"/>
    <w:rsid w:val="00206F33"/>
    <w:rsid w:val="00264E71"/>
    <w:rsid w:val="002E5B02"/>
    <w:rsid w:val="002E72B3"/>
    <w:rsid w:val="00303689"/>
    <w:rsid w:val="00307D4A"/>
    <w:rsid w:val="00375884"/>
    <w:rsid w:val="004427D2"/>
    <w:rsid w:val="004D600D"/>
    <w:rsid w:val="004E36D3"/>
    <w:rsid w:val="006122A0"/>
    <w:rsid w:val="00712F06"/>
    <w:rsid w:val="00755471"/>
    <w:rsid w:val="007A2C03"/>
    <w:rsid w:val="008124C1"/>
    <w:rsid w:val="008475F6"/>
    <w:rsid w:val="00856B4C"/>
    <w:rsid w:val="008834CE"/>
    <w:rsid w:val="008E5C9D"/>
    <w:rsid w:val="009A74C7"/>
    <w:rsid w:val="00A07E1B"/>
    <w:rsid w:val="00A37021"/>
    <w:rsid w:val="00AD7895"/>
    <w:rsid w:val="00B0646D"/>
    <w:rsid w:val="00B35738"/>
    <w:rsid w:val="00B961A0"/>
    <w:rsid w:val="00BD6880"/>
    <w:rsid w:val="00C10DBA"/>
    <w:rsid w:val="00C20D66"/>
    <w:rsid w:val="00C25696"/>
    <w:rsid w:val="00D30EA5"/>
    <w:rsid w:val="00D6600C"/>
    <w:rsid w:val="00DE3F99"/>
    <w:rsid w:val="00E026AE"/>
    <w:rsid w:val="00E23D7E"/>
    <w:rsid w:val="00EC0624"/>
    <w:rsid w:val="00F3724A"/>
    <w:rsid w:val="00F75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06"/>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5696"/>
    <w:pPr>
      <w:keepNext/>
      <w:keepLines/>
      <w:jc w:val="both"/>
      <w:outlineLvl w:val="0"/>
    </w:pPr>
    <w:rPr>
      <w:rFonts w:eastAsiaTheme="majorEastAsia"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F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0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12F0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F06"/>
    <w:rPr>
      <w:rFonts w:ascii="Tahoma" w:eastAsia="Times New Roman" w:hAnsi="Tahoma" w:cs="Tahoma"/>
      <w:sz w:val="16"/>
      <w:szCs w:val="16"/>
    </w:rPr>
  </w:style>
  <w:style w:type="character" w:customStyle="1" w:styleId="Heading1Char">
    <w:name w:val="Heading 1 Char"/>
    <w:basedOn w:val="DefaultParagraphFont"/>
    <w:link w:val="Heading1"/>
    <w:uiPriority w:val="9"/>
    <w:rsid w:val="00C25696"/>
    <w:rPr>
      <w:rFonts w:ascii="Times New Roman" w:eastAsiaTheme="majorEastAsia" w:hAnsi="Times New Roman" w:cstheme="majorBidi"/>
      <w:b/>
      <w:bCs/>
      <w:szCs w:val="28"/>
    </w:rPr>
  </w:style>
  <w:style w:type="paragraph" w:styleId="Revision">
    <w:name w:val="Revision"/>
    <w:hidden/>
    <w:uiPriority w:val="99"/>
    <w:semiHidden/>
    <w:rsid w:val="00856B4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5272001">
      <w:bodyDiv w:val="1"/>
      <w:marLeft w:val="0"/>
      <w:marRight w:val="0"/>
      <w:marTop w:val="0"/>
      <w:marBottom w:val="0"/>
      <w:divBdr>
        <w:top w:val="none" w:sz="0" w:space="0" w:color="auto"/>
        <w:left w:val="none" w:sz="0" w:space="0" w:color="auto"/>
        <w:bottom w:val="none" w:sz="0" w:space="0" w:color="auto"/>
        <w:right w:val="none" w:sz="0" w:space="0" w:color="auto"/>
      </w:divBdr>
    </w:div>
    <w:div w:id="20546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Wolfe</cp:lastModifiedBy>
  <cp:revision>4</cp:revision>
  <dcterms:created xsi:type="dcterms:W3CDTF">2014-04-08T22:25:00Z</dcterms:created>
  <dcterms:modified xsi:type="dcterms:W3CDTF">2014-04-08T22:39:00Z</dcterms:modified>
</cp:coreProperties>
</file>