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F8" w:rsidRDefault="000A77F8" w:rsidP="00845280">
      <w:pPr>
        <w:spacing w:after="240"/>
        <w:jc w:val="center"/>
        <w:rPr>
          <w:rFonts w:ascii="Arial" w:hAnsi="Arial" w:cs="Arial"/>
          <w:b/>
          <w:bCs/>
          <w:sz w:val="20"/>
          <w:szCs w:val="20"/>
          <w:u w:val="single"/>
        </w:rPr>
      </w:pPr>
      <w:bookmarkStart w:id="0" w:name="_GoBack"/>
      <w:bookmarkEnd w:id="0"/>
      <w:r w:rsidRPr="000A77F8">
        <w:rPr>
          <w:rFonts w:ascii="Arial" w:hAnsi="Arial" w:cs="Arial"/>
          <w:b/>
          <w:bCs/>
          <w:sz w:val="20"/>
          <w:szCs w:val="20"/>
          <w:u w:val="single"/>
        </w:rPr>
        <w:t xml:space="preserve">Supplementary </w:t>
      </w:r>
      <w:r w:rsidR="0044216C">
        <w:rPr>
          <w:rFonts w:ascii="Arial" w:hAnsi="Arial" w:cs="Arial"/>
          <w:b/>
          <w:bCs/>
          <w:sz w:val="20"/>
          <w:szCs w:val="20"/>
          <w:u w:val="single"/>
        </w:rPr>
        <w:t>Material</w:t>
      </w:r>
      <w:r w:rsidRPr="000A77F8">
        <w:rPr>
          <w:rFonts w:ascii="Arial" w:hAnsi="Arial" w:cs="Arial"/>
          <w:b/>
          <w:bCs/>
          <w:sz w:val="20"/>
          <w:szCs w:val="20"/>
          <w:u w:val="single"/>
        </w:rPr>
        <w:t xml:space="preserve"> -</w:t>
      </w:r>
      <w:r w:rsidR="00845280">
        <w:rPr>
          <w:rFonts w:ascii="Arial" w:hAnsi="Arial" w:cs="Arial"/>
          <w:b/>
          <w:bCs/>
          <w:sz w:val="20"/>
          <w:szCs w:val="20"/>
          <w:u w:val="single"/>
        </w:rPr>
        <w:t xml:space="preserve"> </w:t>
      </w:r>
      <w:r w:rsidR="0056145B">
        <w:rPr>
          <w:rFonts w:ascii="Arial" w:hAnsi="Arial" w:cs="Arial"/>
          <w:b/>
          <w:bCs/>
          <w:sz w:val="20"/>
          <w:szCs w:val="20"/>
          <w:u w:val="single"/>
        </w:rPr>
        <w:t>S</w:t>
      </w:r>
      <w:r w:rsidRPr="000A77F8">
        <w:rPr>
          <w:rFonts w:ascii="Arial" w:hAnsi="Arial" w:cs="Arial"/>
          <w:b/>
          <w:bCs/>
          <w:sz w:val="20"/>
          <w:szCs w:val="20"/>
          <w:u w:val="single"/>
        </w:rPr>
        <w:t>1</w:t>
      </w:r>
    </w:p>
    <w:p w:rsidR="005028A1" w:rsidRPr="000A77F8" w:rsidRDefault="005028A1" w:rsidP="005028A1">
      <w:pPr>
        <w:spacing w:after="240"/>
        <w:jc w:val="center"/>
        <w:rPr>
          <w:rFonts w:ascii="Arial" w:hAnsi="Arial" w:cs="Arial"/>
          <w:b/>
          <w:bCs/>
          <w:sz w:val="20"/>
          <w:szCs w:val="20"/>
          <w:u w:val="single"/>
        </w:rPr>
      </w:pPr>
      <w:r>
        <w:rPr>
          <w:rFonts w:ascii="Arial" w:hAnsi="Arial" w:cs="Arial"/>
          <w:b/>
          <w:bCs/>
          <w:sz w:val="20"/>
          <w:szCs w:val="20"/>
          <w:u w:val="single"/>
        </w:rPr>
        <w:t>Comparative analysis of one-to-on matched samples of patients and controls</w:t>
      </w:r>
    </w:p>
    <w:p w:rsidR="000A77F8" w:rsidRPr="000A77F8" w:rsidRDefault="000A77F8" w:rsidP="000A77F8">
      <w:pPr>
        <w:jc w:val="both"/>
        <w:rPr>
          <w:rFonts w:ascii="Arial" w:hAnsi="Arial" w:cs="Arial"/>
          <w:bCs/>
          <w:sz w:val="20"/>
          <w:szCs w:val="20"/>
        </w:rPr>
      </w:pPr>
      <w:r w:rsidRPr="000A77F8">
        <w:rPr>
          <w:rFonts w:ascii="Arial" w:hAnsi="Arial" w:cs="Arial"/>
          <w:bCs/>
          <w:sz w:val="20"/>
          <w:szCs w:val="20"/>
        </w:rPr>
        <w:t>As the control group consisted of a larger number of subjects than the patients’ group, it is possible that this might have differentially influenced the variance of the measurements between groups.  To explore this further, we performed additional analyses involving patients (N=28) and equal number of controls (N=28) with one-to-one matching.  The results of these analyses did not differ from the ob</w:t>
      </w:r>
      <w:r w:rsidR="0056145B">
        <w:rPr>
          <w:rFonts w:ascii="Arial" w:hAnsi="Arial" w:cs="Arial"/>
          <w:bCs/>
          <w:sz w:val="20"/>
          <w:szCs w:val="20"/>
        </w:rPr>
        <w:t>servations from the whole group</w:t>
      </w:r>
    </w:p>
    <w:p w:rsidR="000A77F8" w:rsidRPr="000A77F8" w:rsidRDefault="000A77F8" w:rsidP="000A77F8">
      <w:pPr>
        <w:spacing w:line="480" w:lineRule="auto"/>
        <w:jc w:val="center"/>
        <w:rPr>
          <w:rFonts w:ascii="Arial" w:hAnsi="Arial" w:cs="Arial"/>
          <w:b/>
          <w:sz w:val="20"/>
          <w:szCs w:val="20"/>
        </w:rPr>
      </w:pPr>
    </w:p>
    <w:p w:rsidR="000A77F8" w:rsidRPr="000A77F8" w:rsidRDefault="000A77F8" w:rsidP="000A77F8">
      <w:pPr>
        <w:spacing w:line="480" w:lineRule="auto"/>
        <w:ind w:left="-567" w:right="-766"/>
        <w:jc w:val="center"/>
        <w:rPr>
          <w:rFonts w:ascii="Arial" w:hAnsi="Arial" w:cs="Arial"/>
          <w:b/>
          <w:sz w:val="20"/>
          <w:szCs w:val="20"/>
        </w:rPr>
      </w:pPr>
      <w:r w:rsidRPr="000A77F8">
        <w:rPr>
          <w:rFonts w:ascii="Arial" w:hAnsi="Arial" w:cs="Arial"/>
          <w:b/>
          <w:sz w:val="20"/>
          <w:szCs w:val="20"/>
        </w:rPr>
        <w:t xml:space="preserve">Comparative profile of schizophrenia patients and one-to-one matched healthy controls </w:t>
      </w:r>
    </w:p>
    <w:tbl>
      <w:tblPr>
        <w:tblW w:w="9075" w:type="dxa"/>
        <w:jc w:val="cente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417"/>
        <w:gridCol w:w="1276"/>
        <w:gridCol w:w="1300"/>
        <w:gridCol w:w="970"/>
      </w:tblGrid>
      <w:tr w:rsidR="000A77F8" w:rsidRPr="000A77F8" w:rsidTr="0053656E">
        <w:trPr>
          <w:trHeight w:val="449"/>
          <w:jc w:val="center"/>
        </w:trPr>
        <w:tc>
          <w:tcPr>
            <w:tcW w:w="4112" w:type="dxa"/>
            <w:shd w:val="clear" w:color="auto" w:fill="auto"/>
          </w:tcPr>
          <w:p w:rsidR="000A77F8" w:rsidRPr="000A77F8" w:rsidRDefault="000A77F8" w:rsidP="00B9719F">
            <w:pPr>
              <w:jc w:val="center"/>
              <w:rPr>
                <w:rFonts w:ascii="Arial" w:hAnsi="Arial" w:cs="Arial"/>
                <w:b/>
                <w:sz w:val="20"/>
                <w:szCs w:val="20"/>
              </w:rPr>
            </w:pPr>
            <w:r w:rsidRPr="000A77F8">
              <w:rPr>
                <w:rFonts w:ascii="Arial" w:hAnsi="Arial" w:cs="Arial"/>
                <w:b/>
                <w:sz w:val="20"/>
                <w:szCs w:val="20"/>
              </w:rPr>
              <w:t>Characteristic</w:t>
            </w:r>
          </w:p>
        </w:tc>
        <w:tc>
          <w:tcPr>
            <w:tcW w:w="1417" w:type="dxa"/>
            <w:shd w:val="clear" w:color="auto" w:fill="auto"/>
          </w:tcPr>
          <w:p w:rsidR="000A77F8" w:rsidRPr="000A77F8" w:rsidRDefault="000A77F8" w:rsidP="00B9719F">
            <w:pPr>
              <w:jc w:val="center"/>
              <w:rPr>
                <w:rFonts w:ascii="Arial" w:hAnsi="Arial" w:cs="Arial"/>
                <w:b/>
                <w:sz w:val="20"/>
                <w:szCs w:val="20"/>
              </w:rPr>
            </w:pPr>
            <w:r w:rsidRPr="000A77F8">
              <w:rPr>
                <w:rFonts w:ascii="Arial" w:hAnsi="Arial" w:cs="Arial"/>
                <w:b/>
                <w:sz w:val="20"/>
                <w:szCs w:val="20"/>
              </w:rPr>
              <w:t>Patients</w:t>
            </w:r>
          </w:p>
        </w:tc>
        <w:tc>
          <w:tcPr>
            <w:tcW w:w="1276" w:type="dxa"/>
            <w:shd w:val="clear" w:color="auto" w:fill="auto"/>
          </w:tcPr>
          <w:p w:rsidR="000A77F8" w:rsidRPr="000A77F8" w:rsidRDefault="000A77F8" w:rsidP="00B9719F">
            <w:pPr>
              <w:jc w:val="center"/>
              <w:rPr>
                <w:rFonts w:ascii="Arial" w:hAnsi="Arial" w:cs="Arial"/>
                <w:b/>
                <w:sz w:val="20"/>
                <w:szCs w:val="20"/>
              </w:rPr>
            </w:pPr>
            <w:r w:rsidRPr="000A77F8">
              <w:rPr>
                <w:rFonts w:ascii="Arial" w:hAnsi="Arial" w:cs="Arial"/>
                <w:b/>
                <w:sz w:val="20"/>
                <w:szCs w:val="20"/>
              </w:rPr>
              <w:t>Controls</w:t>
            </w:r>
          </w:p>
        </w:tc>
        <w:tc>
          <w:tcPr>
            <w:tcW w:w="1300" w:type="dxa"/>
            <w:shd w:val="clear" w:color="auto" w:fill="auto"/>
          </w:tcPr>
          <w:p w:rsidR="000A77F8" w:rsidRPr="000A77F8" w:rsidRDefault="000A77F8" w:rsidP="00B9719F">
            <w:pPr>
              <w:jc w:val="center"/>
              <w:rPr>
                <w:rFonts w:ascii="Arial" w:hAnsi="Arial" w:cs="Arial"/>
                <w:b/>
                <w:sz w:val="20"/>
                <w:szCs w:val="20"/>
                <w:vertAlign w:val="superscript"/>
              </w:rPr>
            </w:pPr>
            <w:r w:rsidRPr="000A77F8">
              <w:rPr>
                <w:rFonts w:ascii="Arial" w:hAnsi="Arial" w:cs="Arial"/>
                <w:b/>
                <w:sz w:val="20"/>
                <w:szCs w:val="20"/>
              </w:rPr>
              <w:t>Statistic</w:t>
            </w:r>
          </w:p>
        </w:tc>
        <w:tc>
          <w:tcPr>
            <w:tcW w:w="970" w:type="dxa"/>
            <w:shd w:val="clear" w:color="auto" w:fill="auto"/>
          </w:tcPr>
          <w:p w:rsidR="000A77F8" w:rsidRPr="000A77F8" w:rsidRDefault="000A77F8" w:rsidP="00B9719F">
            <w:pPr>
              <w:jc w:val="center"/>
              <w:rPr>
                <w:rFonts w:ascii="Arial" w:hAnsi="Arial" w:cs="Arial"/>
                <w:b/>
                <w:sz w:val="20"/>
                <w:szCs w:val="20"/>
              </w:rPr>
            </w:pPr>
            <w:r w:rsidRPr="000A77F8">
              <w:rPr>
                <w:rFonts w:ascii="Arial" w:hAnsi="Arial" w:cs="Arial"/>
                <w:b/>
                <w:sz w:val="20"/>
                <w:szCs w:val="20"/>
              </w:rPr>
              <w:t>p</w:t>
            </w:r>
          </w:p>
        </w:tc>
      </w:tr>
      <w:tr w:rsidR="000A77F8" w:rsidRPr="000A77F8" w:rsidTr="0053656E">
        <w:trPr>
          <w:jc w:val="center"/>
        </w:trPr>
        <w:tc>
          <w:tcPr>
            <w:tcW w:w="4112" w:type="dxa"/>
            <w:shd w:val="clear" w:color="auto" w:fill="auto"/>
          </w:tcPr>
          <w:p w:rsidR="000A77F8" w:rsidRPr="000A77F8" w:rsidRDefault="000A77F8" w:rsidP="00B9719F">
            <w:pPr>
              <w:jc w:val="center"/>
              <w:rPr>
                <w:rFonts w:ascii="Arial" w:hAnsi="Arial" w:cs="Arial"/>
                <w:b/>
                <w:sz w:val="20"/>
                <w:szCs w:val="20"/>
              </w:rPr>
            </w:pPr>
            <w:r w:rsidRPr="000A77F8">
              <w:rPr>
                <w:rFonts w:ascii="Arial" w:hAnsi="Arial" w:cs="Arial"/>
                <w:b/>
                <w:sz w:val="20"/>
                <w:szCs w:val="20"/>
              </w:rPr>
              <w:t>N</w:t>
            </w:r>
          </w:p>
        </w:tc>
        <w:tc>
          <w:tcPr>
            <w:tcW w:w="1417" w:type="dxa"/>
            <w:shd w:val="clear" w:color="auto" w:fill="auto"/>
          </w:tcPr>
          <w:p w:rsidR="000A77F8" w:rsidRPr="000A77F8" w:rsidRDefault="000A77F8" w:rsidP="00B9719F">
            <w:pPr>
              <w:jc w:val="center"/>
              <w:rPr>
                <w:rFonts w:ascii="Arial" w:hAnsi="Arial" w:cs="Arial"/>
                <w:b/>
                <w:sz w:val="20"/>
                <w:szCs w:val="20"/>
              </w:rPr>
            </w:pPr>
            <w:r w:rsidRPr="000A77F8">
              <w:rPr>
                <w:rFonts w:ascii="Arial" w:hAnsi="Arial" w:cs="Arial"/>
                <w:b/>
                <w:sz w:val="20"/>
                <w:szCs w:val="20"/>
              </w:rPr>
              <w:t>28</w:t>
            </w:r>
          </w:p>
        </w:tc>
        <w:tc>
          <w:tcPr>
            <w:tcW w:w="1276" w:type="dxa"/>
            <w:shd w:val="clear" w:color="auto" w:fill="auto"/>
          </w:tcPr>
          <w:p w:rsidR="000A77F8" w:rsidRPr="000A77F8" w:rsidRDefault="000A77F8" w:rsidP="00B9719F">
            <w:pPr>
              <w:jc w:val="center"/>
              <w:rPr>
                <w:rFonts w:ascii="Arial" w:hAnsi="Arial" w:cs="Arial"/>
                <w:b/>
                <w:sz w:val="20"/>
                <w:szCs w:val="20"/>
              </w:rPr>
            </w:pPr>
            <w:r w:rsidRPr="000A77F8">
              <w:rPr>
                <w:rFonts w:ascii="Arial" w:hAnsi="Arial" w:cs="Arial"/>
                <w:b/>
                <w:sz w:val="20"/>
                <w:szCs w:val="20"/>
              </w:rPr>
              <w:t>28</w:t>
            </w:r>
          </w:p>
        </w:tc>
        <w:tc>
          <w:tcPr>
            <w:tcW w:w="1300" w:type="dxa"/>
            <w:shd w:val="clear" w:color="auto" w:fill="auto"/>
          </w:tcPr>
          <w:p w:rsidR="000A77F8" w:rsidRPr="000A77F8" w:rsidRDefault="000A77F8" w:rsidP="00B9719F">
            <w:pPr>
              <w:jc w:val="center"/>
              <w:rPr>
                <w:rFonts w:ascii="Arial" w:hAnsi="Arial" w:cs="Arial"/>
                <w:sz w:val="20"/>
                <w:szCs w:val="20"/>
              </w:rPr>
            </w:pPr>
          </w:p>
        </w:tc>
        <w:tc>
          <w:tcPr>
            <w:tcW w:w="970" w:type="dxa"/>
            <w:shd w:val="clear" w:color="auto" w:fill="auto"/>
          </w:tcPr>
          <w:p w:rsidR="000A77F8" w:rsidRPr="000A77F8" w:rsidRDefault="000A77F8" w:rsidP="00B9719F">
            <w:pPr>
              <w:jc w:val="center"/>
              <w:rPr>
                <w:rFonts w:ascii="Arial" w:hAnsi="Arial" w:cs="Arial"/>
                <w:sz w:val="20"/>
                <w:szCs w:val="20"/>
              </w:rPr>
            </w:pPr>
          </w:p>
        </w:tc>
      </w:tr>
      <w:tr w:rsidR="000A77F8" w:rsidRPr="000A77F8" w:rsidTr="0053656E">
        <w:trPr>
          <w:jc w:val="center"/>
        </w:trPr>
        <w:tc>
          <w:tcPr>
            <w:tcW w:w="4112" w:type="dxa"/>
            <w:shd w:val="clear" w:color="auto" w:fill="auto"/>
          </w:tcPr>
          <w:p w:rsidR="000A77F8" w:rsidRPr="000A77F8" w:rsidRDefault="000A77F8" w:rsidP="00B9719F">
            <w:pPr>
              <w:rPr>
                <w:rFonts w:ascii="Arial" w:hAnsi="Arial" w:cs="Arial"/>
                <w:b/>
                <w:sz w:val="20"/>
                <w:szCs w:val="20"/>
              </w:rPr>
            </w:pPr>
          </w:p>
        </w:tc>
        <w:tc>
          <w:tcPr>
            <w:tcW w:w="1417" w:type="dxa"/>
            <w:shd w:val="clear" w:color="auto" w:fill="auto"/>
          </w:tcPr>
          <w:p w:rsidR="000A77F8" w:rsidRPr="000A77F8" w:rsidRDefault="000A77F8" w:rsidP="00B9719F">
            <w:pPr>
              <w:jc w:val="center"/>
              <w:rPr>
                <w:rFonts w:ascii="Arial" w:hAnsi="Arial" w:cs="Arial"/>
                <w:b/>
                <w:sz w:val="20"/>
                <w:szCs w:val="20"/>
              </w:rPr>
            </w:pPr>
          </w:p>
        </w:tc>
        <w:tc>
          <w:tcPr>
            <w:tcW w:w="1276" w:type="dxa"/>
            <w:shd w:val="clear" w:color="auto" w:fill="auto"/>
          </w:tcPr>
          <w:p w:rsidR="000A77F8" w:rsidRPr="000A77F8" w:rsidRDefault="000A77F8" w:rsidP="00B9719F">
            <w:pPr>
              <w:jc w:val="center"/>
              <w:rPr>
                <w:rFonts w:ascii="Arial" w:hAnsi="Arial" w:cs="Arial"/>
                <w:b/>
                <w:sz w:val="20"/>
                <w:szCs w:val="20"/>
              </w:rPr>
            </w:pPr>
          </w:p>
        </w:tc>
        <w:tc>
          <w:tcPr>
            <w:tcW w:w="1300" w:type="dxa"/>
            <w:shd w:val="clear" w:color="auto" w:fill="auto"/>
          </w:tcPr>
          <w:p w:rsidR="000A77F8" w:rsidRPr="000A77F8" w:rsidRDefault="000A77F8" w:rsidP="00B9719F">
            <w:pPr>
              <w:rPr>
                <w:rFonts w:ascii="Arial" w:hAnsi="Arial" w:cs="Arial"/>
                <w:sz w:val="20"/>
                <w:szCs w:val="20"/>
              </w:rPr>
            </w:pPr>
          </w:p>
        </w:tc>
        <w:tc>
          <w:tcPr>
            <w:tcW w:w="970" w:type="dxa"/>
            <w:shd w:val="clear" w:color="auto" w:fill="auto"/>
          </w:tcPr>
          <w:p w:rsidR="000A77F8" w:rsidRPr="000A77F8" w:rsidRDefault="000A77F8" w:rsidP="00B9719F">
            <w:pPr>
              <w:rPr>
                <w:rFonts w:ascii="Arial" w:hAnsi="Arial" w:cs="Arial"/>
                <w:sz w:val="20"/>
                <w:szCs w:val="20"/>
              </w:rPr>
            </w:pPr>
          </w:p>
        </w:tc>
      </w:tr>
      <w:tr w:rsidR="000A77F8" w:rsidRPr="000A77F8" w:rsidTr="0053656E">
        <w:trPr>
          <w:jc w:val="center"/>
        </w:trPr>
        <w:tc>
          <w:tcPr>
            <w:tcW w:w="4112" w:type="dxa"/>
            <w:shd w:val="clear" w:color="auto" w:fill="auto"/>
          </w:tcPr>
          <w:p w:rsidR="000A77F8" w:rsidRPr="000A77F8" w:rsidRDefault="000A77F8" w:rsidP="00B9719F">
            <w:pPr>
              <w:rPr>
                <w:rFonts w:ascii="Arial" w:hAnsi="Arial" w:cs="Arial"/>
                <w:sz w:val="20"/>
                <w:szCs w:val="20"/>
              </w:rPr>
            </w:pPr>
            <w:r w:rsidRPr="000A77F8">
              <w:rPr>
                <w:rFonts w:ascii="Arial" w:hAnsi="Arial" w:cs="Arial"/>
                <w:sz w:val="20"/>
                <w:szCs w:val="20"/>
              </w:rPr>
              <w:t>Age [Years] *</w:t>
            </w:r>
          </w:p>
        </w:tc>
        <w:tc>
          <w:tcPr>
            <w:tcW w:w="1417"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lang w:val="en-US"/>
              </w:rPr>
              <w:t>29.9</w:t>
            </w:r>
            <w:r w:rsidRPr="000A77F8">
              <w:rPr>
                <w:rFonts w:ascii="Arial" w:hAnsi="Arial" w:cs="Arial"/>
                <w:sz w:val="20"/>
                <w:szCs w:val="20"/>
                <w:lang w:val="en-US"/>
              </w:rPr>
              <w:sym w:font="Symbol" w:char="F0B1"/>
            </w:r>
            <w:r w:rsidRPr="000A77F8">
              <w:rPr>
                <w:rFonts w:ascii="Arial" w:hAnsi="Arial" w:cs="Arial"/>
                <w:sz w:val="20"/>
                <w:szCs w:val="20"/>
                <w:lang w:val="en-US"/>
              </w:rPr>
              <w:t>5.7</w:t>
            </w:r>
          </w:p>
        </w:tc>
        <w:tc>
          <w:tcPr>
            <w:tcW w:w="1276"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lang w:val="en-US"/>
              </w:rPr>
              <w:t>28.1</w:t>
            </w:r>
            <w:r w:rsidRPr="000A77F8">
              <w:rPr>
                <w:rFonts w:ascii="Arial" w:hAnsi="Arial" w:cs="Arial"/>
                <w:sz w:val="20"/>
                <w:szCs w:val="20"/>
                <w:lang w:val="en-US"/>
              </w:rPr>
              <w:sym w:font="Symbol" w:char="F0B1"/>
            </w:r>
            <w:r w:rsidRPr="000A77F8">
              <w:rPr>
                <w:rFonts w:ascii="Arial" w:hAnsi="Arial" w:cs="Arial"/>
                <w:sz w:val="20"/>
                <w:szCs w:val="20"/>
                <w:lang w:val="en-US"/>
              </w:rPr>
              <w:t>5.3</w:t>
            </w:r>
          </w:p>
        </w:tc>
        <w:tc>
          <w:tcPr>
            <w:tcW w:w="1300"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rPr>
              <w:t>t=1.2</w:t>
            </w:r>
          </w:p>
        </w:tc>
        <w:tc>
          <w:tcPr>
            <w:tcW w:w="970" w:type="dxa"/>
            <w:shd w:val="clear" w:color="auto" w:fill="auto"/>
          </w:tcPr>
          <w:p w:rsidR="000A77F8" w:rsidRPr="000A77F8" w:rsidRDefault="000A77F8" w:rsidP="00B9719F">
            <w:pPr>
              <w:jc w:val="right"/>
              <w:rPr>
                <w:rFonts w:ascii="Arial" w:hAnsi="Arial" w:cs="Arial"/>
                <w:sz w:val="20"/>
                <w:szCs w:val="20"/>
              </w:rPr>
            </w:pPr>
            <w:r w:rsidRPr="000A77F8">
              <w:rPr>
                <w:rFonts w:ascii="Arial" w:hAnsi="Arial" w:cs="Arial"/>
                <w:sz w:val="20"/>
                <w:szCs w:val="20"/>
              </w:rPr>
              <w:t>0.2</w:t>
            </w:r>
          </w:p>
        </w:tc>
      </w:tr>
      <w:tr w:rsidR="000A77F8" w:rsidRPr="000A77F8" w:rsidTr="0053656E">
        <w:trPr>
          <w:jc w:val="center"/>
        </w:trPr>
        <w:tc>
          <w:tcPr>
            <w:tcW w:w="4112" w:type="dxa"/>
            <w:shd w:val="clear" w:color="auto" w:fill="auto"/>
          </w:tcPr>
          <w:p w:rsidR="000A77F8" w:rsidRPr="000A77F8" w:rsidRDefault="000A77F8" w:rsidP="00B9719F">
            <w:pPr>
              <w:rPr>
                <w:rFonts w:ascii="Arial" w:hAnsi="Arial" w:cs="Arial"/>
                <w:sz w:val="20"/>
                <w:szCs w:val="20"/>
              </w:rPr>
            </w:pPr>
            <w:r w:rsidRPr="000A77F8">
              <w:rPr>
                <w:rFonts w:ascii="Arial" w:hAnsi="Arial" w:cs="Arial"/>
                <w:sz w:val="20"/>
                <w:szCs w:val="20"/>
              </w:rPr>
              <w:t>Sex Ratio [M:F]</w:t>
            </w:r>
            <w:r w:rsidRPr="000A77F8">
              <w:rPr>
                <w:rFonts w:ascii="Arial" w:hAnsi="Arial" w:cs="Arial"/>
                <w:sz w:val="20"/>
                <w:szCs w:val="20"/>
                <w:vertAlign w:val="superscript"/>
              </w:rPr>
              <w:t xml:space="preserve"> $</w:t>
            </w:r>
          </w:p>
        </w:tc>
        <w:tc>
          <w:tcPr>
            <w:tcW w:w="1417"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rPr>
              <w:t>14:14</w:t>
            </w:r>
          </w:p>
        </w:tc>
        <w:tc>
          <w:tcPr>
            <w:tcW w:w="1276"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rPr>
              <w:t>14:14</w:t>
            </w:r>
          </w:p>
        </w:tc>
        <w:tc>
          <w:tcPr>
            <w:tcW w:w="1300"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rPr>
              <w:t>χ</w:t>
            </w:r>
            <w:r w:rsidRPr="000A77F8">
              <w:rPr>
                <w:rFonts w:ascii="Arial" w:hAnsi="Arial" w:cs="Arial"/>
                <w:sz w:val="20"/>
                <w:szCs w:val="20"/>
                <w:vertAlign w:val="superscript"/>
              </w:rPr>
              <w:t>2</w:t>
            </w:r>
            <w:r w:rsidRPr="000A77F8">
              <w:rPr>
                <w:rFonts w:ascii="Arial" w:hAnsi="Arial" w:cs="Arial"/>
                <w:sz w:val="20"/>
                <w:szCs w:val="20"/>
              </w:rPr>
              <w:t>=0</w:t>
            </w:r>
          </w:p>
        </w:tc>
        <w:tc>
          <w:tcPr>
            <w:tcW w:w="970" w:type="dxa"/>
            <w:shd w:val="clear" w:color="auto" w:fill="auto"/>
          </w:tcPr>
          <w:p w:rsidR="000A77F8" w:rsidRPr="000A77F8" w:rsidRDefault="000A77F8" w:rsidP="00B9719F">
            <w:pPr>
              <w:jc w:val="right"/>
              <w:rPr>
                <w:rFonts w:ascii="Arial" w:hAnsi="Arial" w:cs="Arial"/>
                <w:sz w:val="20"/>
                <w:szCs w:val="20"/>
              </w:rPr>
            </w:pPr>
            <w:r w:rsidRPr="000A77F8">
              <w:rPr>
                <w:rFonts w:ascii="Arial" w:hAnsi="Arial" w:cs="Arial"/>
                <w:sz w:val="20"/>
                <w:szCs w:val="20"/>
              </w:rPr>
              <w:t>1.0</w:t>
            </w:r>
          </w:p>
        </w:tc>
      </w:tr>
      <w:tr w:rsidR="000A77F8" w:rsidRPr="000A77F8" w:rsidTr="0053656E">
        <w:trPr>
          <w:jc w:val="center"/>
        </w:trPr>
        <w:tc>
          <w:tcPr>
            <w:tcW w:w="4112" w:type="dxa"/>
            <w:shd w:val="clear" w:color="auto" w:fill="auto"/>
          </w:tcPr>
          <w:p w:rsidR="000A77F8" w:rsidRPr="000A77F8" w:rsidRDefault="000A77F8" w:rsidP="00B9719F">
            <w:pPr>
              <w:rPr>
                <w:rFonts w:ascii="Arial" w:hAnsi="Arial" w:cs="Arial"/>
                <w:sz w:val="20"/>
                <w:szCs w:val="20"/>
              </w:rPr>
            </w:pPr>
            <w:r w:rsidRPr="000A77F8">
              <w:rPr>
                <w:rFonts w:ascii="Arial" w:hAnsi="Arial" w:cs="Arial"/>
                <w:sz w:val="20"/>
                <w:szCs w:val="20"/>
              </w:rPr>
              <w:t>Left Hippocampal Volume [mL]</w:t>
            </w:r>
            <w:r w:rsidRPr="000A77F8">
              <w:rPr>
                <w:rFonts w:ascii="Arial" w:hAnsi="Arial" w:cs="Arial"/>
                <w:sz w:val="20"/>
                <w:szCs w:val="20"/>
                <w:vertAlign w:val="superscript"/>
              </w:rPr>
              <w:t>#</w:t>
            </w:r>
          </w:p>
        </w:tc>
        <w:tc>
          <w:tcPr>
            <w:tcW w:w="1417"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lang w:val="en-US"/>
              </w:rPr>
              <w:t>2.4</w:t>
            </w:r>
            <w:r w:rsidRPr="000A77F8">
              <w:rPr>
                <w:rFonts w:ascii="Arial" w:hAnsi="Arial" w:cs="Arial"/>
                <w:sz w:val="20"/>
                <w:szCs w:val="20"/>
                <w:lang w:val="en-US"/>
              </w:rPr>
              <w:sym w:font="Symbol" w:char="F0B1"/>
            </w:r>
            <w:r w:rsidRPr="000A77F8">
              <w:rPr>
                <w:rFonts w:ascii="Arial" w:hAnsi="Arial" w:cs="Arial"/>
                <w:sz w:val="20"/>
                <w:szCs w:val="20"/>
                <w:lang w:val="en-US"/>
              </w:rPr>
              <w:t>0.4</w:t>
            </w:r>
          </w:p>
        </w:tc>
        <w:tc>
          <w:tcPr>
            <w:tcW w:w="1276"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lang w:val="en-US"/>
              </w:rPr>
              <w:t>2.7</w:t>
            </w:r>
            <w:r w:rsidRPr="000A77F8">
              <w:rPr>
                <w:rFonts w:ascii="Arial" w:hAnsi="Arial" w:cs="Arial"/>
                <w:sz w:val="20"/>
                <w:szCs w:val="20"/>
                <w:lang w:val="en-US"/>
              </w:rPr>
              <w:sym w:font="Symbol" w:char="F0B1"/>
            </w:r>
            <w:r w:rsidRPr="000A77F8">
              <w:rPr>
                <w:rFonts w:ascii="Arial" w:hAnsi="Arial" w:cs="Arial"/>
                <w:sz w:val="20"/>
                <w:szCs w:val="20"/>
                <w:lang w:val="en-US"/>
              </w:rPr>
              <w:t>0.3</w:t>
            </w:r>
          </w:p>
        </w:tc>
        <w:tc>
          <w:tcPr>
            <w:tcW w:w="1300"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rPr>
              <w:t>F=7.2</w:t>
            </w:r>
          </w:p>
        </w:tc>
        <w:tc>
          <w:tcPr>
            <w:tcW w:w="970" w:type="dxa"/>
            <w:shd w:val="clear" w:color="auto" w:fill="auto"/>
          </w:tcPr>
          <w:p w:rsidR="000A77F8" w:rsidRPr="000A77F8" w:rsidRDefault="000A77F8" w:rsidP="00B9719F">
            <w:pPr>
              <w:jc w:val="right"/>
              <w:rPr>
                <w:rFonts w:ascii="Arial" w:hAnsi="Arial" w:cs="Arial"/>
                <w:sz w:val="20"/>
                <w:szCs w:val="20"/>
              </w:rPr>
            </w:pPr>
            <w:r w:rsidRPr="000A77F8">
              <w:rPr>
                <w:rFonts w:ascii="Arial" w:hAnsi="Arial" w:cs="Arial"/>
                <w:sz w:val="20"/>
                <w:szCs w:val="20"/>
              </w:rPr>
              <w:t>0.01</w:t>
            </w:r>
          </w:p>
        </w:tc>
      </w:tr>
      <w:tr w:rsidR="000A77F8" w:rsidRPr="000A77F8" w:rsidTr="0053656E">
        <w:trPr>
          <w:jc w:val="center"/>
        </w:trPr>
        <w:tc>
          <w:tcPr>
            <w:tcW w:w="4112" w:type="dxa"/>
            <w:shd w:val="clear" w:color="auto" w:fill="auto"/>
          </w:tcPr>
          <w:p w:rsidR="000A77F8" w:rsidRPr="000A77F8" w:rsidRDefault="000A77F8" w:rsidP="00B9719F">
            <w:pPr>
              <w:rPr>
                <w:rFonts w:ascii="Arial" w:hAnsi="Arial" w:cs="Arial"/>
                <w:sz w:val="20"/>
                <w:szCs w:val="20"/>
              </w:rPr>
            </w:pPr>
            <w:r w:rsidRPr="000A77F8">
              <w:rPr>
                <w:rFonts w:ascii="Arial" w:hAnsi="Arial" w:cs="Arial"/>
                <w:sz w:val="20"/>
                <w:szCs w:val="20"/>
              </w:rPr>
              <w:t>Right Hippocampal Volume [mL]</w:t>
            </w:r>
            <w:r w:rsidRPr="000A77F8">
              <w:rPr>
                <w:rFonts w:ascii="Arial" w:hAnsi="Arial" w:cs="Arial"/>
                <w:sz w:val="20"/>
                <w:szCs w:val="20"/>
                <w:vertAlign w:val="superscript"/>
              </w:rPr>
              <w:t>#</w:t>
            </w:r>
          </w:p>
        </w:tc>
        <w:tc>
          <w:tcPr>
            <w:tcW w:w="1417"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lang w:val="en-US"/>
              </w:rPr>
              <w:t>2.6</w:t>
            </w:r>
            <w:r w:rsidRPr="000A77F8">
              <w:rPr>
                <w:rFonts w:ascii="Arial" w:hAnsi="Arial" w:cs="Arial"/>
                <w:sz w:val="20"/>
                <w:szCs w:val="20"/>
                <w:lang w:val="en-US"/>
              </w:rPr>
              <w:sym w:font="Symbol" w:char="F0B1"/>
            </w:r>
            <w:r w:rsidRPr="000A77F8">
              <w:rPr>
                <w:rFonts w:ascii="Arial" w:hAnsi="Arial" w:cs="Arial"/>
                <w:sz w:val="20"/>
                <w:szCs w:val="20"/>
                <w:lang w:val="en-US"/>
              </w:rPr>
              <w:t>0.5</w:t>
            </w:r>
          </w:p>
        </w:tc>
        <w:tc>
          <w:tcPr>
            <w:tcW w:w="1276"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lang w:val="en-US"/>
              </w:rPr>
              <w:t>2.9</w:t>
            </w:r>
            <w:r w:rsidRPr="000A77F8">
              <w:rPr>
                <w:rFonts w:ascii="Arial" w:hAnsi="Arial" w:cs="Arial"/>
                <w:sz w:val="20"/>
                <w:szCs w:val="20"/>
                <w:lang w:val="en-US"/>
              </w:rPr>
              <w:sym w:font="Symbol" w:char="F0B1"/>
            </w:r>
            <w:r w:rsidRPr="000A77F8">
              <w:rPr>
                <w:rFonts w:ascii="Arial" w:hAnsi="Arial" w:cs="Arial"/>
                <w:sz w:val="20"/>
                <w:szCs w:val="20"/>
                <w:lang w:val="en-US"/>
              </w:rPr>
              <w:t>0.3</w:t>
            </w:r>
          </w:p>
        </w:tc>
        <w:tc>
          <w:tcPr>
            <w:tcW w:w="1300"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rPr>
              <w:t>F=7.2</w:t>
            </w:r>
          </w:p>
        </w:tc>
        <w:tc>
          <w:tcPr>
            <w:tcW w:w="970" w:type="dxa"/>
            <w:shd w:val="clear" w:color="auto" w:fill="auto"/>
          </w:tcPr>
          <w:p w:rsidR="000A77F8" w:rsidRPr="000A77F8" w:rsidRDefault="000A77F8" w:rsidP="00B9719F">
            <w:pPr>
              <w:jc w:val="right"/>
              <w:rPr>
                <w:rFonts w:ascii="Arial" w:hAnsi="Arial" w:cs="Arial"/>
                <w:sz w:val="20"/>
                <w:szCs w:val="20"/>
              </w:rPr>
            </w:pPr>
            <w:r w:rsidRPr="000A77F8">
              <w:rPr>
                <w:rFonts w:ascii="Arial" w:hAnsi="Arial" w:cs="Arial"/>
                <w:sz w:val="20"/>
                <w:szCs w:val="20"/>
              </w:rPr>
              <w:t>0.01</w:t>
            </w:r>
          </w:p>
        </w:tc>
      </w:tr>
      <w:tr w:rsidR="000A77F8" w:rsidRPr="000A77F8" w:rsidTr="0053656E">
        <w:trPr>
          <w:jc w:val="center"/>
        </w:trPr>
        <w:tc>
          <w:tcPr>
            <w:tcW w:w="4112" w:type="dxa"/>
            <w:shd w:val="clear" w:color="auto" w:fill="auto"/>
          </w:tcPr>
          <w:p w:rsidR="000A77F8" w:rsidRPr="000A77F8" w:rsidRDefault="000A77F8" w:rsidP="00B9719F">
            <w:pPr>
              <w:rPr>
                <w:rFonts w:ascii="Arial" w:hAnsi="Arial" w:cs="Arial"/>
                <w:i/>
                <w:sz w:val="20"/>
                <w:szCs w:val="20"/>
                <w:vertAlign w:val="superscript"/>
              </w:rPr>
            </w:pPr>
            <w:r w:rsidRPr="000A77F8">
              <w:rPr>
                <w:rFonts w:ascii="Arial" w:hAnsi="Arial" w:cs="Arial"/>
                <w:sz w:val="20"/>
                <w:szCs w:val="20"/>
              </w:rPr>
              <w:t>Plasma IL-6 [pg/mL] *</w:t>
            </w:r>
            <w:r w:rsidRPr="000A77F8">
              <w:rPr>
                <w:rFonts w:ascii="Arial" w:hAnsi="Arial" w:cs="Arial"/>
                <w:sz w:val="20"/>
                <w:szCs w:val="20"/>
                <w:vertAlign w:val="superscript"/>
              </w:rPr>
              <w:t>,£</w:t>
            </w:r>
          </w:p>
        </w:tc>
        <w:tc>
          <w:tcPr>
            <w:tcW w:w="1417" w:type="dxa"/>
            <w:shd w:val="clear" w:color="auto" w:fill="auto"/>
          </w:tcPr>
          <w:p w:rsidR="000A77F8" w:rsidRPr="000A77F8" w:rsidRDefault="000A77F8" w:rsidP="00B9719F">
            <w:pPr>
              <w:jc w:val="center"/>
              <w:rPr>
                <w:rFonts w:ascii="Arial" w:hAnsi="Arial" w:cs="Arial"/>
                <w:sz w:val="20"/>
                <w:szCs w:val="20"/>
                <w:lang w:val="en-US"/>
              </w:rPr>
            </w:pPr>
            <w:r w:rsidRPr="000A77F8">
              <w:rPr>
                <w:rFonts w:ascii="Arial" w:hAnsi="Arial" w:cs="Arial"/>
                <w:sz w:val="20"/>
                <w:szCs w:val="20"/>
                <w:lang w:val="en-US"/>
              </w:rPr>
              <w:t>2.2</w:t>
            </w:r>
            <w:r w:rsidRPr="000A77F8">
              <w:rPr>
                <w:rFonts w:ascii="Arial" w:hAnsi="Arial" w:cs="Arial"/>
                <w:sz w:val="20"/>
                <w:szCs w:val="20"/>
                <w:lang w:val="en-US"/>
              </w:rPr>
              <w:sym w:font="Symbol" w:char="F0B1"/>
            </w:r>
            <w:r w:rsidRPr="000A77F8">
              <w:rPr>
                <w:rFonts w:ascii="Arial" w:hAnsi="Arial" w:cs="Arial"/>
                <w:sz w:val="20"/>
                <w:szCs w:val="20"/>
                <w:lang w:val="en-US"/>
              </w:rPr>
              <w:t>1.8</w:t>
            </w:r>
          </w:p>
        </w:tc>
        <w:tc>
          <w:tcPr>
            <w:tcW w:w="1276" w:type="dxa"/>
            <w:shd w:val="clear" w:color="auto" w:fill="auto"/>
          </w:tcPr>
          <w:p w:rsidR="000A77F8" w:rsidRPr="000A77F8" w:rsidRDefault="000A77F8" w:rsidP="00B9719F">
            <w:pPr>
              <w:jc w:val="center"/>
              <w:rPr>
                <w:rFonts w:ascii="Arial" w:hAnsi="Arial" w:cs="Arial"/>
                <w:sz w:val="20"/>
                <w:szCs w:val="20"/>
                <w:lang w:val="en-US"/>
              </w:rPr>
            </w:pPr>
            <w:r w:rsidRPr="000A77F8">
              <w:rPr>
                <w:rFonts w:ascii="Arial" w:hAnsi="Arial" w:cs="Arial"/>
                <w:sz w:val="20"/>
                <w:szCs w:val="20"/>
                <w:lang w:val="en-US"/>
              </w:rPr>
              <w:t>1.4</w:t>
            </w:r>
            <w:r w:rsidRPr="000A77F8">
              <w:rPr>
                <w:rFonts w:ascii="Arial" w:hAnsi="Arial" w:cs="Arial"/>
                <w:sz w:val="20"/>
                <w:szCs w:val="20"/>
                <w:lang w:val="en-US"/>
              </w:rPr>
              <w:sym w:font="Symbol" w:char="F0B1"/>
            </w:r>
            <w:r w:rsidRPr="000A77F8">
              <w:rPr>
                <w:rFonts w:ascii="Arial" w:hAnsi="Arial" w:cs="Arial"/>
                <w:sz w:val="20"/>
                <w:szCs w:val="20"/>
                <w:lang w:val="en-US"/>
              </w:rPr>
              <w:t>0.8</w:t>
            </w:r>
          </w:p>
        </w:tc>
        <w:tc>
          <w:tcPr>
            <w:tcW w:w="1300"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rPr>
              <w:t>t=2.2</w:t>
            </w:r>
          </w:p>
        </w:tc>
        <w:tc>
          <w:tcPr>
            <w:tcW w:w="970" w:type="dxa"/>
            <w:shd w:val="clear" w:color="auto" w:fill="auto"/>
          </w:tcPr>
          <w:p w:rsidR="000A77F8" w:rsidRPr="000A77F8" w:rsidRDefault="000A77F8" w:rsidP="00B9719F">
            <w:pPr>
              <w:jc w:val="right"/>
              <w:rPr>
                <w:rFonts w:ascii="Arial" w:hAnsi="Arial" w:cs="Arial"/>
                <w:sz w:val="20"/>
                <w:szCs w:val="20"/>
              </w:rPr>
            </w:pPr>
            <w:r w:rsidRPr="000A77F8">
              <w:rPr>
                <w:rFonts w:ascii="Arial" w:hAnsi="Arial" w:cs="Arial"/>
                <w:sz w:val="20"/>
                <w:szCs w:val="20"/>
              </w:rPr>
              <w:t>0.03</w:t>
            </w:r>
          </w:p>
        </w:tc>
      </w:tr>
      <w:tr w:rsidR="000A77F8" w:rsidRPr="000A77F8" w:rsidTr="0053656E">
        <w:trPr>
          <w:jc w:val="center"/>
        </w:trPr>
        <w:tc>
          <w:tcPr>
            <w:tcW w:w="4112" w:type="dxa"/>
            <w:shd w:val="clear" w:color="auto" w:fill="auto"/>
          </w:tcPr>
          <w:p w:rsidR="000A77F8" w:rsidRPr="000A77F8" w:rsidRDefault="000A77F8" w:rsidP="00B9719F">
            <w:pPr>
              <w:rPr>
                <w:rFonts w:ascii="Arial" w:hAnsi="Arial" w:cs="Arial"/>
                <w:sz w:val="20"/>
                <w:szCs w:val="20"/>
              </w:rPr>
            </w:pPr>
            <w:r w:rsidRPr="000A77F8">
              <w:rPr>
                <w:rFonts w:ascii="Arial" w:hAnsi="Arial" w:cs="Arial"/>
                <w:i/>
                <w:sz w:val="20"/>
                <w:szCs w:val="20"/>
              </w:rPr>
              <w:t>IL-6</w:t>
            </w:r>
            <w:r w:rsidRPr="000A77F8">
              <w:rPr>
                <w:rFonts w:ascii="Arial" w:hAnsi="Arial" w:cs="Arial"/>
                <w:sz w:val="20"/>
                <w:szCs w:val="20"/>
              </w:rPr>
              <w:t xml:space="preserve"> Genotype [GG : GC/CC]</w:t>
            </w:r>
            <w:r w:rsidRPr="000A77F8">
              <w:rPr>
                <w:rFonts w:ascii="Arial" w:hAnsi="Arial" w:cs="Arial"/>
                <w:sz w:val="20"/>
                <w:szCs w:val="20"/>
                <w:vertAlign w:val="superscript"/>
              </w:rPr>
              <w:t>$</w:t>
            </w:r>
          </w:p>
        </w:tc>
        <w:tc>
          <w:tcPr>
            <w:tcW w:w="1417" w:type="dxa"/>
            <w:shd w:val="clear" w:color="auto" w:fill="auto"/>
          </w:tcPr>
          <w:p w:rsidR="000A77F8" w:rsidRPr="000A77F8" w:rsidRDefault="000A77F8" w:rsidP="00B9719F">
            <w:pPr>
              <w:jc w:val="center"/>
              <w:rPr>
                <w:rFonts w:ascii="Arial" w:hAnsi="Arial" w:cs="Arial"/>
                <w:sz w:val="20"/>
                <w:szCs w:val="20"/>
                <w:lang w:val="en-US"/>
              </w:rPr>
            </w:pPr>
            <w:r w:rsidRPr="000A77F8">
              <w:rPr>
                <w:rFonts w:ascii="Arial" w:hAnsi="Arial" w:cs="Arial"/>
                <w:sz w:val="20"/>
                <w:szCs w:val="20"/>
                <w:lang w:val="en-US"/>
              </w:rPr>
              <w:t>21:7</w:t>
            </w:r>
          </w:p>
        </w:tc>
        <w:tc>
          <w:tcPr>
            <w:tcW w:w="1276" w:type="dxa"/>
            <w:shd w:val="clear" w:color="auto" w:fill="auto"/>
          </w:tcPr>
          <w:p w:rsidR="000A77F8" w:rsidRPr="000A77F8" w:rsidRDefault="000A77F8" w:rsidP="00B9719F">
            <w:pPr>
              <w:jc w:val="center"/>
              <w:rPr>
                <w:rFonts w:ascii="Arial" w:hAnsi="Arial" w:cs="Arial"/>
                <w:sz w:val="20"/>
                <w:szCs w:val="20"/>
                <w:lang w:val="en-US"/>
              </w:rPr>
            </w:pPr>
            <w:r w:rsidRPr="000A77F8">
              <w:rPr>
                <w:rFonts w:ascii="Arial" w:hAnsi="Arial" w:cs="Arial"/>
                <w:sz w:val="20"/>
                <w:szCs w:val="20"/>
                <w:lang w:val="en-US"/>
              </w:rPr>
              <w:t>21:7</w:t>
            </w:r>
          </w:p>
        </w:tc>
        <w:tc>
          <w:tcPr>
            <w:tcW w:w="1300" w:type="dxa"/>
            <w:shd w:val="clear" w:color="auto" w:fill="auto"/>
          </w:tcPr>
          <w:p w:rsidR="000A77F8" w:rsidRPr="000A77F8" w:rsidRDefault="000A77F8" w:rsidP="00B9719F">
            <w:pPr>
              <w:jc w:val="center"/>
              <w:rPr>
                <w:rFonts w:ascii="Arial" w:hAnsi="Arial" w:cs="Arial"/>
                <w:sz w:val="20"/>
                <w:szCs w:val="20"/>
              </w:rPr>
            </w:pPr>
            <w:r w:rsidRPr="000A77F8">
              <w:rPr>
                <w:rFonts w:ascii="Arial" w:hAnsi="Arial" w:cs="Arial"/>
                <w:sz w:val="20"/>
                <w:szCs w:val="20"/>
              </w:rPr>
              <w:t>χ</w:t>
            </w:r>
            <w:r w:rsidRPr="000A77F8">
              <w:rPr>
                <w:rFonts w:ascii="Arial" w:hAnsi="Arial" w:cs="Arial"/>
                <w:sz w:val="20"/>
                <w:szCs w:val="20"/>
                <w:vertAlign w:val="superscript"/>
              </w:rPr>
              <w:t>2</w:t>
            </w:r>
            <w:r w:rsidRPr="000A77F8">
              <w:rPr>
                <w:rFonts w:ascii="Arial" w:hAnsi="Arial" w:cs="Arial"/>
                <w:sz w:val="20"/>
                <w:szCs w:val="20"/>
              </w:rPr>
              <w:t>=0</w:t>
            </w:r>
          </w:p>
        </w:tc>
        <w:tc>
          <w:tcPr>
            <w:tcW w:w="970" w:type="dxa"/>
            <w:shd w:val="clear" w:color="auto" w:fill="auto"/>
          </w:tcPr>
          <w:p w:rsidR="000A77F8" w:rsidRPr="000A77F8" w:rsidRDefault="000A77F8" w:rsidP="00B9719F">
            <w:pPr>
              <w:jc w:val="right"/>
              <w:rPr>
                <w:rFonts w:ascii="Arial" w:hAnsi="Arial" w:cs="Arial"/>
                <w:sz w:val="20"/>
                <w:szCs w:val="20"/>
              </w:rPr>
            </w:pPr>
            <w:r w:rsidRPr="000A77F8">
              <w:rPr>
                <w:rFonts w:ascii="Arial" w:hAnsi="Arial" w:cs="Arial"/>
                <w:sz w:val="20"/>
                <w:szCs w:val="20"/>
              </w:rPr>
              <w:t>1.0</w:t>
            </w:r>
          </w:p>
        </w:tc>
      </w:tr>
    </w:tbl>
    <w:p w:rsidR="000A77F8" w:rsidRPr="000A77F8" w:rsidRDefault="000A77F8" w:rsidP="000A77F8">
      <w:pPr>
        <w:ind w:left="-567"/>
        <w:jc w:val="center"/>
        <w:rPr>
          <w:rFonts w:ascii="Arial" w:hAnsi="Arial" w:cs="Arial"/>
          <w:sz w:val="20"/>
          <w:szCs w:val="20"/>
        </w:rPr>
      </w:pPr>
      <w:r w:rsidRPr="000A77F8">
        <w:rPr>
          <w:rFonts w:ascii="Arial" w:hAnsi="Arial" w:cs="Arial"/>
          <w:sz w:val="20"/>
          <w:szCs w:val="20"/>
        </w:rPr>
        <w:t xml:space="preserve">* - Independent samples t-test; </w:t>
      </w:r>
      <w:r w:rsidRPr="000A77F8">
        <w:rPr>
          <w:rFonts w:ascii="Arial" w:hAnsi="Arial" w:cs="Arial"/>
          <w:sz w:val="20"/>
          <w:szCs w:val="20"/>
          <w:vertAlign w:val="superscript"/>
        </w:rPr>
        <w:t>$</w:t>
      </w:r>
      <w:r w:rsidRPr="000A77F8">
        <w:rPr>
          <w:rFonts w:ascii="Arial" w:hAnsi="Arial" w:cs="Arial"/>
          <w:sz w:val="20"/>
          <w:szCs w:val="20"/>
        </w:rPr>
        <w:t xml:space="preserve"> - Chi-Square test; </w:t>
      </w:r>
      <w:r w:rsidRPr="000A77F8">
        <w:rPr>
          <w:rFonts w:ascii="Arial" w:hAnsi="Arial" w:cs="Arial"/>
          <w:sz w:val="20"/>
          <w:szCs w:val="20"/>
          <w:vertAlign w:val="superscript"/>
        </w:rPr>
        <w:t>#</w:t>
      </w:r>
      <w:r w:rsidRPr="000A77F8">
        <w:rPr>
          <w:rFonts w:ascii="Arial" w:hAnsi="Arial" w:cs="Arial"/>
          <w:sz w:val="20"/>
          <w:szCs w:val="20"/>
        </w:rPr>
        <w:t xml:space="preserve"> - ANCOVA</w:t>
      </w:r>
    </w:p>
    <w:p w:rsidR="000A77F8" w:rsidRPr="000A77F8" w:rsidRDefault="000A77F8" w:rsidP="000A77F8">
      <w:pPr>
        <w:ind w:left="-567"/>
        <w:jc w:val="center"/>
        <w:rPr>
          <w:rFonts w:ascii="Arial" w:hAnsi="Arial" w:cs="Arial"/>
          <w:sz w:val="20"/>
          <w:szCs w:val="20"/>
        </w:rPr>
      </w:pPr>
      <w:r w:rsidRPr="000A77F8">
        <w:rPr>
          <w:rFonts w:ascii="Arial" w:hAnsi="Arial" w:cs="Arial"/>
          <w:sz w:val="20"/>
          <w:szCs w:val="20"/>
        </w:rPr>
        <w:t>£ - data was available for 25 patients and 25 controls</w:t>
      </w:r>
    </w:p>
    <w:p w:rsidR="000A77F8" w:rsidRPr="000A77F8" w:rsidRDefault="000A77F8" w:rsidP="000A77F8">
      <w:pPr>
        <w:spacing w:after="240"/>
        <w:rPr>
          <w:rFonts w:ascii="Arial" w:hAnsi="Arial" w:cs="Arial"/>
          <w:sz w:val="20"/>
          <w:szCs w:val="20"/>
        </w:rPr>
      </w:pPr>
    </w:p>
    <w:p w:rsidR="000A77F8" w:rsidRPr="000A77F8" w:rsidRDefault="000A77F8" w:rsidP="000A77F8">
      <w:pPr>
        <w:spacing w:after="200" w:line="276" w:lineRule="auto"/>
        <w:jc w:val="both"/>
        <w:rPr>
          <w:rFonts w:ascii="Arial" w:eastAsia="Calibri" w:hAnsi="Arial" w:cs="Arial"/>
          <w:sz w:val="20"/>
          <w:szCs w:val="20"/>
          <w:lang w:eastAsia="en-US"/>
        </w:rPr>
      </w:pPr>
      <w:r w:rsidRPr="000A77F8">
        <w:rPr>
          <w:rFonts w:ascii="Arial" w:eastAsia="Calibri" w:hAnsi="Arial" w:cs="Arial"/>
          <w:color w:val="548DD4" w:themeColor="text2" w:themeTint="99"/>
          <w:sz w:val="20"/>
          <w:szCs w:val="20"/>
          <w:lang w:eastAsia="en-US"/>
        </w:rPr>
        <w:tab/>
      </w:r>
      <w:r w:rsidRPr="000A77F8">
        <w:rPr>
          <w:rFonts w:ascii="Arial" w:eastAsia="Calibri" w:hAnsi="Arial" w:cs="Arial"/>
          <w:sz w:val="20"/>
          <w:szCs w:val="20"/>
          <w:lang w:eastAsia="en-US"/>
        </w:rPr>
        <w:t>Multivariate ANCOVA on bilateral hippocampal volume, controlling for the potential confounding effects of age, sex and total brain volume revealed a significant ‘diagnosis by genotype’ interaction [F=5.7; p=0.006] involving both right [F=11.6; p=0.001] and left [F=8.2; p=0.006] hippocampal volumes (Figures below). Follow-up analyses to uncover the effect of genotype identified that in the subgroup of subjects who carried “GG” genotype, the hippocampal volumes were significantly deficient in patients in comparison with healthy controls [Right: F=20.0; p&lt;0.001; Left: F=19.4; p&lt;0.001], whereas in the subgroup with “GC/CC” genotype, the hippocampal volumes did not differ significantly [Right: F=1.1; p=0.3; Left: F=1.0; p=0.3]. Within healthy controls, GG homozygotes had significantly larger bilateral hippocampal volume compared to GC/CC carriers [Right: F=5.3; p=0.03; Left: F=5.0; p=0.04]; on the contrary, the reverse was true in patients [but significant only for right side; Right: F=5.5; p=0.03; Left: F=1.7; p=0.2].</w:t>
      </w:r>
    </w:p>
    <w:p w:rsidR="000A77F8" w:rsidRPr="000A77F8" w:rsidRDefault="000A77F8" w:rsidP="000A77F8">
      <w:pPr>
        <w:autoSpaceDE w:val="0"/>
        <w:autoSpaceDN w:val="0"/>
        <w:adjustRightInd w:val="0"/>
        <w:jc w:val="center"/>
        <w:rPr>
          <w:rFonts w:ascii="Arial" w:eastAsiaTheme="minorHAnsi" w:hAnsi="Arial" w:cs="Arial"/>
          <w:sz w:val="20"/>
          <w:szCs w:val="20"/>
          <w:lang w:eastAsia="en-US"/>
        </w:rPr>
      </w:pPr>
      <w:r w:rsidRPr="000A77F8">
        <w:rPr>
          <w:rFonts w:ascii="Arial" w:eastAsiaTheme="minorHAnsi" w:hAnsi="Arial" w:cs="Arial"/>
          <w:noProof/>
          <w:sz w:val="20"/>
          <w:szCs w:val="20"/>
          <w:lang w:bidi="hi-IN"/>
        </w:rPr>
        <w:drawing>
          <wp:inline distT="0" distB="0" distL="0" distR="0">
            <wp:extent cx="3706357" cy="268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b="9326"/>
                    <a:stretch>
                      <a:fillRect/>
                    </a:stretch>
                  </pic:blipFill>
                  <pic:spPr bwMode="auto">
                    <a:xfrm>
                      <a:off x="0" y="0"/>
                      <a:ext cx="3708205" cy="2684903"/>
                    </a:xfrm>
                    <a:prstGeom prst="rect">
                      <a:avLst/>
                    </a:prstGeom>
                    <a:noFill/>
                    <a:ln w="9525">
                      <a:noFill/>
                      <a:miter lim="800000"/>
                      <a:headEnd/>
                      <a:tailEnd/>
                    </a:ln>
                  </pic:spPr>
                </pic:pic>
              </a:graphicData>
            </a:graphic>
          </wp:inline>
        </w:drawing>
      </w:r>
    </w:p>
    <w:p w:rsidR="000A77F8" w:rsidRPr="000A77F8" w:rsidRDefault="000A77F8" w:rsidP="000A77F8">
      <w:pPr>
        <w:autoSpaceDE w:val="0"/>
        <w:autoSpaceDN w:val="0"/>
        <w:adjustRightInd w:val="0"/>
        <w:jc w:val="both"/>
        <w:rPr>
          <w:rFonts w:ascii="Arial" w:eastAsiaTheme="minorHAnsi" w:hAnsi="Arial" w:cs="Arial"/>
          <w:sz w:val="20"/>
          <w:szCs w:val="20"/>
          <w:lang w:eastAsia="en-US"/>
        </w:rPr>
      </w:pPr>
    </w:p>
    <w:p w:rsidR="000A77F8" w:rsidRPr="000A77F8" w:rsidRDefault="000A77F8" w:rsidP="000A77F8">
      <w:pPr>
        <w:autoSpaceDE w:val="0"/>
        <w:autoSpaceDN w:val="0"/>
        <w:adjustRightInd w:val="0"/>
        <w:jc w:val="center"/>
        <w:rPr>
          <w:rFonts w:ascii="Arial" w:eastAsiaTheme="minorHAnsi" w:hAnsi="Arial" w:cs="Arial"/>
          <w:sz w:val="20"/>
          <w:szCs w:val="20"/>
          <w:lang w:eastAsia="en-US"/>
        </w:rPr>
      </w:pPr>
      <w:r w:rsidRPr="000A77F8">
        <w:rPr>
          <w:rFonts w:ascii="Arial" w:eastAsiaTheme="minorHAnsi" w:hAnsi="Arial" w:cs="Arial"/>
          <w:noProof/>
          <w:sz w:val="20"/>
          <w:szCs w:val="20"/>
          <w:lang w:bidi="hi-IN"/>
        </w:rPr>
        <w:lastRenderedPageBreak/>
        <w:drawing>
          <wp:inline distT="0" distB="0" distL="0" distR="0">
            <wp:extent cx="3578087" cy="2598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b="9067"/>
                    <a:stretch>
                      <a:fillRect/>
                    </a:stretch>
                  </pic:blipFill>
                  <pic:spPr bwMode="auto">
                    <a:xfrm>
                      <a:off x="0" y="0"/>
                      <a:ext cx="3575513" cy="2596227"/>
                    </a:xfrm>
                    <a:prstGeom prst="rect">
                      <a:avLst/>
                    </a:prstGeom>
                    <a:noFill/>
                    <a:ln w="9525">
                      <a:noFill/>
                      <a:miter lim="800000"/>
                      <a:headEnd/>
                      <a:tailEnd/>
                    </a:ln>
                  </pic:spPr>
                </pic:pic>
              </a:graphicData>
            </a:graphic>
          </wp:inline>
        </w:drawing>
      </w:r>
    </w:p>
    <w:p w:rsidR="000A77F8" w:rsidRPr="000A77F8" w:rsidRDefault="000A77F8" w:rsidP="000A77F8">
      <w:pPr>
        <w:autoSpaceDE w:val="0"/>
        <w:autoSpaceDN w:val="0"/>
        <w:adjustRightInd w:val="0"/>
        <w:jc w:val="both"/>
        <w:rPr>
          <w:rFonts w:ascii="Arial" w:eastAsiaTheme="minorHAnsi" w:hAnsi="Arial" w:cs="Arial"/>
          <w:sz w:val="20"/>
          <w:szCs w:val="20"/>
          <w:lang w:eastAsia="en-US"/>
        </w:rPr>
      </w:pPr>
    </w:p>
    <w:p w:rsidR="000A77F8" w:rsidRPr="000A77F8" w:rsidRDefault="000A77F8" w:rsidP="000A77F8">
      <w:pPr>
        <w:jc w:val="both"/>
        <w:rPr>
          <w:rFonts w:ascii="Arial" w:hAnsi="Arial" w:cs="Arial"/>
          <w:sz w:val="20"/>
          <w:szCs w:val="20"/>
        </w:rPr>
      </w:pPr>
      <w:r w:rsidRPr="000A77F8">
        <w:rPr>
          <w:rFonts w:ascii="Arial" w:hAnsi="Arial" w:cs="Arial"/>
          <w:sz w:val="20"/>
          <w:szCs w:val="20"/>
        </w:rPr>
        <w:t>----------------------------------------------------------------------------------------------------------------</w:t>
      </w:r>
      <w:r>
        <w:rPr>
          <w:rFonts w:ascii="Arial" w:hAnsi="Arial" w:cs="Arial"/>
          <w:sz w:val="20"/>
          <w:szCs w:val="20"/>
        </w:rPr>
        <w:t>-----------------------</w:t>
      </w:r>
    </w:p>
    <w:p w:rsidR="00C060D2" w:rsidRPr="000A77F8" w:rsidRDefault="00C060D2">
      <w:pPr>
        <w:rPr>
          <w:rFonts w:ascii="Arial" w:hAnsi="Arial" w:cs="Arial"/>
          <w:sz w:val="20"/>
          <w:szCs w:val="20"/>
        </w:rPr>
      </w:pPr>
    </w:p>
    <w:sectPr w:rsidR="00C060D2" w:rsidRPr="000A77F8" w:rsidSect="00F46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2"/>
  </w:compat>
  <w:rsids>
    <w:rsidRoot w:val="000A77F8"/>
    <w:rsid w:val="000A77F8"/>
    <w:rsid w:val="0044216C"/>
    <w:rsid w:val="005028A1"/>
    <w:rsid w:val="0053656E"/>
    <w:rsid w:val="0056145B"/>
    <w:rsid w:val="005E477E"/>
    <w:rsid w:val="00845280"/>
    <w:rsid w:val="00890F91"/>
    <w:rsid w:val="00C060D2"/>
    <w:rsid w:val="00F46F1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F8"/>
    <w:pPr>
      <w:spacing w:after="0" w:line="240" w:lineRule="auto"/>
    </w:pPr>
    <w:rPr>
      <w:rFonts w:ascii="Times New Roman" w:eastAsia="Times New Roman" w:hAnsi="Times New Roman" w:cs="Times New Roman"/>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7F8"/>
    <w:rPr>
      <w:rFonts w:ascii="Tahoma" w:hAnsi="Tahoma" w:cs="Tahoma"/>
      <w:sz w:val="16"/>
      <w:szCs w:val="16"/>
    </w:rPr>
  </w:style>
  <w:style w:type="character" w:customStyle="1" w:styleId="BalloonTextChar">
    <w:name w:val="Balloon Text Char"/>
    <w:basedOn w:val="DefaultParagraphFont"/>
    <w:link w:val="BalloonText"/>
    <w:uiPriority w:val="99"/>
    <w:semiHidden/>
    <w:rsid w:val="000A77F8"/>
    <w:rPr>
      <w:rFonts w:ascii="Tahoma" w:eastAsia="Times New Roman" w:hAnsi="Tahoma" w:cs="Tahoma"/>
      <w:sz w:val="16"/>
      <w:szCs w:val="16"/>
      <w:lang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F8"/>
    <w:pPr>
      <w:spacing w:after="0" w:line="240" w:lineRule="auto"/>
    </w:pPr>
    <w:rPr>
      <w:rFonts w:ascii="Times New Roman" w:eastAsia="Times New Roman" w:hAnsi="Times New Roman" w:cs="Times New Roman"/>
      <w:sz w:val="24"/>
      <w:szCs w:val="24"/>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7F8"/>
    <w:rPr>
      <w:rFonts w:ascii="Tahoma" w:hAnsi="Tahoma" w:cs="Tahoma"/>
      <w:sz w:val="16"/>
      <w:szCs w:val="16"/>
    </w:rPr>
  </w:style>
  <w:style w:type="character" w:customStyle="1" w:styleId="BalloonTextChar">
    <w:name w:val="Balloon Text Char"/>
    <w:basedOn w:val="DefaultParagraphFont"/>
    <w:link w:val="BalloonText"/>
    <w:uiPriority w:val="99"/>
    <w:semiHidden/>
    <w:rsid w:val="000A77F8"/>
    <w:rPr>
      <w:rFonts w:ascii="Tahoma" w:eastAsia="Times New Roman" w:hAnsi="Tahoma" w:cs="Tahoma"/>
      <w:sz w:val="16"/>
      <w:szCs w:val="16"/>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1943</Characters>
  <Application>Microsoft Office Word</Application>
  <DocSecurity>0</DocSecurity>
  <Lines>16</Lines>
  <Paragraphs>4</Paragraphs>
  <ScaleCrop>false</ScaleCrop>
  <Company>Hewlett-Packard</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dc:creator>
  <cp:lastModifiedBy>Venkat</cp:lastModifiedBy>
  <cp:revision>8</cp:revision>
  <dcterms:created xsi:type="dcterms:W3CDTF">2014-03-17T02:06:00Z</dcterms:created>
  <dcterms:modified xsi:type="dcterms:W3CDTF">2014-04-10T23:27:00Z</dcterms:modified>
</cp:coreProperties>
</file>