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E5147B" w:rsidRPr="00F02C15" w:rsidRDefault="00E5147B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72" w:rsidRPr="00F02C15" w:rsidRDefault="00E5147B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T</w:t>
      </w:r>
      <w:r w:rsidR="00CA5372" w:rsidRPr="00F02C15">
        <w:rPr>
          <w:rFonts w:ascii="Times New Roman" w:hAnsi="Times New Roman" w:cs="Times New Roman"/>
          <w:sz w:val="24"/>
          <w:szCs w:val="24"/>
        </w:rPr>
        <w:t>his work was made possible by the generous participation of the control subjects, the patients, and</w:t>
      </w:r>
      <w:r w:rsidRPr="00F02C15">
        <w:rPr>
          <w:rFonts w:ascii="Times New Roman" w:hAnsi="Times New Roman" w:cs="Times New Roman"/>
          <w:sz w:val="24"/>
          <w:szCs w:val="24"/>
        </w:rPr>
        <w:t xml:space="preserve"> their families. </w:t>
      </w:r>
      <w:r w:rsidR="00CA5372" w:rsidRPr="00F02C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-Select </w:t>
      </w:r>
      <w:proofErr w:type="gramStart"/>
      <w:r w:rsidR="00CA5372" w:rsidRPr="00F02C15">
        <w:rPr>
          <w:rFonts w:ascii="Times New Roman" w:hAnsi="Times New Roman" w:cs="Times New Roman"/>
          <w:sz w:val="24"/>
          <w:szCs w:val="24"/>
        </w:rPr>
        <w:t>chips was</w:t>
      </w:r>
      <w:proofErr w:type="gram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funded by the French National Foundation on Alzheimer’s disease and related disorders.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 xml:space="preserve">The French National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on Alzheimer’s disease and related disorders supported several I-GAP meetings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 xml:space="preserve">and communications. Data management involved the Centre National de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Génotypage</w:t>
      </w:r>
      <w:proofErr w:type="gramStart"/>
      <w:r w:rsidR="00CA5372" w:rsidRPr="00F02C15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was supported by the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Pasteur de Lille,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>, FRC (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pour la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cerveau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>) and Rotary. This work has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>been developed and supported by the LABEX (laboratory of excellence program investment for the future) DISTALZ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 xml:space="preserve">grant (Development of Innovative Strategies for a </w:t>
      </w:r>
      <w:proofErr w:type="spellStart"/>
      <w:r w:rsidR="00CA5372" w:rsidRPr="00F02C15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approach to </w:t>
      </w:r>
      <w:proofErr w:type="spellStart"/>
      <w:proofErr w:type="gramStart"/>
      <w:r w:rsidR="00CA5372" w:rsidRPr="00F02C15">
        <w:rPr>
          <w:rFonts w:ascii="Times New Roman" w:hAnsi="Times New Roman" w:cs="Times New Roman"/>
          <w:sz w:val="24"/>
          <w:szCs w:val="24"/>
        </w:rPr>
        <w:t>ALZheimer’s</w:t>
      </w:r>
      <w:proofErr w:type="spellEnd"/>
      <w:proofErr w:type="gramEnd"/>
      <w:r w:rsidR="00CA5372" w:rsidRPr="00F02C15">
        <w:rPr>
          <w:rFonts w:ascii="Times New Roman" w:hAnsi="Times New Roman" w:cs="Times New Roman"/>
          <w:sz w:val="24"/>
          <w:szCs w:val="24"/>
        </w:rPr>
        <w:t xml:space="preserve"> disease) and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>by the LABEX GENMED grant (Medical Genomics). The French National Foundation on Alzheimer’s disease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>and related disorders and the Alzheimer’s Association (Chicago, IL) grant supported IGAP in-person meetings,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>communication and the Alzheimer’s Association (Chicago, IL) grant provided some funds to each consortium for</w:t>
      </w:r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="00CA5372" w:rsidRPr="00F02C15">
        <w:rPr>
          <w:rFonts w:ascii="Times New Roman" w:hAnsi="Times New Roman" w:cs="Times New Roman"/>
          <w:sz w:val="24"/>
          <w:szCs w:val="24"/>
        </w:rPr>
        <w:t>analyses.</w:t>
      </w:r>
    </w:p>
    <w:p w:rsidR="00E5147B" w:rsidRPr="00F02C15" w:rsidRDefault="00E5147B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EADI</w:t>
      </w:r>
    </w:p>
    <w:p w:rsidR="005F5C90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We thank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Anne Boland (CNG) for her technical help in preparing the DNA samples for analyses. This work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was supported by the National Foundation for Alzheimer’s disease and related disorders,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Pasteur de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Lille and the Centre National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Génotypage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</w:t>
      </w:r>
      <w:r w:rsidR="00E5147B" w:rsidRPr="00F0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The Three-City Study was performed as part of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 collaboration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between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</w:t>
      </w:r>
      <w:r w:rsidR="00E5147B" w:rsidRPr="00F02C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National de la Santé et de la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Médicale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Inserm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), the Victor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Segalen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Bordeaux II University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Sanofi-Synthélabo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pour la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Médicale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funded the preparation and initiation of the study. </w:t>
      </w:r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The 3C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Study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was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also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funded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fr-FR"/>
        </w:rPr>
        <w:t>by the Caisse Nationale Maladie des Travailleurs Salariés, Direction Générale de la Santé, MGEN, Institut de la</w:t>
      </w:r>
      <w:r w:rsidR="00E5147B"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Longévité, Agence Française de Sécurité Sanitaire des Produits de Santé, the Aquitaine and Bourgogne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Regional</w:t>
      </w:r>
      <w:proofErr w:type="spellEnd"/>
      <w:r w:rsidR="00E5147B"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Councils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, Agence Nationale de la Recherche, ANR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supported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the COGINUT and COVADIS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projects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>. Fondation de</w:t>
      </w:r>
      <w:r w:rsidR="00E5147B"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France and the joint French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Ministry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Research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>/INSERM «Cohortes et collections de données biologiques» programme.</w:t>
      </w:r>
      <w:r w:rsidR="00E5147B"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Lille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Génopôle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received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an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unconditional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grant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from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fr-FR"/>
        </w:rPr>
        <w:t>Eisai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F02C15">
        <w:rPr>
          <w:rFonts w:ascii="Times New Roman" w:hAnsi="Times New Roman" w:cs="Times New Roman"/>
          <w:sz w:val="24"/>
          <w:szCs w:val="24"/>
        </w:rPr>
        <w:t>The Three-city biological bank was developed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and maintained by the laboratory for genomic analysis LAG-BRC -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Pasteur de Lille.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Belgium sample collection: The patients were clinically and pathological characterized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by the neurologists </w:t>
      </w:r>
      <w:proofErr w:type="spellStart"/>
      <w:r w:rsidR="005F5C90" w:rsidRPr="00F02C15">
        <w:rPr>
          <w:rFonts w:ascii="Times New Roman" w:hAnsi="Times New Roman" w:cs="Times New Roman"/>
          <w:sz w:val="24"/>
          <w:szCs w:val="24"/>
        </w:rPr>
        <w:t>Sebastiaan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Engelborghs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Rik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Vandenberghe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 Peter P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Deyn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and in part geneticall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y by Caroline Van </w:t>
      </w:r>
      <w:proofErr w:type="spellStart"/>
      <w:r w:rsidR="005F5C90" w:rsidRPr="00F02C15">
        <w:rPr>
          <w:rFonts w:ascii="Times New Roman" w:hAnsi="Times New Roman" w:cs="Times New Roman"/>
          <w:sz w:val="24"/>
          <w:szCs w:val="24"/>
        </w:rPr>
        <w:t>Cauwenberghe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Karolien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Bettens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Kristel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Sleegers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 Research at the Antwerp site is funded in part by the Belgian Science Policy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</w:t>
      </w:r>
      <w:r w:rsidR="005F5C90" w:rsidRPr="00F02C15">
        <w:rPr>
          <w:rFonts w:ascii="Times New Roman" w:hAnsi="Times New Roman" w:cs="Times New Roman"/>
          <w:sz w:val="24"/>
          <w:szCs w:val="24"/>
        </w:rPr>
        <w:t>ff</w:t>
      </w:r>
      <w:r w:rsidRPr="00F02C1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Interuniversity Attraction Poles program, the Foundation Alzheimer Research (SAO-FRA)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the Flemish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Government initiated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Methusalem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Excellence Program, the Research Foundation Flanders (FWO) and the University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of Antwerp Research Fund, Belgium. KB is a postdoctoral fellow of the FWO. The Antwerp site authors thank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 personnel of the VIB Genetic Service Facility,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Biobank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of the Institute Born-Bunge and the Departments of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Neurology and Memory Clinics at the Hospital Network Antwerp and the University Hospitals Leuven.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Finish sample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collection :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Financial support for this project was provided by the Health Research Council of the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Academy of Finland, EVO grant 5772708 of Kuopio University Hospital, and the Nordic Centre of Excellence in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Neurodegeneration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Italian sample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collections :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the Bologna site (FL) obtained funds from the Italian Ministry of research and University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as well as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Carimonte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Foundation. The Florence site was supported by grant RF-2010-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2319722 ,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grant from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Cassa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Risparmio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di Pistoia 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Pescia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(Grant 2012) and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Cassa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Ris</w:t>
      </w:r>
      <w:r w:rsidR="005F5C90" w:rsidRPr="00F02C15">
        <w:rPr>
          <w:rFonts w:ascii="Times New Roman" w:hAnsi="Times New Roman" w:cs="Times New Roman"/>
          <w:sz w:val="24"/>
          <w:szCs w:val="24"/>
        </w:rPr>
        <w:t>parmio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di Firenze (Grant 2012). </w:t>
      </w:r>
      <w:r w:rsidRPr="00F02C15">
        <w:rPr>
          <w:rFonts w:ascii="Times New Roman" w:hAnsi="Times New Roman" w:cs="Times New Roman"/>
          <w:sz w:val="24"/>
          <w:szCs w:val="24"/>
        </w:rPr>
        <w:t>The Milan site was supported by a grant from the «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fondazione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Monzino</w:t>
      </w:r>
      <w:proofErr w:type="spellEnd"/>
      <w:proofErr w:type="gramStart"/>
      <w:r w:rsidRPr="00F02C15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We thank the expert contribution of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Mr. Carmelo Romano. The Roma site received financial support from Italian Ministry of Health, Grant </w:t>
      </w:r>
      <w:r w:rsidRPr="00F02C15">
        <w:rPr>
          <w:rFonts w:ascii="Times New Roman" w:hAnsi="Times New Roman" w:cs="Times New Roman"/>
          <w:sz w:val="24"/>
          <w:szCs w:val="24"/>
        </w:rPr>
        <w:lastRenderedPageBreak/>
        <w:t>RF07-08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and RC08-09-10-11-12. The Pisa site is grateful to Dr Annalisa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LoGerfo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her technical assistance in the DNA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purification studies.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Spanish sample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collection :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the Madrid site (MB) was supported by grants of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Mi</w:t>
      </w:r>
      <w:r w:rsidR="005F5C90" w:rsidRPr="00F02C15">
        <w:rPr>
          <w:rFonts w:ascii="Times New Roman" w:hAnsi="Times New Roman" w:cs="Times New Roman"/>
          <w:sz w:val="24"/>
          <w:szCs w:val="24"/>
        </w:rPr>
        <w:t>nisterio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5C90" w:rsidRPr="00F02C15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F5C90" w:rsidRPr="00F02C15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Sanidad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Consumo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Carlos III), and an institutional grant of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Fundación</w:t>
      </w:r>
      <w:proofErr w:type="spellEnd"/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Ramón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Areces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to the CBMSO. We thank I.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Sastre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Martínez-García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the preparation and control of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 DNA collection,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P. Gil and P. Coria for their cooperation in the cases/controls recruitment. We are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grateful to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Alzheimer de Madrid (AFAL) for continuous encouragement and help.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Swedish sample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collection :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Financially supported in part by the Swedish Brain 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Power network, the Marianne and </w:t>
      </w:r>
      <w:r w:rsidRPr="00F02C15">
        <w:rPr>
          <w:rFonts w:ascii="Times New Roman" w:hAnsi="Times New Roman" w:cs="Times New Roman"/>
          <w:sz w:val="24"/>
          <w:szCs w:val="24"/>
        </w:rPr>
        <w:t xml:space="preserve">Marcus Wallenberg Foundation, the Swedish Research Council (521-2010-3134), the King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Gustaf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V and Queen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Victoria’s Foundation of Freemasons, the Regional Agreement on Medical Training and Clinical Research (ALF)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between Stockholm County Council and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Karolinska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Institutet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the Swedish Brain Foundation and the Swedish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Alzheimer Foundation.</w:t>
      </w:r>
    </w:p>
    <w:p w:rsidR="005F5C90" w:rsidRPr="00F02C15" w:rsidRDefault="005F5C90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90" w:rsidRPr="00F02C15" w:rsidRDefault="005F5C90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CHARGE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AGES: The AGES-Reykjavik Study is funded by NIH contract N01-AG-12100 (NIA with contributions from the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NEI, NIDCD and NHLBI), the NIA Intramural Research Program,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Hjartavernd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(the Icelandic Heart Association),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Althingi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(the Icelandic Parliament).</w:t>
      </w:r>
    </w:p>
    <w:p w:rsidR="005F5C90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ASPS/PRODEM: The Austrian Stroke Prevention Study and The Prospective De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mentia Register of the Austrian </w:t>
      </w:r>
      <w:r w:rsidRPr="00F02C15">
        <w:rPr>
          <w:rFonts w:ascii="Times New Roman" w:hAnsi="Times New Roman" w:cs="Times New Roman"/>
          <w:sz w:val="24"/>
          <w:szCs w:val="24"/>
        </w:rPr>
        <w:t>Alzheimer Society was supported by The Austrian Science Fond (FWF) grant number P20545-P05 (H. Schmidt)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and P13180; The Austrian Alzheimer Society; The Medical University of Graz. Cardiovascular Health Study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(CHS): This CHS research was supported by NHLBI contracts HHSN268201200036C, HHSN268200800007C,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N01HC55222, N01HC85079, N01HC85080, N01HC85081, N01HC85082, N01HC85083, N01HC85086, and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HHSN268200960009C; and NHLBI grants HL080295, HL087652, HL105756 with additional contribution from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the National Institute of Neurological Disorders and Stroke (NINDS). Additional support was provided through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AG023629, AG15928, AG20098, AG027058 and AG033193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Seshadri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) from the National Institute on Aging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(NIA). A full list of CHS investigators and institutions can be found at http://www.chs-nhlbi.org/pi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. The </w:t>
      </w:r>
      <w:r w:rsidRPr="00F02C15">
        <w:rPr>
          <w:rFonts w:ascii="Times New Roman" w:hAnsi="Times New Roman" w:cs="Times New Roman"/>
          <w:sz w:val="24"/>
          <w:szCs w:val="24"/>
        </w:rPr>
        <w:t xml:space="preserve">provision of genotyping data was supported in part by the National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Ad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vancing Translational Sciences, </w:t>
      </w:r>
      <w:r w:rsidRPr="00F02C15">
        <w:rPr>
          <w:rFonts w:ascii="Times New Roman" w:hAnsi="Times New Roman" w:cs="Times New Roman"/>
          <w:sz w:val="24"/>
          <w:szCs w:val="24"/>
        </w:rPr>
        <w:t>CTSI grant UL1TR000124, and the National Institute of Diabetes and Digestive and Kidney Disease Diabetes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(DRC) grant DK063491 to the Southern California Diabetes Endocrinology 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FC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Framingham Heart Study (FHS): This work was supported by the National Heart, Lung and B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lood Institute’s </w:t>
      </w:r>
      <w:r w:rsidRPr="00F02C15">
        <w:rPr>
          <w:rFonts w:ascii="Times New Roman" w:hAnsi="Times New Roman" w:cs="Times New Roman"/>
          <w:sz w:val="24"/>
          <w:szCs w:val="24"/>
        </w:rPr>
        <w:t xml:space="preserve">Framingham Heart Study (Contract No. N01-HC-25195) and its contract with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A_ymetrix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genotyping services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(Contract No.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N02-HL-6-4278).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A portion of this research utilized the Linux Cluster for Genetic Analysis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LinGA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-II) funded by the Robert Dawson Evans Endowment of the Department of Medicine at Boston University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School of Medicine and Boston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. This study as also supported by grants from the National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Institute on Aging: AG08122 and AG033193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Seshadri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Seshadri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DeStefano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were also supported by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additional grants from the National Institute on Aging: (R01 AG16495; AG031287, AG033040), the National Institute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of Neurological Disorders and Stroke (R01 NS17950), and the National Heart, Lung and Blood Institute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(U01 HL096917, HL093029 and K24HL038444, RC2-HL102419 and UC2 HL103010.</w:t>
      </w:r>
      <w:r w:rsidR="005F5C90" w:rsidRPr="00F0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Fundació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ACE would like to thank patients and controls who participated in this project.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This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work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has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been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funded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by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Fundación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Alzheimur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(Murcia), </w:t>
      </w:r>
      <w:proofErr w:type="spellStart"/>
      <w:r w:rsidRPr="00F02C15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Ministerio de Educación y Ciencia (PCT-010000-2007-18),</w:t>
      </w:r>
      <w:r w:rsidR="007127FC"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(DEX-580000-2008-4), (Gobierno de España), Corporación </w:t>
      </w:r>
      <w:r w:rsidRPr="00F02C15">
        <w:rPr>
          <w:rFonts w:ascii="Times New Roman" w:hAnsi="Times New Roman" w:cs="Times New Roman"/>
          <w:sz w:val="24"/>
          <w:szCs w:val="24"/>
          <w:lang w:val="es-ES"/>
        </w:rPr>
        <w:lastRenderedPageBreak/>
        <w:t>Tecnológica de Andalucía (08/211) and Agencia IDEA</w:t>
      </w:r>
      <w:r w:rsidR="007127FC"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  <w:lang w:val="es-ES"/>
        </w:rPr>
        <w:t xml:space="preserve">(841318) (Consejería de Innovación, Junta de Andalucía). </w:t>
      </w:r>
      <w:r w:rsidRPr="00F02C15">
        <w:rPr>
          <w:rFonts w:ascii="Times New Roman" w:hAnsi="Times New Roman" w:cs="Times New Roman"/>
          <w:sz w:val="24"/>
          <w:szCs w:val="24"/>
        </w:rPr>
        <w:t xml:space="preserve">We thank to Ms.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Trinitat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Port-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Carbó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 her family for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their generous support of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Fundació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ACE research programs.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 xml:space="preserve">The Rotterdam Study: The Rotterdam Study was funded by Erasmus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and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Erasmus University, Rotterdam; </w:t>
      </w:r>
      <w:r w:rsidRPr="00F02C15">
        <w:rPr>
          <w:rFonts w:ascii="Times New Roman" w:hAnsi="Times New Roman" w:cs="Times New Roman"/>
          <w:sz w:val="24"/>
          <w:szCs w:val="24"/>
        </w:rPr>
        <w:t>the Netherlands Organization for Health Research and Development; the Research Institute for Diseases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in the Elderly; the Ministry of Education, Culture and Science; the Ministry for Health, Welfare and Sports; the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European Commission; and the Municipality of Rotterdam; by grants from the Research Institute for Diseases in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 Elderly (014-93-015; RIDE2),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Alzheimer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Onderzoek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Hersenstichting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Nederland, the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Netherlands Genomics Initiative–Netherlands Organization for Scientific Research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Medical Systems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Biology and the Netherlands Consortium for Healthy Aging), the Seventh Framework Program (FP7/2007-2013),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the ENGAGE project (grant agreement HEALTH-F4-2007-201413), MRACE-grant from the Erasmus Medical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the Netherlands Organization for Health Research and Development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ZonMW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-grant no. 916.13.054).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ARIC: The Atherosclerosis Risk in Communities Study (ARIC) is carried out as a collaborative study supported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by National Heart, Lung, and Blood Institute contracts N01-HC-55015, N01-HC-55016, N01-HC-55018, N01-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HC-55019, N01-HC-55020, N01-HC-55021, N01-HC-55022 and grants R01-HL087641, RC2-HL102419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Boerwinkle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CHARGE-S), UC2 HL103010, U01-HL096917 (Mosley) and R01-HL093029; NHGRI contract U01-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HG004402; and NIH contract HHSN268200625226C and NIA: R01 AG033193 (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Seshadri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). Infrastructure was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partly supported by Grant Number UL1RR025005, a component of the Nation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al Institutes of Health and NIH </w:t>
      </w:r>
      <w:r w:rsidRPr="00F02C15">
        <w:rPr>
          <w:rFonts w:ascii="Times New Roman" w:hAnsi="Times New Roman" w:cs="Times New Roman"/>
          <w:sz w:val="24"/>
          <w:szCs w:val="24"/>
        </w:rPr>
        <w:t>Roadmap for Medical Research.</w:t>
      </w:r>
    </w:p>
    <w:p w:rsidR="007127FC" w:rsidRPr="00F02C15" w:rsidRDefault="007127FC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FC" w:rsidRPr="00F02C15" w:rsidRDefault="007127FC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GERAD</w:t>
      </w: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Cardi</w:t>
      </w:r>
      <w:r w:rsidR="007127FC" w:rsidRPr="00F02C15">
        <w:rPr>
          <w:rFonts w:ascii="Times New Roman" w:hAnsi="Times New Roman" w:cs="Times New Roman"/>
          <w:sz w:val="24"/>
          <w:szCs w:val="24"/>
        </w:rPr>
        <w:t>ff</w:t>
      </w:r>
      <w:r w:rsidRPr="00F02C15">
        <w:rPr>
          <w:rFonts w:ascii="Times New Roman" w:hAnsi="Times New Roman" w:cs="Times New Roman"/>
          <w:sz w:val="24"/>
          <w:szCs w:val="24"/>
        </w:rPr>
        <w:t xml:space="preserve"> University was supported by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theWellcome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Trust, Medical Research Council (MRC), Alzheimer’s Research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UK (ARUK) and the Welsh Government. ARUK supported sample collections at the Kings College London, the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South West Dementia Bank, Universities of Cambridge, Nottingham, Manchester and Belfast. The Belfast group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acknowledges support from the Alzheimer’s Society, Ulster Garden Villages,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N.Ireland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R&amp;D O</w:t>
      </w:r>
      <w:r w:rsidR="007127FC" w:rsidRPr="00F02C15">
        <w:rPr>
          <w:rFonts w:ascii="Times New Roman" w:hAnsi="Times New Roman" w:cs="Times New Roman"/>
          <w:sz w:val="24"/>
          <w:szCs w:val="24"/>
        </w:rPr>
        <w:t>ffi</w:t>
      </w:r>
      <w:r w:rsidRPr="00F02C15">
        <w:rPr>
          <w:rFonts w:ascii="Times New Roman" w:hAnsi="Times New Roman" w:cs="Times New Roman"/>
          <w:sz w:val="24"/>
          <w:szCs w:val="24"/>
        </w:rPr>
        <w:t>ce and the Royal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College of Physicians/Dunhill Medical Trust. The MRC and Mercer’s Institute for Research on Ageing supported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the Trinity College group. DCR is a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 Principal Research fellow. The South West Dementia Brain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Bank acknowledges support from Bristol Research into Alzheimer’s and Care of the Elderly. The Charles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Charitable Trust supported the OPTIMA group. Washington University was funded by NIH grants, Barnes Jewish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Foundation and the Charles and Joanne Knight Alzheimer’s Research Initiative. Patient recruitment for the MRC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Prion Unit/UCL Department of Neurodegenerative Disease collection was supported by the UCLH/UCL Biomedical</w:t>
      </w:r>
      <w:r w:rsidR="003E3691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Centre and their work was supported by the NIHR Queen Square Dementia BRU. LASER-AD was funded by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Lundbeck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SA. The Bonn group would like to thank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Heike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Koelsch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for her scientific support. The Bonn group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was funded by the German Federal Ministry of Education and Research (BMBF): Competence Network Dementia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(CND) grant number 01GI0102, 01GI0711, 01GI0420.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AgeCoDe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study group was supported by the German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Federal Ministry for Education and Research </w:t>
      </w:r>
      <w:r w:rsidRPr="003E3691">
        <w:rPr>
          <w:rFonts w:ascii="Times New Roman" w:hAnsi="Times New Roman" w:cs="Times New Roman"/>
          <w:sz w:val="24"/>
          <w:szCs w:val="24"/>
        </w:rPr>
        <w:t>grants 01 GI 0710, 01 GI 0712, 01 GI 0713, 01 GI 0714, 01 GI 0715,</w:t>
      </w:r>
      <w:r w:rsidR="007127FC" w:rsidRPr="003E3691">
        <w:rPr>
          <w:rFonts w:ascii="Times New Roman" w:hAnsi="Times New Roman" w:cs="Times New Roman"/>
          <w:sz w:val="24"/>
          <w:szCs w:val="24"/>
        </w:rPr>
        <w:t xml:space="preserve"> </w:t>
      </w:r>
      <w:r w:rsidRPr="003E3691">
        <w:rPr>
          <w:rFonts w:ascii="Times New Roman" w:hAnsi="Times New Roman" w:cs="Times New Roman"/>
          <w:sz w:val="24"/>
          <w:szCs w:val="24"/>
        </w:rPr>
        <w:t xml:space="preserve">01 GI 0716, 01 GI 0717. </w:t>
      </w:r>
      <w:r w:rsidR="003E3691" w:rsidRPr="003E3691">
        <w:rPr>
          <w:rFonts w:ascii="Times New Roman" w:hAnsi="Times New Roman" w:cs="Times New Roman"/>
          <w:color w:val="000000"/>
          <w:sz w:val="24"/>
          <w:szCs w:val="24"/>
        </w:rPr>
        <w:t>The Homburg group was funded by the German Federal Ministry of Education and Research (BMBF): German National Genome Research Network (NGFN); Alzheimer's disease Integrated Genome Research Network; AD-IG: 01GS0465</w:t>
      </w:r>
      <w:r w:rsidR="003E3691" w:rsidRPr="003E36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3691">
        <w:rPr>
          <w:rFonts w:ascii="Times New Roman" w:hAnsi="Times New Roman" w:cs="Times New Roman"/>
          <w:sz w:val="24"/>
          <w:szCs w:val="24"/>
        </w:rPr>
        <w:t>Genotyping of the Bonn case-control sample was funded by the German centre for Neurodegenerative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Diseases (DZNE), Germany. The GERAD Conso</w:t>
      </w:r>
      <w:bookmarkStart w:id="0" w:name="_GoBack"/>
      <w:bookmarkEnd w:id="0"/>
      <w:r w:rsidRPr="00F02C15">
        <w:rPr>
          <w:rFonts w:ascii="Times New Roman" w:hAnsi="Times New Roman" w:cs="Times New Roman"/>
          <w:sz w:val="24"/>
          <w:szCs w:val="24"/>
        </w:rPr>
        <w:t xml:space="preserve">rtium also used samples </w:t>
      </w:r>
      <w:r w:rsidRPr="00F02C15">
        <w:rPr>
          <w:rFonts w:ascii="Times New Roman" w:hAnsi="Times New Roman" w:cs="Times New Roman"/>
          <w:sz w:val="24"/>
          <w:szCs w:val="24"/>
        </w:rPr>
        <w:lastRenderedPageBreak/>
        <w:t>ascertained by the NIMH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AD Genetics Initiative. HH was supported by a grant of the Katharina-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Hardt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-Foundation, Bad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Homburg </w:t>
      </w:r>
      <w:proofErr w:type="spellStart"/>
      <w:r w:rsidR="007127FC" w:rsidRPr="00F02C1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Höhe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Germany. The KORA F4 studies were financed by Helmholtz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Zentrum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; German Research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for Environmental Health; BMBF; German National Genome Research Network and the Munich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of Health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Sciences. The Heinz Nixdorf Recall cohort was funded by the Heinz Nixdorf </w:t>
      </w:r>
      <w:r w:rsidR="007127FC" w:rsidRPr="00F02C15">
        <w:rPr>
          <w:rFonts w:ascii="Times New Roman" w:hAnsi="Times New Roman" w:cs="Times New Roman"/>
          <w:sz w:val="24"/>
          <w:szCs w:val="24"/>
        </w:rPr>
        <w:t>Foundation (</w:t>
      </w:r>
      <w:proofErr w:type="spellStart"/>
      <w:r w:rsidR="007127FC" w:rsidRPr="00F02C1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7FC" w:rsidRPr="00F02C15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7FC" w:rsidRPr="00F02C15">
        <w:rPr>
          <w:rFonts w:ascii="Times New Roman" w:hAnsi="Times New Roman" w:cs="Times New Roman"/>
          <w:sz w:val="24"/>
          <w:szCs w:val="24"/>
        </w:rPr>
        <w:t>G.Schmidt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, </w:t>
      </w:r>
      <w:r w:rsidRPr="00F02C15">
        <w:rPr>
          <w:rFonts w:ascii="Times New Roman" w:hAnsi="Times New Roman" w:cs="Times New Roman"/>
          <w:sz w:val="24"/>
          <w:szCs w:val="24"/>
        </w:rPr>
        <w:t>Chairman) and BMBF.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Coriell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Cell Repositories is supported by NINDS and the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Intramural Research Program of </w:t>
      </w:r>
      <w:r w:rsidRPr="00F02C15">
        <w:rPr>
          <w:rFonts w:ascii="Times New Roman" w:hAnsi="Times New Roman" w:cs="Times New Roman"/>
          <w:sz w:val="24"/>
          <w:szCs w:val="24"/>
        </w:rPr>
        <w:t>the National Institute on Aging. We acknowledge use of genotype data from the 1958 Birth Cohort collection,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funded by the MRC and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 which was genotyped by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 Case Control Consortium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and the Type-1 Diabetes Genetics Consortium, sponsored by the National Institute of Diabetes and Digestive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and Kidney Diseases, National Institute of Allergy and Infectious Diseases, National Human Genome Research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Institute, National Institute of Child Health and Human Development and Juvenile Diabetes Research Foundation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International. The Nottingham Group (KM)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supported by the Big Lottery. MRC CFAS is part of the consortium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and data will be included in future analyses.</w:t>
      </w:r>
    </w:p>
    <w:p w:rsidR="007127FC" w:rsidRDefault="007127FC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91" w:rsidRPr="00F02C15" w:rsidRDefault="003E3691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FC" w:rsidRPr="00F02C15" w:rsidRDefault="007127FC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72" w:rsidRPr="00F02C15" w:rsidRDefault="00CA5372" w:rsidP="00CA5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C15">
        <w:rPr>
          <w:rFonts w:ascii="Times New Roman" w:hAnsi="Times New Roman" w:cs="Times New Roman"/>
          <w:b/>
          <w:sz w:val="24"/>
          <w:szCs w:val="24"/>
        </w:rPr>
        <w:t>ADGC</w:t>
      </w:r>
    </w:p>
    <w:p w:rsidR="006D7667" w:rsidRPr="00F02C15" w:rsidRDefault="00CA5372" w:rsidP="0071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C15">
        <w:rPr>
          <w:rFonts w:ascii="Times New Roman" w:hAnsi="Times New Roman" w:cs="Times New Roman"/>
          <w:sz w:val="24"/>
          <w:szCs w:val="24"/>
        </w:rPr>
        <w:t>The National Institutes of Health, National Institute on Aging (NIH-NIA) supported this work through the following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grants: ADGC, U01 AG032984, RC2 AG036528; NACC, U01 AG016976; NCRAD, U24 AG021886; NIA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LOAD, U24 AG026395, R01 AG041797; MIRAGE R01 AG025259; Banner Sun Health Research Institute P30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AG019610; Boston University, P30 AG013846, U01 AG10483, R01 CA129769, R01 MH080295, R01 AG017173,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R01AG33193; Columbia University, P50 AG008702, R37 AG015473; Duke University, P30 AG028377, AG05128;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Emory University, AG025688; Group Health Research Institute, UO1 AG06781, UO1 HG004610; Indiana University,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P30 AG10133; Johns Hopkins University, P50 AG005146, R01 AG020688; Massachusetts General Hospital,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P50 AG005134; Mayo Clinic, P50 AG016574; Mount Sinai School of Medicine, P50 AG005138, P01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AG002219; New York University, P30 AG08051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, MO1RR00096, and UL1 RR029893;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University,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P30 AG013854; Oregon Health &amp; Science University, P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30 AG008017, R01 AG026916; Rush </w:t>
      </w:r>
      <w:r w:rsidRPr="00F02C15">
        <w:rPr>
          <w:rFonts w:ascii="Times New Roman" w:hAnsi="Times New Roman" w:cs="Times New Roman"/>
          <w:sz w:val="24"/>
          <w:szCs w:val="24"/>
        </w:rPr>
        <w:t>University, P30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AG010161, R01 AG019085, R01 AG15819, R01 AG17917, R01 AG30146;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7FC" w:rsidRPr="00F02C15">
        <w:rPr>
          <w:rFonts w:ascii="Times New Roman" w:hAnsi="Times New Roman" w:cs="Times New Roman"/>
          <w:sz w:val="24"/>
          <w:szCs w:val="24"/>
        </w:rPr>
        <w:t>TGen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, R01 NS059873; University </w:t>
      </w:r>
      <w:r w:rsidRPr="00F02C15">
        <w:rPr>
          <w:rFonts w:ascii="Times New Roman" w:hAnsi="Times New Roman" w:cs="Times New Roman"/>
          <w:sz w:val="24"/>
          <w:szCs w:val="24"/>
        </w:rPr>
        <w:t>of Alabama at Birmingham, P50 AG016582, UL1RR02777; University of Arizona, R01 AG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031581; University </w:t>
      </w:r>
      <w:r w:rsidRPr="00F02C15">
        <w:rPr>
          <w:rFonts w:ascii="Times New Roman" w:hAnsi="Times New Roman" w:cs="Times New Roman"/>
          <w:sz w:val="24"/>
          <w:szCs w:val="24"/>
        </w:rPr>
        <w:t>of California, Davis, P30 AG010129; University of California, Irvine, P50 AG016573, P50, P50 AG016575,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P50 AG016576, P50 AG016577; University of California, Los Angeles, P50 AG016570; University of California,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San Diego, P50 AG005131; University of California, San Francisco, </w:t>
      </w:r>
      <w:r w:rsidR="007127FC" w:rsidRPr="00F02C15">
        <w:rPr>
          <w:rFonts w:ascii="Times New Roman" w:hAnsi="Times New Roman" w:cs="Times New Roman"/>
          <w:sz w:val="24"/>
          <w:szCs w:val="24"/>
        </w:rPr>
        <w:t>P50 AG023501, P01 AG019724; Uni</w:t>
      </w:r>
      <w:r w:rsidRPr="00F02C15">
        <w:rPr>
          <w:rFonts w:ascii="Times New Roman" w:hAnsi="Times New Roman" w:cs="Times New Roman"/>
          <w:sz w:val="24"/>
          <w:szCs w:val="24"/>
        </w:rPr>
        <w:t>versity of Kentucky, P30 AG028383; University of Michigan, P50 AG008671; University of Pennsylvania, P30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AG010124; University of Pittsburgh, P50 AG005133, AG030653, AG041718; University of Southern California,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P50 AG005142; University of Texas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P30 AG012300; University of Miami, R01 AG027944,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AG010491, AG027944, AG021547, AG019757; University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ofWashington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P50 AG005136; Vanderbilt Uni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versity, </w:t>
      </w:r>
      <w:r w:rsidRPr="00F02C15">
        <w:rPr>
          <w:rFonts w:ascii="Times New Roman" w:hAnsi="Times New Roman" w:cs="Times New Roman"/>
          <w:sz w:val="24"/>
          <w:szCs w:val="24"/>
        </w:rPr>
        <w:t xml:space="preserve">R01 AG019085;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andWashington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University, P50 AG005681, P01 AG03991. The 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Kathleen Price Bryan Brain Bank </w:t>
      </w:r>
      <w:r w:rsidRPr="00F02C15">
        <w:rPr>
          <w:rFonts w:ascii="Times New Roman" w:hAnsi="Times New Roman" w:cs="Times New Roman"/>
          <w:sz w:val="24"/>
          <w:szCs w:val="24"/>
        </w:rPr>
        <w:t xml:space="preserve">at Duke University Medical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is funded by NINDS grant # NS39764, NIMH MH60451 and by Glaxo Smith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Kline. Genotyping of the TGEN2 cohort was supported by Kronos Science. The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TGen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series was also funded by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NIA grant AG034504 to AJM, The Banner Alzheimer’s Foundation, The Johnnie B. Byrd Sr. Alzheimer’s Institute,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the Medical Research Council, and the state of Arizona and also includes samples from the following sites: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Newcastle Brain Tissue Resource (funding via the </w:t>
      </w:r>
      <w:r w:rsidRPr="00F02C15">
        <w:rPr>
          <w:rFonts w:ascii="Times New Roman" w:hAnsi="Times New Roman" w:cs="Times New Roman"/>
          <w:sz w:val="24"/>
          <w:szCs w:val="24"/>
        </w:rPr>
        <w:lastRenderedPageBreak/>
        <w:t>Medical Research Council, local NHS trusts and Newcastle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University), MRC London Brain Bank for Neurodegenerative Diseases (funding via the Medical Research Council),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South West Dementia Brain Bank (funding via numerous sources including the Higher Education Funding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Council for England (HEFCE), Alzheimer’s Research Trust (ART), BRACE as well as North Bristol NHS Trust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Research and Innovation Department 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DeNDRoN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), The Netherlands Brain Ban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k (funding via numerous sources </w:t>
      </w:r>
      <w:r w:rsidRPr="00F02C15">
        <w:rPr>
          <w:rFonts w:ascii="Times New Roman" w:hAnsi="Times New Roman" w:cs="Times New Roman"/>
          <w:sz w:val="24"/>
          <w:szCs w:val="24"/>
        </w:rPr>
        <w:t xml:space="preserve">including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MS Research, Brain Net Europe,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Hersenstichting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Nederland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</w:t>
      </w:r>
      <w:r w:rsidR="007127FC" w:rsidRPr="00F02C15">
        <w:rPr>
          <w:rFonts w:ascii="Times New Roman" w:hAnsi="Times New Roman" w:cs="Times New Roman"/>
          <w:sz w:val="24"/>
          <w:szCs w:val="24"/>
        </w:rPr>
        <w:t>reinbrekend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7FC" w:rsidRPr="00F02C15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, International </w:t>
      </w:r>
      <w:r w:rsidRPr="00F02C15">
        <w:rPr>
          <w:rFonts w:ascii="Times New Roman" w:hAnsi="Times New Roman" w:cs="Times New Roman"/>
          <w:sz w:val="24"/>
          <w:szCs w:val="24"/>
        </w:rPr>
        <w:t xml:space="preserve">Parkinson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Fonds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Stiching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Alzheimer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Onderzoek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Neuropatologia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Servei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Patologica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de Barcelona.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Marcelle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Morrison-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Bogorad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PhD., Tony Phelps, PhD and Walter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Kukull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PhD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are thanked for helping to co-ordinate this collection. ADNI Funding for ADNI is through the Northern California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Institute for Research and Education by grants from Abbott, AstraZeneca AB, Bayer Schering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AG,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Bristol-Myers Squibb, Eisai Global Clinical Development,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Elan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Corporation, Genentech, GE Healthcare, Glaxo-SmithKline,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Innogenetics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Johnson and Johnson, Eli Lilly and Co.,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Medpace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Inc., Merck and Co., Inc., Novartis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AG, Pfizer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F. Ho</w:t>
      </w:r>
      <w:r w:rsidR="007127FC" w:rsidRPr="00F02C15">
        <w:rPr>
          <w:rFonts w:ascii="Times New Roman" w:hAnsi="Times New Roman" w:cs="Times New Roman"/>
          <w:sz w:val="24"/>
          <w:szCs w:val="24"/>
        </w:rPr>
        <w:t>ff</w:t>
      </w:r>
      <w:r w:rsidRPr="00F02C15">
        <w:rPr>
          <w:rFonts w:ascii="Times New Roman" w:hAnsi="Times New Roman" w:cs="Times New Roman"/>
          <w:sz w:val="24"/>
          <w:szCs w:val="24"/>
        </w:rPr>
        <w:t xml:space="preserve">man-La Roche, Schering-Plough,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Synarc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Inc., Alzheimer’s Association, Alzheimer’s Drug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Discovery Foundation, the Dana Foundation, and by the National Institute of Biomedical Imaging and Bioengineering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and NIA grants U01 AG024904, RC2 AG036535, K01 AG030514. Data 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collection and sharing for this </w:t>
      </w:r>
      <w:r w:rsidRPr="00F02C15">
        <w:rPr>
          <w:rFonts w:ascii="Times New Roman" w:hAnsi="Times New Roman" w:cs="Times New Roman"/>
          <w:sz w:val="24"/>
          <w:szCs w:val="24"/>
        </w:rPr>
        <w:t>project was funded by the ADNI (National Institutes of Health Grant U01 AG024904).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ADNI is funded by the National </w:t>
      </w:r>
      <w:r w:rsidRPr="00F02C15">
        <w:rPr>
          <w:rFonts w:ascii="Times New Roman" w:hAnsi="Times New Roman" w:cs="Times New Roman"/>
          <w:sz w:val="24"/>
          <w:szCs w:val="24"/>
        </w:rPr>
        <w:t>Institute on Aging, the National Institute of Biomedical Imaging and Bioengineering, and through generous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contributions from the following: Alzheimer’s Association; Alzheimer’s Drug Discovery Foundation;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BioClinica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Inc.;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Biogen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Idec Inc.; Bristol-Myers Squibb Company; Eisai Inc.;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Elan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Pharmaceuticals, Inc.; Eli Lilly and Company;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F. Ho</w:t>
      </w:r>
      <w:r w:rsidR="007127FC" w:rsidRPr="00F02C15">
        <w:rPr>
          <w:rFonts w:ascii="Times New Roman" w:hAnsi="Times New Roman" w:cs="Times New Roman"/>
          <w:sz w:val="24"/>
          <w:szCs w:val="24"/>
        </w:rPr>
        <w:t>ff</w:t>
      </w:r>
      <w:r w:rsidRPr="00F02C15">
        <w:rPr>
          <w:rFonts w:ascii="Times New Roman" w:hAnsi="Times New Roman" w:cs="Times New Roman"/>
          <w:sz w:val="24"/>
          <w:szCs w:val="24"/>
        </w:rPr>
        <w:t>mann-La Roche Ltd and its a</w:t>
      </w:r>
      <w:r w:rsidR="007127FC" w:rsidRPr="00F02C15">
        <w:rPr>
          <w:rFonts w:ascii="Times New Roman" w:hAnsi="Times New Roman" w:cs="Times New Roman"/>
          <w:sz w:val="24"/>
          <w:szCs w:val="24"/>
        </w:rPr>
        <w:t>ffi</w:t>
      </w:r>
      <w:r w:rsidRPr="00F02C15">
        <w:rPr>
          <w:rFonts w:ascii="Times New Roman" w:hAnsi="Times New Roman" w:cs="Times New Roman"/>
          <w:sz w:val="24"/>
          <w:szCs w:val="24"/>
        </w:rPr>
        <w:t xml:space="preserve">liated company Genentech, Inc.; GE Healthcare;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Innogenetics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>, N.V.;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IXICO Ltd.; Janssen Alzheimer Immunotherapy Research &amp; Development, LLC.; Johnson &amp; Johnson Pharmaceutical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Research &amp; Development LLC.;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Medpace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, Inc.; Merck &amp; Co., Inc.;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Scale Diagnostics, LLC.;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NeuroRx</w:t>
      </w:r>
      <w:proofErr w:type="spellEnd"/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Research; Novartis Pharmaceuticals Corporation; Pfizer Inc.;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Piramal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Imaging;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Servier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Synarc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Inc.; and Takeda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Pharmaceutical Company. The Canadian Institutes of Health Research is providing funds to support ADNI clinical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sites in Canada. Private sector contributions are facilitated by the Foundation for the National Institutes of Health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(www.fnih.org). The grantee organization is the Northern California Institute for 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Research and Education, and the </w:t>
      </w:r>
      <w:r w:rsidRPr="00F02C15">
        <w:rPr>
          <w:rFonts w:ascii="Times New Roman" w:hAnsi="Times New Roman" w:cs="Times New Roman"/>
          <w:sz w:val="24"/>
          <w:szCs w:val="24"/>
        </w:rPr>
        <w:t xml:space="preserve">study is coordinated by the </w:t>
      </w:r>
      <w:proofErr w:type="gramStart"/>
      <w:r w:rsidRPr="00F02C15"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 w:rsidRPr="00F02C15">
        <w:rPr>
          <w:rFonts w:ascii="Times New Roman" w:hAnsi="Times New Roman" w:cs="Times New Roman"/>
          <w:sz w:val="24"/>
          <w:szCs w:val="24"/>
        </w:rPr>
        <w:t xml:space="preserve"> Cooperative Study at the University of California, San Diego.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ADNI data are disseminated by the Laboratory for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Imaging at the University of California, Los Angeles.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 xml:space="preserve">This research was also supported by NIH grants P30 AG010129 and K01 AG030514. We thank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Drs.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D. Stephen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Snyder and Marilyn Miller from NIA who are ex-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o_cio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ADGC members. Support was also from the Alzheimer’s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Association (LAF, IIRG-08-89720; MP-V, IIRG-05-14147) and the US Department of Veterans A</w:t>
      </w:r>
      <w:r w:rsidR="007127FC" w:rsidRPr="00F02C15">
        <w:rPr>
          <w:rFonts w:ascii="Times New Roman" w:hAnsi="Times New Roman" w:cs="Times New Roman"/>
          <w:sz w:val="24"/>
          <w:szCs w:val="24"/>
        </w:rPr>
        <w:t>ff</w:t>
      </w:r>
      <w:r w:rsidRPr="00F02C15">
        <w:rPr>
          <w:rFonts w:ascii="Times New Roman" w:hAnsi="Times New Roman" w:cs="Times New Roman"/>
          <w:sz w:val="24"/>
          <w:szCs w:val="24"/>
        </w:rPr>
        <w:t>airs Administration,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r w:rsidRPr="00F02C15">
        <w:rPr>
          <w:rFonts w:ascii="Times New Roman" w:hAnsi="Times New Roman" w:cs="Times New Roman"/>
          <w:sz w:val="24"/>
          <w:szCs w:val="24"/>
        </w:rPr>
        <w:t>O</w:t>
      </w:r>
      <w:r w:rsidR="007127FC" w:rsidRPr="00F02C15">
        <w:rPr>
          <w:rFonts w:ascii="Times New Roman" w:hAnsi="Times New Roman" w:cs="Times New Roman"/>
          <w:sz w:val="24"/>
          <w:szCs w:val="24"/>
        </w:rPr>
        <w:t>ffi</w:t>
      </w:r>
      <w:r w:rsidRPr="00F02C15">
        <w:rPr>
          <w:rFonts w:ascii="Times New Roman" w:hAnsi="Times New Roman" w:cs="Times New Roman"/>
          <w:sz w:val="24"/>
          <w:szCs w:val="24"/>
        </w:rPr>
        <w:t>ce of Research and Development, Biomedical Laboratory Research Program. P.S.G.-H. is supported by</w:t>
      </w:r>
      <w:r w:rsidR="007127FC" w:rsidRPr="00F02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C15">
        <w:rPr>
          <w:rFonts w:ascii="Times New Roman" w:hAnsi="Times New Roman" w:cs="Times New Roman"/>
          <w:sz w:val="24"/>
          <w:szCs w:val="24"/>
        </w:rPr>
        <w:t>Wellcome</w:t>
      </w:r>
      <w:proofErr w:type="spellEnd"/>
      <w:r w:rsidRPr="00F02C15">
        <w:rPr>
          <w:rFonts w:ascii="Times New Roman" w:hAnsi="Times New Roman" w:cs="Times New Roman"/>
          <w:sz w:val="24"/>
          <w:szCs w:val="24"/>
        </w:rPr>
        <w:t xml:space="preserve"> Trust, Howard Hughes Medical Institute, and the Canadian Institute of Health.</w:t>
      </w:r>
    </w:p>
    <w:sectPr w:rsidR="006D7667" w:rsidRPr="00F0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72"/>
    <w:rsid w:val="00166671"/>
    <w:rsid w:val="001818B1"/>
    <w:rsid w:val="00324C3E"/>
    <w:rsid w:val="003E3691"/>
    <w:rsid w:val="004B5CFF"/>
    <w:rsid w:val="005F5C90"/>
    <w:rsid w:val="00663421"/>
    <w:rsid w:val="006A51C2"/>
    <w:rsid w:val="006D7667"/>
    <w:rsid w:val="007127FC"/>
    <w:rsid w:val="007A39B2"/>
    <w:rsid w:val="008E198F"/>
    <w:rsid w:val="008F107B"/>
    <w:rsid w:val="009E5B78"/>
    <w:rsid w:val="00AE6282"/>
    <w:rsid w:val="00B74824"/>
    <w:rsid w:val="00CA5372"/>
    <w:rsid w:val="00E5147B"/>
    <w:rsid w:val="00EF1562"/>
    <w:rsid w:val="00F02C15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0D27-A98D-43C7-A05C-DB24D586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5</cp:revision>
  <dcterms:created xsi:type="dcterms:W3CDTF">2014-03-24T11:49:00Z</dcterms:created>
  <dcterms:modified xsi:type="dcterms:W3CDTF">2014-03-24T13:00:00Z</dcterms:modified>
</cp:coreProperties>
</file>