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8" w:rsidRPr="008773F6" w:rsidRDefault="00DC0158" w:rsidP="00DC0158">
      <w:pPr>
        <w:rPr>
          <w:rFonts w:cs="Arial"/>
          <w:b/>
          <w:sz w:val="22"/>
        </w:rPr>
      </w:pPr>
      <w:bookmarkStart w:id="0" w:name="_GoBack"/>
      <w:bookmarkEnd w:id="0"/>
      <w:proofErr w:type="gramStart"/>
      <w:r w:rsidRPr="008773F6">
        <w:rPr>
          <w:rFonts w:cs="Arial"/>
          <w:b/>
          <w:sz w:val="22"/>
        </w:rPr>
        <w:t xml:space="preserve">Supporting Table </w:t>
      </w:r>
      <w:r>
        <w:rPr>
          <w:rFonts w:cs="Arial"/>
          <w:b/>
          <w:sz w:val="22"/>
        </w:rPr>
        <w:t>12</w:t>
      </w:r>
      <w:r w:rsidRPr="008773F6">
        <w:rPr>
          <w:rFonts w:cs="Arial"/>
          <w:b/>
          <w:sz w:val="22"/>
        </w:rPr>
        <w:t>.</w:t>
      </w:r>
      <w:proofErr w:type="gramEnd"/>
      <w:r w:rsidRPr="008773F6">
        <w:rPr>
          <w:rFonts w:cs="Arial"/>
          <w:b/>
          <w:sz w:val="22"/>
        </w:rPr>
        <w:t xml:space="preserve">  Plasma cytokine concentration values (</w:t>
      </w:r>
      <w:proofErr w:type="spellStart"/>
      <w:r w:rsidRPr="008773F6">
        <w:rPr>
          <w:rFonts w:cs="Arial"/>
          <w:b/>
          <w:sz w:val="22"/>
        </w:rPr>
        <w:t>pg</w:t>
      </w:r>
      <w:proofErr w:type="spellEnd"/>
      <w:r w:rsidRPr="008773F6">
        <w:rPr>
          <w:rFonts w:cs="Arial"/>
          <w:b/>
          <w:sz w:val="22"/>
        </w:rPr>
        <w:t>/mL) prior to hemorrhage and three hours after hemorrhage used to determine fold change after global I/R.</w:t>
      </w:r>
    </w:p>
    <w:tbl>
      <w:tblPr>
        <w:tblpPr w:leftFromText="180" w:rightFromText="180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"/>
        <w:gridCol w:w="1086"/>
        <w:gridCol w:w="1008"/>
        <w:gridCol w:w="1086"/>
        <w:gridCol w:w="1008"/>
        <w:gridCol w:w="1008"/>
        <w:gridCol w:w="1008"/>
        <w:gridCol w:w="1008"/>
        <w:gridCol w:w="1008"/>
        <w:gridCol w:w="1008"/>
        <w:gridCol w:w="1086"/>
        <w:gridCol w:w="930"/>
        <w:gridCol w:w="1242"/>
      </w:tblGrid>
      <w:tr w:rsidR="00DC0158" w:rsidRPr="00C17EF5" w:rsidTr="00922095">
        <w:trPr>
          <w:trHeight w:val="332"/>
        </w:trPr>
        <w:tc>
          <w:tcPr>
            <w:tcW w:w="0" w:type="auto"/>
            <w:vMerge w:val="restart"/>
            <w:vAlign w:val="bottom"/>
          </w:tcPr>
          <w:p w:rsidR="00DC0158" w:rsidRPr="00C17EF5" w:rsidRDefault="00DC0158" w:rsidP="009220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AGS-EU</w:t>
            </w:r>
          </w:p>
        </w:tc>
        <w:tc>
          <w:tcPr>
            <w:tcW w:w="0" w:type="auto"/>
            <w:gridSpan w:val="4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AGS-IBA</w:t>
            </w:r>
          </w:p>
        </w:tc>
        <w:tc>
          <w:tcPr>
            <w:tcW w:w="0" w:type="auto"/>
            <w:gridSpan w:val="4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Rat</w:t>
            </w:r>
          </w:p>
        </w:tc>
      </w:tr>
      <w:tr w:rsidR="00DC0158" w:rsidRPr="00C17EF5" w:rsidTr="00922095">
        <w:trPr>
          <w:trHeight w:val="395"/>
        </w:trPr>
        <w:tc>
          <w:tcPr>
            <w:tcW w:w="0" w:type="auto"/>
            <w:vMerge/>
            <w:vAlign w:val="bottom"/>
          </w:tcPr>
          <w:p w:rsidR="00DC0158" w:rsidRPr="00C17EF5" w:rsidRDefault="00DC0158" w:rsidP="009220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SHS</w:t>
            </w: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HS</w:t>
            </w: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SHS</w:t>
            </w: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HS</w:t>
            </w: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SHS</w:t>
            </w:r>
          </w:p>
        </w:tc>
        <w:tc>
          <w:tcPr>
            <w:tcW w:w="0" w:type="auto"/>
            <w:gridSpan w:val="2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HS</w:t>
            </w:r>
          </w:p>
        </w:tc>
      </w:tr>
      <w:tr w:rsidR="00DC0158" w:rsidRPr="00C17EF5" w:rsidTr="00922095">
        <w:trPr>
          <w:trHeight w:val="287"/>
        </w:trPr>
        <w:tc>
          <w:tcPr>
            <w:tcW w:w="0" w:type="auto"/>
            <w:vMerge/>
            <w:vAlign w:val="bottom"/>
          </w:tcPr>
          <w:p w:rsidR="00DC0158" w:rsidRPr="00C17EF5" w:rsidRDefault="00DC0158" w:rsidP="0092209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Prior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Cs w:val="20"/>
              </w:rPr>
            </w:pPr>
            <w:r w:rsidRPr="008B361A">
              <w:rPr>
                <w:rFonts w:cs="Arial"/>
                <w:szCs w:val="20"/>
              </w:rPr>
              <w:t>After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IL-1 alpha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72.81±104.73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58.93±30.01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102.51±68.94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74.29±63.30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56.48±20.14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60.97±28.35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53.46±33.17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43.45±28.98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21.82±2.45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23.10±3.27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20.17±1.20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92.91±22.74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IL-1 beta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15.26±20.08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20.01±17.04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5.25±1.79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6.44±2.05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15.20±4.10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16.35±7.28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15.10±3.55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10.51±3.25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30.54±3.81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63.20±16.33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29.78±2.59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113.76±22.68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IL-6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16.83±8.09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20.53±5.58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13.85±2.73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10.95±2.07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16.65±3.10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16.15±2.90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18.81±5.92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17.91±9.10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35.07±2.14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139.09±29.95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31.11±2.95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1170.82±643.03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IL-10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68.02±17.31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54.81±4.34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61.93±3.95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49.86±3.83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60.60±7.60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54.56±11.88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67.20±5.33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46.43±4.41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108.87±7.69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121.00±14.74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96.66±5.80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404.17±167.96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TNF-alpha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2.72±2.64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3.15±0.80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1.85±0.56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2.5±0.74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4.26±1.20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3.33±1.51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3.04±0.59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3.27±0.60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5.82±0.67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5.58±1.04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6.10±0.71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46.52±13.55</w:t>
            </w:r>
          </w:p>
        </w:tc>
      </w:tr>
      <w:tr w:rsidR="00DC0158" w:rsidRPr="00C17EF5" w:rsidTr="00922095">
        <w:trPr>
          <w:trHeight w:val="735"/>
        </w:trPr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INF- gamma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3.07±2.03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3.98±1.29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7.67±4.50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3.05±1.65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9.04±5.44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3.77±1.82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12.91±9.60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6.52±3.98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4.29±0.38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3.53±0.60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3.55±0.36</w:t>
            </w:r>
          </w:p>
        </w:tc>
        <w:tc>
          <w:tcPr>
            <w:tcW w:w="0" w:type="auto"/>
            <w:vAlign w:val="bottom"/>
          </w:tcPr>
          <w:p w:rsidR="00DC0158" w:rsidRPr="008B361A" w:rsidRDefault="00DC0158" w:rsidP="00922095">
            <w:pPr>
              <w:jc w:val="center"/>
              <w:rPr>
                <w:rFonts w:cs="Arial"/>
                <w:sz w:val="14"/>
                <w:szCs w:val="14"/>
              </w:rPr>
            </w:pPr>
            <w:r w:rsidRPr="008B361A">
              <w:rPr>
                <w:rFonts w:cs="Arial"/>
                <w:sz w:val="14"/>
                <w:szCs w:val="14"/>
              </w:rPr>
              <w:t>12.78±3.58</w:t>
            </w:r>
          </w:p>
        </w:tc>
      </w:tr>
    </w:tbl>
    <w:p w:rsidR="00DC0158" w:rsidRDefault="00DC0158" w:rsidP="00DC0158">
      <w:pPr>
        <w:rPr>
          <w:rFonts w:cs="Arial"/>
          <w:sz w:val="22"/>
        </w:rPr>
      </w:pPr>
    </w:p>
    <w:p w:rsidR="00DC0158" w:rsidRPr="008773F6" w:rsidRDefault="00DC0158" w:rsidP="00DC0158">
      <w:pPr>
        <w:rPr>
          <w:rFonts w:cs="Arial"/>
          <w:sz w:val="22"/>
        </w:rPr>
      </w:pPr>
      <w:r w:rsidRPr="008773F6">
        <w:rPr>
          <w:rFonts w:cs="Arial"/>
          <w:sz w:val="22"/>
        </w:rPr>
        <w:t>Difference in cytokine levels was determined from fold change shown in Figure</w:t>
      </w:r>
      <w:r>
        <w:rPr>
          <w:rFonts w:cs="Arial"/>
          <w:sz w:val="22"/>
        </w:rPr>
        <w:t xml:space="preserve"> 8</w:t>
      </w:r>
      <w:r w:rsidRPr="008773F6">
        <w:rPr>
          <w:rFonts w:cs="Arial"/>
          <w:sz w:val="22"/>
        </w:rPr>
        <w:t>.  Due to the chance of species differences in antibody binding affinity, statistical analysis was not preformed on the raw numbers.</w:t>
      </w:r>
      <w:r w:rsidR="004D2A2E">
        <w:rPr>
          <w:rFonts w:cs="Arial"/>
          <w:sz w:val="22"/>
        </w:rPr>
        <w:t xml:space="preserve">  </w:t>
      </w:r>
      <w:r w:rsidRPr="008773F6">
        <w:rPr>
          <w:rFonts w:cs="Arial"/>
          <w:sz w:val="22"/>
        </w:rPr>
        <w:t xml:space="preserve">Data are shown as mean </w:t>
      </w:r>
      <w:r w:rsidRPr="008773F6">
        <w:rPr>
          <w:rFonts w:ascii="Calibri" w:hAnsi="Calibri" w:cs="Arial"/>
          <w:sz w:val="22"/>
        </w:rPr>
        <w:t>±</w:t>
      </w:r>
      <w:r w:rsidRPr="008773F6">
        <w:rPr>
          <w:rFonts w:cs="Arial"/>
          <w:sz w:val="22"/>
        </w:rPr>
        <w:t>SEM.  n=6-8 for all groups</w:t>
      </w:r>
      <w:r w:rsidR="00F94B8C">
        <w:rPr>
          <w:rFonts w:cs="Arial"/>
          <w:sz w:val="22"/>
        </w:rPr>
        <w:t xml:space="preserve">.  </w:t>
      </w:r>
      <w:r w:rsidR="00F94B8C" w:rsidRPr="008773F6">
        <w:rPr>
          <w:rFonts w:cs="Arial"/>
          <w:sz w:val="22"/>
        </w:rPr>
        <w:t xml:space="preserve">HS: Hemorrhagic shock, SHS: sham hemorrhagic shock, AGS: arctic ground squirrel, EU: </w:t>
      </w:r>
      <w:proofErr w:type="spellStart"/>
      <w:r w:rsidR="00F94B8C" w:rsidRPr="008773F6">
        <w:rPr>
          <w:rFonts w:cs="Arial"/>
          <w:sz w:val="22"/>
        </w:rPr>
        <w:t>euthermic</w:t>
      </w:r>
      <w:proofErr w:type="spellEnd"/>
      <w:r w:rsidR="00F94B8C" w:rsidRPr="008773F6">
        <w:rPr>
          <w:rFonts w:cs="Arial"/>
          <w:sz w:val="22"/>
        </w:rPr>
        <w:t xml:space="preserve"> (summer), IBA: </w:t>
      </w:r>
      <w:proofErr w:type="spellStart"/>
      <w:r w:rsidR="00F94B8C" w:rsidRPr="008773F6">
        <w:rPr>
          <w:rFonts w:cs="Arial"/>
          <w:sz w:val="22"/>
        </w:rPr>
        <w:t>interboutarousal</w:t>
      </w:r>
      <w:proofErr w:type="spellEnd"/>
      <w:r w:rsidR="00F94B8C" w:rsidRPr="008773F6">
        <w:rPr>
          <w:rFonts w:cs="Arial"/>
          <w:sz w:val="22"/>
        </w:rPr>
        <w:t xml:space="preserve"> (winter).</w:t>
      </w:r>
    </w:p>
    <w:p w:rsidR="00DC0158" w:rsidRPr="008773F6" w:rsidRDefault="00DC0158" w:rsidP="00DC0158">
      <w:pPr>
        <w:rPr>
          <w:rFonts w:cs="Arial"/>
          <w:sz w:val="22"/>
        </w:rPr>
      </w:pPr>
    </w:p>
    <w:p w:rsidR="00BF1ED0" w:rsidRDefault="00BF1ED0"/>
    <w:sectPr w:rsidR="00BF1ED0" w:rsidSect="00DC0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158"/>
    <w:rsid w:val="004D2A2E"/>
    <w:rsid w:val="00624156"/>
    <w:rsid w:val="00910D73"/>
    <w:rsid w:val="00955F10"/>
    <w:rsid w:val="00BF1ED0"/>
    <w:rsid w:val="00C269D7"/>
    <w:rsid w:val="00D07809"/>
    <w:rsid w:val="00DC0158"/>
    <w:rsid w:val="00F9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5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5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58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5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5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Drew</dc:creator>
  <cp:lastModifiedBy>lori bogren</cp:lastModifiedBy>
  <cp:revision>4</cp:revision>
  <dcterms:created xsi:type="dcterms:W3CDTF">2014-03-10T22:17:00Z</dcterms:created>
  <dcterms:modified xsi:type="dcterms:W3CDTF">2014-03-21T00:19:00Z</dcterms:modified>
</cp:coreProperties>
</file>