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C" w:rsidRPr="00AA4454" w:rsidRDefault="00DF040C" w:rsidP="00DF040C">
      <w:pPr>
        <w:spacing w:after="200" w:line="276" w:lineRule="auto"/>
        <w:jc w:val="center"/>
        <w:rPr>
          <w:b/>
        </w:rPr>
      </w:pPr>
      <w:r>
        <w:rPr>
          <w:b/>
        </w:rPr>
        <w:t>Supporting File S</w:t>
      </w:r>
      <w:r w:rsidRPr="00347A7A">
        <w:rPr>
          <w:b/>
        </w:rPr>
        <w:t>2</w:t>
      </w:r>
    </w:p>
    <w:p w:rsidR="00DF040C" w:rsidRDefault="00DF040C" w:rsidP="00DF040C">
      <w:pPr>
        <w:tabs>
          <w:tab w:val="left" w:pos="1386"/>
        </w:tabs>
        <w:spacing w:line="480" w:lineRule="auto"/>
        <w:jc w:val="center"/>
        <w:rPr>
          <w:b/>
        </w:rPr>
      </w:pPr>
      <w:r>
        <w:rPr>
          <w:b/>
        </w:rPr>
        <w:t>Inclusion/Exclusion</w:t>
      </w:r>
      <w:r w:rsidRPr="00347A7A">
        <w:rPr>
          <w:b/>
        </w:rPr>
        <w:t xml:space="preserve"> Criteria</w:t>
      </w:r>
    </w:p>
    <w:p w:rsidR="00DF040C" w:rsidRDefault="00DF040C" w:rsidP="00DF040C">
      <w:pPr>
        <w:pStyle w:val="ListParagraph"/>
        <w:numPr>
          <w:ilvl w:val="0"/>
          <w:numId w:val="1"/>
        </w:numPr>
      </w:pPr>
      <w:r>
        <w:t>Must be an RCT written in English and published in a peer-reviewed journal</w:t>
      </w:r>
    </w:p>
    <w:p w:rsidR="00DF040C" w:rsidRDefault="00DF040C" w:rsidP="00DF040C">
      <w:pPr>
        <w:pStyle w:val="ListParagraph"/>
      </w:pPr>
    </w:p>
    <w:p w:rsidR="00DF040C" w:rsidRDefault="00DF040C" w:rsidP="00DF040C">
      <w:pPr>
        <w:pStyle w:val="ListParagraph"/>
        <w:numPr>
          <w:ilvl w:val="0"/>
          <w:numId w:val="1"/>
        </w:numPr>
      </w:pPr>
      <w:r>
        <w:t>Patients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Adults (age ≥18).  Note: children and adolescents are excluded because the patient-clinician relationship often involves parents or guardians as well as the minor patient.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Exclude well-patient visits, </w:t>
      </w:r>
      <w:r>
        <w:rPr>
          <w:b/>
          <w:u w:val="single"/>
        </w:rPr>
        <w:t>unless</w:t>
      </w:r>
      <w:r>
        <w:t xml:space="preserve"> there’s a targeted disorder (e.g., include regular, non-specific check-up in which the practitioner identifies a specific problem, such as smoking, obesity, or hypertension).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 Substance Abuse (but include smoking)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 psychiatric disorders (</w:t>
      </w:r>
      <w:r>
        <w:rPr>
          <w:b/>
          <w:u w:val="single"/>
        </w:rPr>
        <w:t>except</w:t>
      </w:r>
      <w:r>
        <w:t xml:space="preserve"> as noted below)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Include </w:t>
      </w:r>
      <w:proofErr w:type="spellStart"/>
      <w:r>
        <w:t>somatization</w:t>
      </w:r>
      <w:proofErr w:type="spellEnd"/>
      <w:r>
        <w:t>, fibromyalgia, chronic fatigue, IBS, and other disorders that might have a psychological component but are not purely psychiatric disorders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Include patients with anxiety, depression, distress, fatigue, sexual dysfunction if they are secondary to a medical disorder </w:t>
      </w:r>
    </w:p>
    <w:p w:rsidR="00DF040C" w:rsidRDefault="00DF040C" w:rsidP="00DF040C">
      <w:pPr>
        <w:pStyle w:val="ListParagraph"/>
        <w:ind w:left="1440"/>
      </w:pPr>
    </w:p>
    <w:p w:rsidR="00DF040C" w:rsidRDefault="00DF040C" w:rsidP="00DF040C">
      <w:pPr>
        <w:pStyle w:val="ListParagraph"/>
        <w:numPr>
          <w:ilvl w:val="0"/>
          <w:numId w:val="1"/>
        </w:numPr>
      </w:pPr>
      <w:r>
        <w:t xml:space="preserve">Healthcare clinician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 family or friends or other laypeople who care for the patient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 mental health workers (e.g., psychologist, psychiatrist, psychiatric nurse)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Include all other paid healthcare clinicians (</w:t>
      </w:r>
      <w:proofErr w:type="spellStart"/>
      <w:r>
        <w:t>e.g</w:t>
      </w:r>
      <w:proofErr w:type="spellEnd"/>
      <w:r>
        <w:t>,. doctor, dentist, nurse, acupuncturist, etc.)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Exclude the addition of an outside practitioner to the patient-clinician relationship (e.g., comparing the addition of a trained nurse to facilitate communication versus treatment as usual), </w:t>
      </w:r>
      <w:r>
        <w:rPr>
          <w:b/>
          <w:u w:val="single"/>
        </w:rPr>
        <w:t>unless</w:t>
      </w:r>
      <w:r>
        <w:t xml:space="preserve"> the outside person is added to both experimental and control conditions, and the nature of the patient-practitioner relationship is varied systematically as defined in #4 below.  </w:t>
      </w:r>
    </w:p>
    <w:p w:rsidR="00DF040C" w:rsidRDefault="00DF040C" w:rsidP="00DF040C">
      <w:pPr>
        <w:pStyle w:val="ListParagraph"/>
        <w:ind w:left="1440"/>
      </w:pPr>
    </w:p>
    <w:p w:rsidR="00DF040C" w:rsidRDefault="00DF040C" w:rsidP="00DF040C">
      <w:pPr>
        <w:pStyle w:val="ListParagraph"/>
        <w:numPr>
          <w:ilvl w:val="0"/>
          <w:numId w:val="1"/>
        </w:numPr>
      </w:pPr>
      <w:r>
        <w:t>The intervention must change the patient-clinician interaction (e.g., improved communication skills, increased empathy, better attention to non-verbal signals, not interrupting, sitting down, making eye contact, using techniques derived from psychotherapy such as cognitive restructuring or motivational interviewing, etc.)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 w:rsidRPr="000E2D78">
        <w:t xml:space="preserve">Exclude if the patient-clinician relationship was manipulated </w:t>
      </w:r>
      <w:r w:rsidRPr="000E2D78">
        <w:rPr>
          <w:i/>
        </w:rPr>
        <w:t>solely</w:t>
      </w:r>
      <w:r w:rsidRPr="000E2D78">
        <w:t xml:space="preserve"> by intervening with the patients with no manipulation of clinician comportment </w:t>
      </w:r>
      <w:r>
        <w:t xml:space="preserve">Exclude if the intervention is purely informational or procedural. 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Include if the intervention is informational and/or procedural </w:t>
      </w:r>
      <w:r>
        <w:rPr>
          <w:b/>
          <w:u w:val="single"/>
        </w:rPr>
        <w:t>but</w:t>
      </w:r>
      <w:r>
        <w:rPr>
          <w:b/>
        </w:rPr>
        <w:t xml:space="preserve"> </w:t>
      </w:r>
      <w:r>
        <w:rPr>
          <w:b/>
          <w:u w:val="single"/>
        </w:rPr>
        <w:t>also</w:t>
      </w:r>
      <w:r>
        <w:t xml:space="preserve"> includes changes in the quality of the interaction as defined above.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Include if the intervention is derived from psychology (e.g., CBT, motivational interviewing) but only if the intervention is delivered by a healthcare clinician who is </w:t>
      </w:r>
      <w:r>
        <w:rPr>
          <w:b/>
          <w:u w:val="single"/>
        </w:rPr>
        <w:t>not</w:t>
      </w:r>
      <w:r>
        <w:t xml:space="preserve"> a mental health professional. 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Exclude if the “intervention” simply varies how the patient-clinician interaction occurs by contrasting in-person vs. phone; or in-person vs. Skype, etc.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 if time across treatment groups is not equal.</w:t>
      </w:r>
    </w:p>
    <w:p w:rsidR="00DF040C" w:rsidRDefault="00DF040C" w:rsidP="00DF040C">
      <w:pPr>
        <w:pStyle w:val="ListParagraph"/>
        <w:ind w:left="1440"/>
      </w:pPr>
    </w:p>
    <w:p w:rsidR="00DF040C" w:rsidRDefault="00DF040C" w:rsidP="00DF040C">
      <w:pPr>
        <w:pStyle w:val="ListParagraph"/>
        <w:numPr>
          <w:ilvl w:val="0"/>
          <w:numId w:val="1"/>
        </w:numPr>
      </w:pPr>
      <w:r>
        <w:lastRenderedPageBreak/>
        <w:t xml:space="preserve">Healthcare outcome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Objective (e.g., blood pressure)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Validated subjective measure (e.g., SF-36)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Include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Weight loss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Smoking reduction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Exercise frequency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Days off work, days with restrictions, days affected with symptoms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Healthcare utilization, ED visits, readmissions, unplanned admissions, re-consultation rates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>Exclude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Antibiotic prescription rates</w:t>
      </w:r>
    </w:p>
    <w:p w:rsidR="00DF040C" w:rsidRDefault="00DF040C" w:rsidP="00DF040C">
      <w:pPr>
        <w:pStyle w:val="ListParagraph"/>
        <w:numPr>
          <w:ilvl w:val="2"/>
          <w:numId w:val="1"/>
        </w:numPr>
      </w:pPr>
      <w:r>
        <w:t>Colonoscopy screening rates</w:t>
      </w:r>
    </w:p>
    <w:p w:rsidR="00DF040C" w:rsidRDefault="00DF040C" w:rsidP="00DF040C"/>
    <w:p w:rsidR="00DF040C" w:rsidRDefault="00DF040C" w:rsidP="00DF040C">
      <w:pPr>
        <w:pStyle w:val="ListParagraph"/>
        <w:numPr>
          <w:ilvl w:val="0"/>
          <w:numId w:val="1"/>
        </w:numPr>
      </w:pPr>
      <w:r>
        <w:t xml:space="preserve">Control Condition  </w:t>
      </w:r>
    </w:p>
    <w:p w:rsidR="00DF040C" w:rsidRPr="0006199D" w:rsidRDefault="00DF040C" w:rsidP="00DF040C">
      <w:pPr>
        <w:pStyle w:val="ListParagraph"/>
        <w:numPr>
          <w:ilvl w:val="1"/>
          <w:numId w:val="1"/>
        </w:numPr>
      </w:pPr>
      <w:r>
        <w:t xml:space="preserve">The only difference between the control and experimental conditions is in the nature of the patient-clinician interaction (e.g., for the experimental group but not the control, there is improved communication skills, increased empathy, better attention to non-verbal signals, not interrupting, sitting down, making eye contact, active listening skills, using techniques derived from psychotherapy such as cognitive restructuring or motivational interviewing, etc.).  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 w:rsidRPr="0006199D">
        <w:t>T</w:t>
      </w:r>
      <w:r>
        <w:t>he control condition includes an equal amount of time with the clinician, either as treatment as usual (TAU) or some other control intervention (e.g., information).</w:t>
      </w:r>
    </w:p>
    <w:p w:rsidR="00DF040C" w:rsidRDefault="00DF040C" w:rsidP="00DF040C">
      <w:pPr>
        <w:pStyle w:val="ListParagraph"/>
        <w:numPr>
          <w:ilvl w:val="1"/>
          <w:numId w:val="1"/>
        </w:numPr>
      </w:pPr>
      <w:r>
        <w:t xml:space="preserve">Include control conditions that are “intent-to-fail” (e.g., the control condition requires that clinicians be less empathic and less engaged than they would ordinarily be).  </w:t>
      </w:r>
    </w:p>
    <w:p w:rsidR="00DC36CD" w:rsidRDefault="00DC36CD"/>
    <w:sectPr w:rsidR="00DC36CD" w:rsidSect="0047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3E02"/>
    <w:multiLevelType w:val="hybridMultilevel"/>
    <w:tmpl w:val="FF14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DF040C"/>
    <w:rsid w:val="000654D0"/>
    <w:rsid w:val="00314F2D"/>
    <w:rsid w:val="003C77F7"/>
    <w:rsid w:val="00471ACC"/>
    <w:rsid w:val="005862DD"/>
    <w:rsid w:val="00707224"/>
    <w:rsid w:val="00DC36CD"/>
    <w:rsid w:val="00DF040C"/>
    <w:rsid w:val="00EA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>Endicott College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Kelley</dc:creator>
  <cp:lastModifiedBy>John Kelley</cp:lastModifiedBy>
  <cp:revision>1</cp:revision>
  <dcterms:created xsi:type="dcterms:W3CDTF">2014-03-17T12:57:00Z</dcterms:created>
  <dcterms:modified xsi:type="dcterms:W3CDTF">2014-03-17T12:58:00Z</dcterms:modified>
</cp:coreProperties>
</file>