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F9" w:rsidRDefault="003500F9" w:rsidP="00291D09">
      <w:pPr>
        <w:pStyle w:val="Beschriftung"/>
      </w:pPr>
      <w:bookmarkStart w:id="0" w:name="_Ref366099895"/>
      <w:bookmarkStart w:id="1" w:name="_Toc360714118"/>
      <w:bookmarkStart w:id="2" w:name="_Toc368598733"/>
      <w:r>
        <w:t>Table S</w:t>
      </w:r>
      <w:bookmarkEnd w:id="0"/>
      <w:r w:rsidR="00291D09">
        <w:t>7</w:t>
      </w:r>
      <w:r>
        <w:t>. Candidate genes in the top 1% of PBS results in Colla</w:t>
      </w:r>
      <w:bookmarkEnd w:id="1"/>
      <w:bookmarkEnd w:id="2"/>
      <w:r w:rsidR="00025D30">
        <w:t>s.</w:t>
      </w:r>
    </w:p>
    <w:tbl>
      <w:tblPr>
        <w:tblW w:w="906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877"/>
        <w:gridCol w:w="1343"/>
        <w:gridCol w:w="2835"/>
        <w:gridCol w:w="1701"/>
        <w:gridCol w:w="1673"/>
      </w:tblGrid>
      <w:tr w:rsidR="003500F9" w:rsidRPr="00A75847" w:rsidTr="0044661E">
        <w:trPr>
          <w:cantSplit/>
          <w:trHeight w:val="20"/>
          <w:tblHeader/>
        </w:trPr>
        <w:tc>
          <w:tcPr>
            <w:tcW w:w="631" w:type="dxa"/>
            <w:shd w:val="clear" w:color="auto" w:fill="auto"/>
            <w:noWrap/>
            <w:hideMark/>
          </w:tcPr>
          <w:p w:rsidR="003500F9" w:rsidRPr="00A75847" w:rsidRDefault="003500F9" w:rsidP="0044661E">
            <w:pPr>
              <w:spacing w:line="240" w:lineRule="auto"/>
              <w:ind w:right="-102" w:hanging="92"/>
              <w:jc w:val="center"/>
              <w:rPr>
                <w:rFonts w:eastAsia="Times New Roman" w:cs="Times New Roman"/>
                <w:b/>
                <w:color w:val="000000"/>
                <w:sz w:val="20"/>
                <w:lang w:eastAsia="en-GB"/>
              </w:rPr>
            </w:pPr>
            <w:r w:rsidRPr="00A75847">
              <w:rPr>
                <w:rFonts w:eastAsia="Times New Roman" w:cs="Times New Roman"/>
                <w:b/>
                <w:color w:val="000000"/>
                <w:sz w:val="20"/>
                <w:lang w:eastAsia="en-GB"/>
              </w:rPr>
              <w:t>Rank</w:t>
            </w:r>
            <w:r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en-GB"/>
              </w:rPr>
              <w:t>a</w:t>
            </w:r>
          </w:p>
        </w:tc>
        <w:tc>
          <w:tcPr>
            <w:tcW w:w="877" w:type="dxa"/>
            <w:shd w:val="clear" w:color="auto" w:fill="auto"/>
            <w:noWrap/>
            <w:hideMark/>
          </w:tcPr>
          <w:p w:rsidR="003500F9" w:rsidRPr="00A75847" w:rsidRDefault="003500F9" w:rsidP="0044661E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lang w:eastAsia="en-GB"/>
              </w:rPr>
            </w:pPr>
            <w:r w:rsidRPr="00A75847">
              <w:rPr>
                <w:rFonts w:eastAsia="Times New Roman" w:cs="Times New Roman"/>
                <w:b/>
                <w:color w:val="000000"/>
                <w:sz w:val="20"/>
                <w:lang w:eastAsia="en-GB"/>
              </w:rPr>
              <w:t>Gene</w:t>
            </w:r>
          </w:p>
        </w:tc>
        <w:tc>
          <w:tcPr>
            <w:tcW w:w="1343" w:type="dxa"/>
            <w:shd w:val="clear" w:color="auto" w:fill="auto"/>
            <w:noWrap/>
            <w:hideMark/>
          </w:tcPr>
          <w:p w:rsidR="003500F9" w:rsidRPr="00A75847" w:rsidRDefault="003500F9" w:rsidP="0044661E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0"/>
                <w:lang w:eastAsia="en-GB"/>
              </w:rPr>
            </w:pPr>
            <w:r w:rsidRPr="00A75847">
              <w:rPr>
                <w:rFonts w:eastAsia="Times New Roman" w:cs="Times New Roman"/>
                <w:b/>
                <w:color w:val="000000"/>
                <w:sz w:val="20"/>
                <w:lang w:eastAsia="en-GB"/>
              </w:rPr>
              <w:t>Name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500F9" w:rsidRPr="00A75847" w:rsidRDefault="003500F9" w:rsidP="0044661E">
            <w:pPr>
              <w:spacing w:line="240" w:lineRule="auto"/>
              <w:ind w:right="-108"/>
              <w:jc w:val="left"/>
              <w:rPr>
                <w:rFonts w:eastAsia="Times New Roman" w:cs="Times New Roman"/>
                <w:b/>
                <w:color w:val="000000"/>
                <w:sz w:val="20"/>
                <w:lang w:eastAsia="en-GB"/>
              </w:rPr>
            </w:pPr>
            <w:r w:rsidRPr="00A75847">
              <w:rPr>
                <w:rFonts w:eastAsia="Times New Roman" w:cs="Times New Roman"/>
                <w:b/>
                <w:color w:val="000000"/>
                <w:sz w:val="20"/>
                <w:lang w:eastAsia="en-GB"/>
              </w:rPr>
              <w:t>Function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500F9" w:rsidRPr="000E4177" w:rsidRDefault="003500F9" w:rsidP="0044661E">
            <w:pPr>
              <w:spacing w:line="240" w:lineRule="auto"/>
              <w:ind w:right="-108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E41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Hypoxia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/ arsenic</w:t>
            </w:r>
            <w:r w:rsidRPr="000E417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association</w:t>
            </w:r>
          </w:p>
        </w:tc>
        <w:tc>
          <w:tcPr>
            <w:tcW w:w="1673" w:type="dxa"/>
          </w:tcPr>
          <w:p w:rsidR="003500F9" w:rsidRDefault="003500F9" w:rsidP="0044661E">
            <w:pPr>
              <w:pStyle w:val="Table"/>
              <w:spacing w:line="240" w:lineRule="auto"/>
              <w:ind w:right="-112"/>
              <w:jc w:val="left"/>
              <w:rPr>
                <w:b/>
              </w:rPr>
            </w:pPr>
            <w:r>
              <w:rPr>
                <w:b/>
              </w:rPr>
              <w:t>W</w:t>
            </w:r>
            <w:r w:rsidRPr="005172A9">
              <w:rPr>
                <w:b/>
              </w:rPr>
              <w:t>indow</w:t>
            </w:r>
            <w:r>
              <w:rPr>
                <w:b/>
              </w:rPr>
              <w:t xml:space="preserve"> </w:t>
            </w:r>
            <w:r w:rsidRPr="005172A9">
              <w:rPr>
                <w:b/>
              </w:rPr>
              <w:t>PBS</w:t>
            </w:r>
            <w:r w:rsidRPr="005172A9">
              <w:rPr>
                <w:b/>
                <w:vertAlign w:val="subscript"/>
              </w:rPr>
              <w:t xml:space="preserve"> MAX</w:t>
            </w:r>
            <w:r>
              <w:rPr>
                <w:b/>
              </w:rPr>
              <w:t>:</w:t>
            </w:r>
          </w:p>
          <w:p w:rsidR="003500F9" w:rsidRPr="005172A9" w:rsidRDefault="003500F9" w:rsidP="0044661E">
            <w:pPr>
              <w:pStyle w:val="Table"/>
              <w:spacing w:line="240" w:lineRule="auto"/>
              <w:ind w:right="-112"/>
              <w:jc w:val="left"/>
              <w:rPr>
                <w:b/>
              </w:rPr>
            </w:pPr>
            <w:r>
              <w:rPr>
                <w:b/>
              </w:rPr>
              <w:t>G</w:t>
            </w:r>
            <w:r w:rsidRPr="005172A9">
              <w:rPr>
                <w:b/>
              </w:rPr>
              <w:t>ene PBS</w:t>
            </w:r>
            <w:r w:rsidRPr="005172A9">
              <w:rPr>
                <w:b/>
                <w:vertAlign w:val="subscript"/>
              </w:rPr>
              <w:t xml:space="preserve"> MAX</w:t>
            </w:r>
          </w:p>
        </w:tc>
      </w:tr>
      <w:tr w:rsidR="003500F9" w:rsidRPr="00A75847" w:rsidTr="0044661E">
        <w:trPr>
          <w:cantSplit/>
          <w:trHeight w:val="20"/>
        </w:trPr>
        <w:tc>
          <w:tcPr>
            <w:tcW w:w="631" w:type="dxa"/>
            <w:shd w:val="clear" w:color="auto" w:fill="auto"/>
            <w:hideMark/>
          </w:tcPr>
          <w:p w:rsidR="003500F9" w:rsidRPr="00A75847" w:rsidRDefault="003500F9" w:rsidP="004466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en-GB"/>
              </w:rPr>
            </w:pPr>
            <w:r w:rsidRPr="00A75847">
              <w:rPr>
                <w:rFonts w:eastAsia="Times New Roman" w:cs="Times New Roman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877" w:type="dxa"/>
            <w:shd w:val="clear" w:color="auto" w:fill="auto"/>
            <w:hideMark/>
          </w:tcPr>
          <w:p w:rsidR="003500F9" w:rsidRPr="00A75847" w:rsidRDefault="003500F9" w:rsidP="0044661E">
            <w:pPr>
              <w:spacing w:line="240" w:lineRule="auto"/>
              <w:jc w:val="left"/>
              <w:rPr>
                <w:rFonts w:eastAsia="Times New Roman" w:cs="Times New Roman"/>
                <w:i/>
                <w:color w:val="000000"/>
                <w:sz w:val="20"/>
                <w:lang w:eastAsia="en-GB"/>
              </w:rPr>
            </w:pPr>
            <w:r w:rsidRPr="00A75847">
              <w:rPr>
                <w:rFonts w:eastAsia="Times New Roman" w:cs="Times New Roman"/>
                <w:i/>
                <w:color w:val="000000"/>
                <w:sz w:val="20"/>
                <w:lang w:eastAsia="en-GB"/>
              </w:rPr>
              <w:t>CBS</w:t>
            </w:r>
          </w:p>
        </w:tc>
        <w:tc>
          <w:tcPr>
            <w:tcW w:w="1343" w:type="dxa"/>
            <w:shd w:val="clear" w:color="auto" w:fill="auto"/>
            <w:hideMark/>
          </w:tcPr>
          <w:p w:rsidR="003500F9" w:rsidRPr="00A75847" w:rsidRDefault="003500F9" w:rsidP="0044661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en-GB"/>
              </w:rPr>
            </w:pPr>
            <w:r w:rsidRPr="00A75847">
              <w:rPr>
                <w:rFonts w:eastAsia="Times New Roman" w:cs="Times New Roman"/>
                <w:color w:val="000000"/>
                <w:sz w:val="20"/>
                <w:lang w:eastAsia="en-GB"/>
              </w:rPr>
              <w:t xml:space="preserve">Serine sulfhydrase </w:t>
            </w:r>
          </w:p>
        </w:tc>
        <w:tc>
          <w:tcPr>
            <w:tcW w:w="2835" w:type="dxa"/>
            <w:shd w:val="clear" w:color="auto" w:fill="auto"/>
            <w:hideMark/>
          </w:tcPr>
          <w:p w:rsidR="003500F9" w:rsidRPr="00A75847" w:rsidRDefault="003500F9" w:rsidP="0044661E">
            <w:pPr>
              <w:spacing w:line="240" w:lineRule="auto"/>
              <w:ind w:right="-108"/>
              <w:jc w:val="left"/>
              <w:rPr>
                <w:rFonts w:eastAsia="Times New Roman" w:cs="Times New Roman"/>
                <w:color w:val="000000"/>
                <w:sz w:val="20"/>
                <w:lang w:eastAsia="en-GB"/>
              </w:rPr>
            </w:pPr>
            <w:r w:rsidRPr="00A75847">
              <w:rPr>
                <w:rFonts w:eastAsia="Times New Roman" w:cs="Times New Roman"/>
                <w:color w:val="000000"/>
                <w:sz w:val="20"/>
                <w:lang w:eastAsia="en-GB"/>
              </w:rPr>
              <w:t xml:space="preserve">Bradykinin receptor involved in NO mediated vasodilation; associated with </w:t>
            </w:r>
            <w:r>
              <w:rPr>
                <w:rFonts w:eastAsia="Times New Roman" w:cs="Times New Roman"/>
                <w:color w:val="000000"/>
                <w:sz w:val="20"/>
                <w:lang w:eastAsia="en-GB"/>
              </w:rPr>
              <w:t>CBF</w:t>
            </w:r>
          </w:p>
        </w:tc>
        <w:tc>
          <w:tcPr>
            <w:tcW w:w="1701" w:type="dxa"/>
            <w:shd w:val="clear" w:color="auto" w:fill="auto"/>
            <w:hideMark/>
          </w:tcPr>
          <w:p w:rsidR="003500F9" w:rsidRPr="00A75847" w:rsidRDefault="003500F9" w:rsidP="0044661E">
            <w:pPr>
              <w:spacing w:line="240" w:lineRule="auto"/>
              <w:ind w:right="-108"/>
              <w:jc w:val="left"/>
              <w:rPr>
                <w:rFonts w:eastAsia="Times New Roman" w:cs="Times New Roman"/>
                <w:color w:val="000000"/>
                <w:sz w:val="20"/>
                <w:lang w:eastAsia="en-GB"/>
              </w:rPr>
            </w:pPr>
            <w:r w:rsidRPr="00A75847">
              <w:rPr>
                <w:rFonts w:eastAsia="Times New Roman" w:cs="Times New Roman"/>
                <w:color w:val="000000"/>
                <w:sz w:val="20"/>
                <w:lang w:eastAsia="en-GB"/>
              </w:rPr>
              <w:t>Cellular response to hypoxia</w:t>
            </w:r>
          </w:p>
        </w:tc>
        <w:tc>
          <w:tcPr>
            <w:tcW w:w="1673" w:type="dxa"/>
          </w:tcPr>
          <w:p w:rsidR="003500F9" w:rsidRDefault="003500F9" w:rsidP="0044661E">
            <w:pPr>
              <w:pStyle w:val="Table"/>
              <w:spacing w:line="240" w:lineRule="auto"/>
              <w:ind w:right="-112"/>
              <w:jc w:val="left"/>
            </w:pPr>
            <w:r w:rsidRPr="005172A9">
              <w:t>1.005</w:t>
            </w:r>
            <w:r>
              <w:t>:</w:t>
            </w:r>
          </w:p>
          <w:p w:rsidR="003500F9" w:rsidRPr="005172A9" w:rsidRDefault="003500F9" w:rsidP="0044661E">
            <w:pPr>
              <w:pStyle w:val="Table"/>
              <w:spacing w:line="240" w:lineRule="auto"/>
              <w:ind w:right="-112"/>
              <w:jc w:val="left"/>
            </w:pPr>
            <w:r w:rsidRPr="005172A9">
              <w:t>1.005</w:t>
            </w:r>
          </w:p>
        </w:tc>
      </w:tr>
      <w:tr w:rsidR="003500F9" w:rsidRPr="00A75847" w:rsidTr="0044661E">
        <w:trPr>
          <w:cantSplit/>
          <w:trHeight w:val="20"/>
        </w:trPr>
        <w:tc>
          <w:tcPr>
            <w:tcW w:w="631" w:type="dxa"/>
            <w:shd w:val="clear" w:color="auto" w:fill="auto"/>
            <w:hideMark/>
          </w:tcPr>
          <w:p w:rsidR="003500F9" w:rsidRPr="00A75847" w:rsidRDefault="003500F9" w:rsidP="004466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en-GB"/>
              </w:rPr>
            </w:pPr>
            <w:r w:rsidRPr="00A75847">
              <w:rPr>
                <w:rFonts w:eastAsia="Times New Roman" w:cs="Times New Roman"/>
                <w:color w:val="000000"/>
                <w:sz w:val="20"/>
                <w:lang w:eastAsia="en-GB"/>
              </w:rPr>
              <w:t>52</w:t>
            </w:r>
          </w:p>
        </w:tc>
        <w:tc>
          <w:tcPr>
            <w:tcW w:w="877" w:type="dxa"/>
            <w:shd w:val="clear" w:color="auto" w:fill="auto"/>
            <w:hideMark/>
          </w:tcPr>
          <w:p w:rsidR="003500F9" w:rsidRPr="00A75847" w:rsidRDefault="003500F9" w:rsidP="0044661E">
            <w:pPr>
              <w:spacing w:line="240" w:lineRule="auto"/>
              <w:jc w:val="left"/>
              <w:rPr>
                <w:rFonts w:eastAsia="Times New Roman" w:cs="Times New Roman"/>
                <w:i/>
                <w:color w:val="000000"/>
                <w:sz w:val="20"/>
                <w:lang w:eastAsia="en-GB"/>
              </w:rPr>
            </w:pPr>
            <w:r w:rsidRPr="00A75847">
              <w:rPr>
                <w:rFonts w:eastAsia="Times New Roman" w:cs="Times New Roman"/>
                <w:i/>
                <w:color w:val="000000"/>
                <w:sz w:val="20"/>
                <w:lang w:eastAsia="en-GB"/>
              </w:rPr>
              <w:t>PRKG1</w:t>
            </w:r>
          </w:p>
        </w:tc>
        <w:tc>
          <w:tcPr>
            <w:tcW w:w="1343" w:type="dxa"/>
            <w:shd w:val="clear" w:color="auto" w:fill="auto"/>
            <w:hideMark/>
          </w:tcPr>
          <w:p w:rsidR="003500F9" w:rsidRPr="00A75847" w:rsidRDefault="003500F9" w:rsidP="0044661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en-GB"/>
              </w:rPr>
            </w:pPr>
            <w:r w:rsidRPr="00A75847">
              <w:rPr>
                <w:rFonts w:eastAsia="Times New Roman" w:cs="Times New Roman"/>
                <w:color w:val="000000"/>
                <w:sz w:val="20"/>
                <w:lang w:eastAsia="en-GB"/>
              </w:rPr>
              <w:t>Protein kinase, c</w:t>
            </w:r>
            <w:r>
              <w:rPr>
                <w:rFonts w:eastAsia="Times New Roman" w:cs="Times New Roman"/>
                <w:color w:val="000000"/>
                <w:sz w:val="20"/>
                <w:lang w:eastAsia="en-GB"/>
              </w:rPr>
              <w:t>GMP</w:t>
            </w:r>
            <w:r w:rsidRPr="00A75847">
              <w:rPr>
                <w:rFonts w:eastAsia="Times New Roman" w:cs="Times New Roman"/>
                <w:color w:val="000000"/>
                <w:sz w:val="20"/>
                <w:lang w:eastAsia="en-GB"/>
              </w:rPr>
              <w:t>-dependent</w:t>
            </w:r>
          </w:p>
        </w:tc>
        <w:tc>
          <w:tcPr>
            <w:tcW w:w="2835" w:type="dxa"/>
            <w:shd w:val="clear" w:color="auto" w:fill="auto"/>
            <w:hideMark/>
          </w:tcPr>
          <w:p w:rsidR="003500F9" w:rsidRPr="00A75847" w:rsidRDefault="003500F9" w:rsidP="0044661E">
            <w:pPr>
              <w:spacing w:line="240" w:lineRule="auto"/>
              <w:ind w:right="-108"/>
              <w:jc w:val="left"/>
              <w:rPr>
                <w:rFonts w:eastAsia="Times New Roman" w:cs="Times New Roman"/>
                <w:color w:val="000000"/>
                <w:sz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en-GB"/>
              </w:rPr>
              <w:t>K</w:t>
            </w:r>
            <w:r w:rsidRPr="00A75847">
              <w:rPr>
                <w:rFonts w:eastAsia="Times New Roman" w:cs="Times New Roman"/>
                <w:color w:val="000000"/>
                <w:sz w:val="20"/>
                <w:lang w:eastAsia="en-GB"/>
              </w:rPr>
              <w:t xml:space="preserve">ey mediator </w:t>
            </w:r>
            <w:r>
              <w:rPr>
                <w:rFonts w:eastAsia="Times New Roman" w:cs="Times New Roman"/>
                <w:color w:val="000000"/>
                <w:sz w:val="20"/>
                <w:lang w:eastAsia="en-GB"/>
              </w:rPr>
              <w:t>NO</w:t>
            </w:r>
            <w:r w:rsidRPr="00A75847">
              <w:rPr>
                <w:rFonts w:eastAsia="Times New Roman" w:cs="Times New Roman"/>
                <w:color w:val="000000"/>
                <w:sz w:val="20"/>
                <w:lang w:eastAsia="en-GB"/>
              </w:rPr>
              <w:t xml:space="preserve"> pathway</w:t>
            </w:r>
            <w:r>
              <w:rPr>
                <w:rFonts w:eastAsia="Times New Roman" w:cs="Times New Roman"/>
                <w:color w:val="000000"/>
                <w:sz w:val="20"/>
                <w:lang w:eastAsia="en-GB"/>
              </w:rPr>
              <w:t>,</w:t>
            </w:r>
            <w:r w:rsidRPr="00A75847">
              <w:rPr>
                <w:rFonts w:eastAsia="Times New Roman" w:cs="Times New Roman"/>
                <w:color w:val="000000"/>
                <w:sz w:val="20"/>
                <w:lang w:eastAsia="en-GB"/>
              </w:rPr>
              <w:t xml:space="preserve"> regulate</w:t>
            </w:r>
            <w:r>
              <w:rPr>
                <w:rFonts w:eastAsia="Times New Roman" w:cs="Times New Roman"/>
                <w:color w:val="000000"/>
                <w:sz w:val="20"/>
                <w:lang w:eastAsia="en-GB"/>
              </w:rPr>
              <w:t>s</w:t>
            </w:r>
            <w:r w:rsidRPr="00A75847">
              <w:rPr>
                <w:rFonts w:eastAsia="Times New Roman" w:cs="Times New Roman"/>
                <w:color w:val="000000"/>
                <w:sz w:val="20"/>
                <w:lang w:eastAsia="en-GB"/>
              </w:rPr>
              <w:t xml:space="preserve"> platelet activation and adhesion, smooth muscle contraction, cardiac function</w:t>
            </w:r>
          </w:p>
        </w:tc>
        <w:tc>
          <w:tcPr>
            <w:tcW w:w="1701" w:type="dxa"/>
            <w:shd w:val="clear" w:color="auto" w:fill="auto"/>
            <w:hideMark/>
          </w:tcPr>
          <w:p w:rsidR="003500F9" w:rsidRDefault="003500F9" w:rsidP="0044661E">
            <w:pPr>
              <w:spacing w:line="240" w:lineRule="auto"/>
              <w:ind w:right="-108"/>
              <w:jc w:val="left"/>
              <w:rPr>
                <w:rFonts w:eastAsia="Times New Roman" w:cs="Times New Roman"/>
                <w:color w:val="000000"/>
                <w:sz w:val="20"/>
                <w:lang w:eastAsia="en-GB"/>
              </w:rPr>
            </w:pPr>
            <w:r w:rsidRPr="00A75847">
              <w:rPr>
                <w:rFonts w:eastAsia="Times New Roman" w:cs="Times New Roman"/>
                <w:color w:val="000000"/>
                <w:sz w:val="20"/>
                <w:lang w:eastAsia="en-GB"/>
              </w:rPr>
              <w:t>NO stimulates guanylate cyclase</w:t>
            </w:r>
          </w:p>
          <w:p w:rsidR="003500F9" w:rsidRPr="00A75847" w:rsidRDefault="003500F9" w:rsidP="0044661E">
            <w:pPr>
              <w:spacing w:line="240" w:lineRule="auto"/>
              <w:ind w:right="-108"/>
              <w:jc w:val="left"/>
              <w:rPr>
                <w:rFonts w:eastAsia="Times New Roman" w:cs="Times New Roman"/>
                <w:color w:val="000000"/>
                <w:sz w:val="20"/>
                <w:lang w:eastAsia="en-GB"/>
              </w:rPr>
            </w:pPr>
          </w:p>
        </w:tc>
        <w:tc>
          <w:tcPr>
            <w:tcW w:w="1673" w:type="dxa"/>
          </w:tcPr>
          <w:p w:rsidR="003500F9" w:rsidRDefault="003500F9" w:rsidP="0044661E">
            <w:pPr>
              <w:pStyle w:val="Table"/>
              <w:spacing w:line="240" w:lineRule="auto"/>
              <w:ind w:right="-112"/>
              <w:jc w:val="left"/>
            </w:pPr>
            <w:r w:rsidRPr="005172A9">
              <w:t>0.693</w:t>
            </w:r>
            <w:r>
              <w:t>:</w:t>
            </w:r>
          </w:p>
          <w:p w:rsidR="003500F9" w:rsidRPr="005172A9" w:rsidRDefault="003500F9" w:rsidP="0044661E">
            <w:pPr>
              <w:pStyle w:val="Table"/>
              <w:spacing w:line="240" w:lineRule="auto"/>
              <w:ind w:right="-112"/>
              <w:jc w:val="left"/>
            </w:pPr>
            <w:r w:rsidRPr="005172A9">
              <w:t>0.693</w:t>
            </w:r>
          </w:p>
        </w:tc>
      </w:tr>
      <w:tr w:rsidR="003500F9" w:rsidRPr="00A75847" w:rsidTr="0044661E">
        <w:trPr>
          <w:cantSplit/>
          <w:trHeight w:val="20"/>
        </w:trPr>
        <w:tc>
          <w:tcPr>
            <w:tcW w:w="631" w:type="dxa"/>
            <w:shd w:val="clear" w:color="auto" w:fill="auto"/>
            <w:hideMark/>
          </w:tcPr>
          <w:p w:rsidR="003500F9" w:rsidRPr="00A75847" w:rsidRDefault="003500F9" w:rsidP="004466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en-GB"/>
              </w:rPr>
            </w:pPr>
            <w:r w:rsidRPr="00A75847">
              <w:rPr>
                <w:rFonts w:eastAsia="Times New Roman" w:cs="Times New Roman"/>
                <w:color w:val="000000"/>
                <w:sz w:val="20"/>
                <w:lang w:eastAsia="en-GB"/>
              </w:rPr>
              <w:t>137</w:t>
            </w:r>
          </w:p>
        </w:tc>
        <w:tc>
          <w:tcPr>
            <w:tcW w:w="877" w:type="dxa"/>
            <w:shd w:val="clear" w:color="auto" w:fill="auto"/>
            <w:hideMark/>
          </w:tcPr>
          <w:p w:rsidR="003500F9" w:rsidRPr="00A75847" w:rsidRDefault="003500F9" w:rsidP="0044661E">
            <w:pPr>
              <w:spacing w:line="240" w:lineRule="auto"/>
              <w:jc w:val="left"/>
              <w:rPr>
                <w:rFonts w:eastAsia="Times New Roman" w:cs="Times New Roman"/>
                <w:i/>
                <w:color w:val="000000"/>
                <w:sz w:val="20"/>
                <w:lang w:eastAsia="en-GB"/>
              </w:rPr>
            </w:pPr>
            <w:r w:rsidRPr="00A75847">
              <w:rPr>
                <w:rFonts w:eastAsia="Times New Roman" w:cs="Times New Roman"/>
                <w:i/>
                <w:color w:val="000000"/>
                <w:sz w:val="20"/>
                <w:lang w:eastAsia="en-GB"/>
              </w:rPr>
              <w:t>STC2</w:t>
            </w:r>
          </w:p>
        </w:tc>
        <w:tc>
          <w:tcPr>
            <w:tcW w:w="1343" w:type="dxa"/>
            <w:shd w:val="clear" w:color="auto" w:fill="auto"/>
            <w:hideMark/>
          </w:tcPr>
          <w:p w:rsidR="003500F9" w:rsidRPr="00A75847" w:rsidRDefault="003500F9" w:rsidP="0044661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en-GB"/>
              </w:rPr>
            </w:pPr>
            <w:r w:rsidRPr="00A75847">
              <w:rPr>
                <w:rFonts w:eastAsia="Times New Roman" w:cs="Times New Roman"/>
                <w:color w:val="000000"/>
                <w:sz w:val="20"/>
                <w:lang w:eastAsia="en-GB"/>
              </w:rPr>
              <w:t>Stanniocalcin 2</w:t>
            </w:r>
          </w:p>
        </w:tc>
        <w:tc>
          <w:tcPr>
            <w:tcW w:w="2835" w:type="dxa"/>
            <w:shd w:val="clear" w:color="auto" w:fill="auto"/>
            <w:hideMark/>
          </w:tcPr>
          <w:p w:rsidR="003500F9" w:rsidRPr="00A75847" w:rsidRDefault="003500F9" w:rsidP="0044661E">
            <w:pPr>
              <w:spacing w:line="240" w:lineRule="auto"/>
              <w:ind w:right="-108"/>
              <w:jc w:val="left"/>
              <w:rPr>
                <w:rFonts w:eastAsia="Times New Roman" w:cs="Times New Roman"/>
                <w:color w:val="000000"/>
                <w:sz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en-GB"/>
              </w:rPr>
              <w:t>B</w:t>
            </w:r>
            <w:r w:rsidRPr="00A75847">
              <w:rPr>
                <w:rFonts w:eastAsia="Times New Roman" w:cs="Times New Roman"/>
                <w:color w:val="000000"/>
                <w:sz w:val="20"/>
                <w:lang w:eastAsia="en-GB"/>
              </w:rPr>
              <w:t>one and skeletal muscle growth;</w:t>
            </w:r>
            <w:r w:rsidRPr="00AD085B">
              <w:rPr>
                <w:rFonts w:eastAsia="Times New Roman" w:cs="Times New Roman"/>
                <w:color w:val="000000"/>
                <w:sz w:val="8"/>
                <w:lang w:eastAsia="en-GB"/>
              </w:rPr>
              <w:t xml:space="preserve"> </w:t>
            </w:r>
            <w:r w:rsidRPr="00A75847">
              <w:rPr>
                <w:rFonts w:eastAsia="Times New Roman" w:cs="Times New Roman"/>
                <w:color w:val="000000"/>
                <w:sz w:val="20"/>
                <w:lang w:eastAsia="en-GB"/>
              </w:rPr>
              <w:t>HIF-1</w:t>
            </w:r>
            <w:r w:rsidRPr="00AD085B">
              <w:rPr>
                <w:rFonts w:eastAsia="Times New Roman" w:cs="Times New Roman"/>
                <w:color w:val="000000"/>
                <w:sz w:val="12"/>
                <w:lang w:eastAsia="en-GB"/>
              </w:rPr>
              <w:t xml:space="preserve"> </w:t>
            </w:r>
            <w:r w:rsidRPr="00A75847">
              <w:rPr>
                <w:rFonts w:eastAsia="Times New Roman" w:cs="Times New Roman"/>
                <w:color w:val="000000"/>
                <w:sz w:val="20"/>
                <w:lang w:eastAsia="en-GB"/>
              </w:rPr>
              <w:t>activated</w:t>
            </w:r>
            <w:r>
              <w:rPr>
                <w:rFonts w:eastAsia="Times New Roman" w:cs="Times New Roman"/>
                <w:color w:val="000000"/>
                <w:sz w:val="20"/>
                <w:lang w:eastAsia="en-GB"/>
              </w:rPr>
              <w:t>, protects cells from apoptosis in hypoxia</w:t>
            </w:r>
          </w:p>
        </w:tc>
        <w:tc>
          <w:tcPr>
            <w:tcW w:w="1701" w:type="dxa"/>
            <w:shd w:val="clear" w:color="auto" w:fill="auto"/>
            <w:hideMark/>
          </w:tcPr>
          <w:p w:rsidR="003500F9" w:rsidRPr="00A75847" w:rsidRDefault="003500F9" w:rsidP="0044661E">
            <w:pPr>
              <w:spacing w:line="240" w:lineRule="auto"/>
              <w:ind w:right="-108"/>
              <w:jc w:val="left"/>
              <w:rPr>
                <w:rFonts w:eastAsia="Times New Roman" w:cs="Times New Roman"/>
                <w:color w:val="000000"/>
                <w:sz w:val="20"/>
                <w:lang w:eastAsia="en-GB"/>
              </w:rPr>
            </w:pPr>
            <w:r w:rsidRPr="00A75847">
              <w:rPr>
                <w:rFonts w:eastAsia="Times New Roman" w:cs="Times New Roman"/>
                <w:color w:val="000000"/>
                <w:sz w:val="20"/>
                <w:lang w:eastAsia="en-GB"/>
              </w:rPr>
              <w:t>Cellular response to hypoxia</w:t>
            </w:r>
          </w:p>
        </w:tc>
        <w:tc>
          <w:tcPr>
            <w:tcW w:w="1673" w:type="dxa"/>
          </w:tcPr>
          <w:p w:rsidR="003500F9" w:rsidRDefault="003500F9" w:rsidP="0044661E">
            <w:pPr>
              <w:pStyle w:val="Table"/>
              <w:spacing w:line="240" w:lineRule="auto"/>
              <w:ind w:right="-112"/>
              <w:jc w:val="left"/>
            </w:pPr>
            <w:r>
              <w:t>0.583:</w:t>
            </w:r>
          </w:p>
          <w:p w:rsidR="003500F9" w:rsidRDefault="003500F9" w:rsidP="0044661E">
            <w:pPr>
              <w:pStyle w:val="Table"/>
              <w:spacing w:line="240" w:lineRule="auto"/>
              <w:ind w:right="-112"/>
              <w:jc w:val="left"/>
            </w:pPr>
            <w:r>
              <w:t>41 kb downstream</w:t>
            </w:r>
          </w:p>
          <w:p w:rsidR="003500F9" w:rsidRDefault="003500F9" w:rsidP="0044661E">
            <w:pPr>
              <w:pStyle w:val="Table"/>
              <w:spacing w:line="240" w:lineRule="auto"/>
              <w:ind w:right="-112"/>
              <w:jc w:val="left"/>
            </w:pPr>
            <w:r>
              <w:t>0.050</w:t>
            </w:r>
          </w:p>
        </w:tc>
      </w:tr>
      <w:tr w:rsidR="003500F9" w:rsidRPr="00A75847" w:rsidTr="0044661E">
        <w:trPr>
          <w:cantSplit/>
          <w:trHeight w:val="20"/>
        </w:trPr>
        <w:tc>
          <w:tcPr>
            <w:tcW w:w="631" w:type="dxa"/>
            <w:shd w:val="clear" w:color="auto" w:fill="auto"/>
            <w:hideMark/>
          </w:tcPr>
          <w:p w:rsidR="003500F9" w:rsidRPr="00A75847" w:rsidRDefault="003500F9" w:rsidP="004466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en-GB"/>
              </w:rPr>
            </w:pPr>
            <w:r w:rsidRPr="00A75847">
              <w:rPr>
                <w:rFonts w:eastAsia="Times New Roman" w:cs="Times New Roman"/>
                <w:color w:val="000000"/>
                <w:sz w:val="20"/>
                <w:lang w:eastAsia="en-GB"/>
              </w:rPr>
              <w:t>172</w:t>
            </w:r>
          </w:p>
        </w:tc>
        <w:tc>
          <w:tcPr>
            <w:tcW w:w="877" w:type="dxa"/>
            <w:shd w:val="clear" w:color="auto" w:fill="auto"/>
            <w:hideMark/>
          </w:tcPr>
          <w:p w:rsidR="003500F9" w:rsidRPr="00A75847" w:rsidRDefault="003500F9" w:rsidP="0044661E">
            <w:pPr>
              <w:spacing w:line="240" w:lineRule="auto"/>
              <w:jc w:val="left"/>
              <w:rPr>
                <w:rFonts w:eastAsia="Times New Roman" w:cs="Times New Roman"/>
                <w:i/>
                <w:color w:val="000000"/>
                <w:sz w:val="20"/>
                <w:lang w:eastAsia="en-GB"/>
              </w:rPr>
            </w:pPr>
            <w:r w:rsidRPr="00A75847">
              <w:rPr>
                <w:rFonts w:eastAsia="Times New Roman" w:cs="Times New Roman"/>
                <w:i/>
                <w:color w:val="000000"/>
                <w:sz w:val="20"/>
                <w:lang w:eastAsia="en-GB"/>
              </w:rPr>
              <w:t>FOXO1</w:t>
            </w:r>
          </w:p>
        </w:tc>
        <w:tc>
          <w:tcPr>
            <w:tcW w:w="1343" w:type="dxa"/>
            <w:shd w:val="clear" w:color="auto" w:fill="auto"/>
            <w:hideMark/>
          </w:tcPr>
          <w:p w:rsidR="003500F9" w:rsidRPr="00A75847" w:rsidRDefault="003500F9" w:rsidP="0044661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en-GB"/>
              </w:rPr>
            </w:pPr>
            <w:r w:rsidRPr="00A75847">
              <w:rPr>
                <w:rFonts w:eastAsia="Times New Roman" w:cs="Times New Roman"/>
                <w:color w:val="000000"/>
                <w:sz w:val="20"/>
                <w:lang w:eastAsia="en-GB"/>
              </w:rPr>
              <w:t xml:space="preserve">Forkhead box protein O1A </w:t>
            </w:r>
          </w:p>
        </w:tc>
        <w:tc>
          <w:tcPr>
            <w:tcW w:w="2835" w:type="dxa"/>
            <w:shd w:val="clear" w:color="auto" w:fill="auto"/>
            <w:hideMark/>
          </w:tcPr>
          <w:p w:rsidR="003500F9" w:rsidRPr="00A75847" w:rsidRDefault="003500F9" w:rsidP="0044661E">
            <w:pPr>
              <w:spacing w:line="240" w:lineRule="auto"/>
              <w:ind w:right="-108"/>
              <w:jc w:val="left"/>
              <w:rPr>
                <w:rFonts w:eastAsia="Times New Roman" w:cs="Times New Roman"/>
                <w:color w:val="000000"/>
                <w:sz w:val="20"/>
                <w:lang w:eastAsia="en-GB"/>
              </w:rPr>
            </w:pPr>
            <w:r w:rsidRPr="00A75847">
              <w:rPr>
                <w:rFonts w:eastAsia="Times New Roman" w:cs="Times New Roman"/>
                <w:color w:val="000000"/>
                <w:sz w:val="20"/>
                <w:lang w:eastAsia="en-GB"/>
              </w:rPr>
              <w:t>Transcription factor: main target of insulin signalling; regulates metabolic homeostasis in response to oxidative stress</w:t>
            </w:r>
          </w:p>
        </w:tc>
        <w:tc>
          <w:tcPr>
            <w:tcW w:w="1701" w:type="dxa"/>
            <w:shd w:val="clear" w:color="auto" w:fill="auto"/>
            <w:hideMark/>
          </w:tcPr>
          <w:p w:rsidR="003500F9" w:rsidRPr="00A75847" w:rsidRDefault="003500F9" w:rsidP="0044661E">
            <w:pPr>
              <w:spacing w:line="240" w:lineRule="auto"/>
              <w:ind w:right="-108"/>
              <w:jc w:val="left"/>
              <w:rPr>
                <w:rFonts w:eastAsia="Times New Roman" w:cs="Times New Roman"/>
                <w:color w:val="000000"/>
                <w:sz w:val="20"/>
                <w:lang w:eastAsia="en-GB"/>
              </w:rPr>
            </w:pPr>
            <w:r w:rsidRPr="00A75847">
              <w:rPr>
                <w:rFonts w:eastAsia="Times New Roman" w:cs="Times New Roman"/>
                <w:color w:val="000000"/>
                <w:sz w:val="20"/>
                <w:lang w:eastAsia="en-GB"/>
              </w:rPr>
              <w:t>Cellular response to ROS</w:t>
            </w:r>
          </w:p>
        </w:tc>
        <w:tc>
          <w:tcPr>
            <w:tcW w:w="1673" w:type="dxa"/>
          </w:tcPr>
          <w:p w:rsidR="003500F9" w:rsidRDefault="003500F9" w:rsidP="0044661E">
            <w:pPr>
              <w:spacing w:line="240" w:lineRule="auto"/>
              <w:ind w:right="-112"/>
              <w:jc w:val="left"/>
              <w:rPr>
                <w:rFonts w:eastAsia="Times New Roman" w:cs="Times New Roman"/>
                <w:color w:val="000000"/>
                <w:sz w:val="20"/>
                <w:lang w:eastAsia="en-GB"/>
              </w:rPr>
            </w:pPr>
            <w:r w:rsidRPr="00F614C9">
              <w:rPr>
                <w:rFonts w:eastAsia="Times New Roman" w:cs="Times New Roman"/>
                <w:color w:val="000000"/>
                <w:sz w:val="20"/>
                <w:lang w:eastAsia="en-GB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lang w:eastAsia="en-GB"/>
              </w:rPr>
              <w:t>.</w:t>
            </w:r>
            <w:r w:rsidRPr="00F614C9">
              <w:rPr>
                <w:rFonts w:eastAsia="Times New Roman" w:cs="Times New Roman"/>
                <w:color w:val="000000"/>
                <w:sz w:val="20"/>
                <w:lang w:eastAsia="en-GB"/>
              </w:rPr>
              <w:t>558</w:t>
            </w:r>
            <w:r>
              <w:rPr>
                <w:rFonts w:eastAsia="Times New Roman" w:cs="Times New Roman"/>
                <w:color w:val="000000"/>
                <w:sz w:val="20"/>
                <w:lang w:eastAsia="en-GB"/>
              </w:rPr>
              <w:t>:</w:t>
            </w:r>
          </w:p>
          <w:p w:rsidR="003500F9" w:rsidRPr="00A75847" w:rsidRDefault="003500F9" w:rsidP="0044661E">
            <w:pPr>
              <w:spacing w:line="240" w:lineRule="auto"/>
              <w:ind w:right="-112"/>
              <w:jc w:val="left"/>
              <w:rPr>
                <w:rFonts w:eastAsia="Times New Roman" w:cs="Times New Roman"/>
                <w:color w:val="000000"/>
                <w:sz w:val="20"/>
                <w:lang w:eastAsia="en-GB"/>
              </w:rPr>
            </w:pPr>
            <w:r w:rsidRPr="00F614C9">
              <w:rPr>
                <w:rFonts w:eastAsia="Times New Roman" w:cs="Times New Roman"/>
                <w:color w:val="000000"/>
                <w:sz w:val="20"/>
                <w:lang w:eastAsia="en-GB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lang w:eastAsia="en-GB"/>
              </w:rPr>
              <w:t>.</w:t>
            </w:r>
            <w:r w:rsidRPr="00F614C9">
              <w:rPr>
                <w:rFonts w:eastAsia="Times New Roman" w:cs="Times New Roman"/>
                <w:color w:val="000000"/>
                <w:sz w:val="20"/>
                <w:lang w:eastAsia="en-GB"/>
              </w:rPr>
              <w:t>558</w:t>
            </w:r>
          </w:p>
        </w:tc>
      </w:tr>
      <w:tr w:rsidR="003500F9" w:rsidRPr="00A75847" w:rsidTr="0044661E">
        <w:trPr>
          <w:cantSplit/>
          <w:trHeight w:val="20"/>
        </w:trPr>
        <w:tc>
          <w:tcPr>
            <w:tcW w:w="631" w:type="dxa"/>
            <w:shd w:val="clear" w:color="auto" w:fill="auto"/>
            <w:hideMark/>
          </w:tcPr>
          <w:p w:rsidR="003500F9" w:rsidRPr="00A75847" w:rsidRDefault="003500F9" w:rsidP="004466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en-GB"/>
              </w:rPr>
            </w:pPr>
            <w:r w:rsidRPr="00A75847">
              <w:rPr>
                <w:rFonts w:eastAsia="Times New Roman" w:cs="Times New Roman"/>
                <w:color w:val="000000"/>
                <w:sz w:val="20"/>
                <w:lang w:eastAsia="en-GB"/>
              </w:rPr>
              <w:t>190</w:t>
            </w:r>
          </w:p>
        </w:tc>
        <w:tc>
          <w:tcPr>
            <w:tcW w:w="877" w:type="dxa"/>
            <w:shd w:val="clear" w:color="auto" w:fill="auto"/>
            <w:hideMark/>
          </w:tcPr>
          <w:p w:rsidR="003500F9" w:rsidRPr="00A75847" w:rsidRDefault="003500F9" w:rsidP="0044661E">
            <w:pPr>
              <w:spacing w:line="240" w:lineRule="auto"/>
              <w:jc w:val="left"/>
              <w:rPr>
                <w:rFonts w:eastAsia="Times New Roman" w:cs="Times New Roman"/>
                <w:i/>
                <w:color w:val="000000"/>
                <w:sz w:val="20"/>
                <w:lang w:eastAsia="en-GB"/>
              </w:rPr>
            </w:pPr>
            <w:r w:rsidRPr="00A75847">
              <w:rPr>
                <w:rFonts w:eastAsia="Times New Roman" w:cs="Times New Roman"/>
                <w:i/>
                <w:color w:val="000000"/>
                <w:sz w:val="20"/>
                <w:lang w:eastAsia="en-GB"/>
              </w:rPr>
              <w:t>UBE2D3</w:t>
            </w:r>
          </w:p>
        </w:tc>
        <w:tc>
          <w:tcPr>
            <w:tcW w:w="1343" w:type="dxa"/>
            <w:shd w:val="clear" w:color="auto" w:fill="auto"/>
            <w:hideMark/>
          </w:tcPr>
          <w:p w:rsidR="003500F9" w:rsidRPr="00A75847" w:rsidRDefault="003500F9" w:rsidP="0044661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en-GB"/>
              </w:rPr>
            </w:pPr>
            <w:r w:rsidRPr="00A75847">
              <w:rPr>
                <w:rFonts w:eastAsia="Times New Roman" w:cs="Times New Roman"/>
                <w:color w:val="000000"/>
                <w:sz w:val="20"/>
                <w:lang w:eastAsia="en-GB"/>
              </w:rPr>
              <w:t>Ubiquitin-protein ligase D3</w:t>
            </w:r>
          </w:p>
        </w:tc>
        <w:tc>
          <w:tcPr>
            <w:tcW w:w="2835" w:type="dxa"/>
            <w:shd w:val="clear" w:color="auto" w:fill="auto"/>
            <w:hideMark/>
          </w:tcPr>
          <w:p w:rsidR="003500F9" w:rsidRPr="00A75847" w:rsidRDefault="003500F9" w:rsidP="0044661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en-GB"/>
              </w:rPr>
            </w:pPr>
            <w:r w:rsidRPr="00A75847">
              <w:rPr>
                <w:rFonts w:eastAsia="Times New Roman" w:cs="Times New Roman"/>
                <w:color w:val="000000"/>
                <w:sz w:val="20"/>
                <w:lang w:eastAsia="en-GB"/>
              </w:rPr>
              <w:t>E2 ubiquitin-conjugating</w:t>
            </w:r>
            <w:r>
              <w:rPr>
                <w:rFonts w:eastAsia="Times New Roman" w:cs="Times New Roman"/>
                <w:color w:val="000000"/>
                <w:sz w:val="20"/>
                <w:lang w:eastAsia="en-GB"/>
              </w:rPr>
              <w:t xml:space="preserve"> </w:t>
            </w:r>
            <w:r w:rsidRPr="00A75847">
              <w:rPr>
                <w:rFonts w:eastAsia="Times New Roman" w:cs="Times New Roman"/>
                <w:color w:val="000000"/>
                <w:sz w:val="20"/>
                <w:lang w:eastAsia="en-GB"/>
              </w:rPr>
              <w:t>enzyme, targets p53 and EGFR among others</w:t>
            </w:r>
          </w:p>
        </w:tc>
        <w:tc>
          <w:tcPr>
            <w:tcW w:w="1701" w:type="dxa"/>
            <w:shd w:val="clear" w:color="auto" w:fill="auto"/>
            <w:hideMark/>
          </w:tcPr>
          <w:p w:rsidR="003500F9" w:rsidRPr="00A75847" w:rsidRDefault="003500F9" w:rsidP="0044661E">
            <w:pPr>
              <w:spacing w:line="240" w:lineRule="auto"/>
              <w:ind w:right="-108"/>
              <w:jc w:val="left"/>
              <w:rPr>
                <w:rFonts w:eastAsia="Times New Roman" w:cs="Times New Roman"/>
                <w:color w:val="000000"/>
                <w:sz w:val="20"/>
                <w:lang w:eastAsia="en-GB"/>
              </w:rPr>
            </w:pPr>
            <w:r w:rsidRPr="00A75847">
              <w:rPr>
                <w:rFonts w:eastAsia="Times New Roman" w:cs="Times New Roman"/>
                <w:color w:val="000000"/>
                <w:sz w:val="20"/>
                <w:lang w:eastAsia="en-GB"/>
              </w:rPr>
              <w:t>Cellular response to hypoxia</w:t>
            </w:r>
          </w:p>
        </w:tc>
        <w:tc>
          <w:tcPr>
            <w:tcW w:w="1673" w:type="dxa"/>
          </w:tcPr>
          <w:p w:rsidR="003500F9" w:rsidRDefault="003500F9" w:rsidP="0044661E">
            <w:pPr>
              <w:spacing w:line="240" w:lineRule="auto"/>
              <w:ind w:right="-112"/>
              <w:jc w:val="left"/>
              <w:rPr>
                <w:rFonts w:eastAsia="Times New Roman" w:cs="Times New Roman"/>
                <w:color w:val="000000"/>
                <w:sz w:val="20"/>
                <w:lang w:eastAsia="en-GB"/>
              </w:rPr>
            </w:pPr>
            <w:r w:rsidRPr="00F614C9">
              <w:rPr>
                <w:rFonts w:eastAsia="Times New Roman" w:cs="Times New Roman"/>
                <w:color w:val="000000"/>
                <w:sz w:val="20"/>
                <w:lang w:eastAsia="en-GB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lang w:eastAsia="en-GB"/>
              </w:rPr>
              <w:t>.</w:t>
            </w:r>
            <w:r w:rsidRPr="00F614C9">
              <w:rPr>
                <w:rFonts w:eastAsia="Times New Roman" w:cs="Times New Roman"/>
                <w:color w:val="000000"/>
                <w:sz w:val="20"/>
                <w:lang w:eastAsia="en-GB"/>
              </w:rPr>
              <w:t>548</w:t>
            </w:r>
            <w:r>
              <w:rPr>
                <w:rFonts w:eastAsia="Times New Roman" w:cs="Times New Roman"/>
                <w:color w:val="000000"/>
                <w:sz w:val="20"/>
                <w:lang w:eastAsia="en-GB"/>
              </w:rPr>
              <w:t>:</w:t>
            </w:r>
          </w:p>
          <w:p w:rsidR="003500F9" w:rsidRPr="00A75847" w:rsidRDefault="003500F9" w:rsidP="0044661E">
            <w:pPr>
              <w:spacing w:line="240" w:lineRule="auto"/>
              <w:ind w:right="-112"/>
              <w:jc w:val="left"/>
              <w:rPr>
                <w:rFonts w:eastAsia="Times New Roman" w:cs="Times New Roman"/>
                <w:color w:val="000000"/>
                <w:sz w:val="20"/>
                <w:lang w:eastAsia="en-GB"/>
              </w:rPr>
            </w:pPr>
            <w:r w:rsidRPr="00F614C9">
              <w:rPr>
                <w:rFonts w:eastAsia="Times New Roman" w:cs="Times New Roman"/>
                <w:color w:val="000000"/>
                <w:sz w:val="20"/>
                <w:lang w:eastAsia="en-GB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lang w:eastAsia="en-GB"/>
              </w:rPr>
              <w:t>.</w:t>
            </w:r>
            <w:r w:rsidRPr="00F614C9">
              <w:rPr>
                <w:rFonts w:eastAsia="Times New Roman" w:cs="Times New Roman"/>
                <w:color w:val="000000"/>
                <w:sz w:val="20"/>
                <w:lang w:eastAsia="en-GB"/>
              </w:rPr>
              <w:t>548</w:t>
            </w:r>
          </w:p>
        </w:tc>
      </w:tr>
      <w:tr w:rsidR="003500F9" w:rsidRPr="00A75847" w:rsidTr="0044661E">
        <w:trPr>
          <w:cantSplit/>
          <w:trHeight w:val="20"/>
        </w:trPr>
        <w:tc>
          <w:tcPr>
            <w:tcW w:w="631" w:type="dxa"/>
            <w:shd w:val="clear" w:color="auto" w:fill="auto"/>
            <w:hideMark/>
          </w:tcPr>
          <w:p w:rsidR="003500F9" w:rsidRPr="00A75847" w:rsidRDefault="003500F9" w:rsidP="004466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en-GB"/>
              </w:rPr>
            </w:pPr>
            <w:r w:rsidRPr="00A75847">
              <w:rPr>
                <w:rFonts w:eastAsia="Times New Roman" w:cs="Times New Roman"/>
                <w:color w:val="000000"/>
                <w:sz w:val="20"/>
                <w:lang w:eastAsia="en-GB"/>
              </w:rPr>
              <w:t>198</w:t>
            </w:r>
          </w:p>
        </w:tc>
        <w:tc>
          <w:tcPr>
            <w:tcW w:w="877" w:type="dxa"/>
            <w:shd w:val="clear" w:color="auto" w:fill="auto"/>
            <w:hideMark/>
          </w:tcPr>
          <w:p w:rsidR="003500F9" w:rsidRPr="00A75847" w:rsidRDefault="003500F9" w:rsidP="0044661E">
            <w:pPr>
              <w:spacing w:line="240" w:lineRule="auto"/>
              <w:jc w:val="left"/>
              <w:rPr>
                <w:rFonts w:eastAsia="Times New Roman" w:cs="Times New Roman"/>
                <w:i/>
                <w:color w:val="000000"/>
                <w:sz w:val="20"/>
                <w:lang w:eastAsia="en-GB"/>
              </w:rPr>
            </w:pPr>
            <w:r w:rsidRPr="00A75847">
              <w:rPr>
                <w:rFonts w:eastAsia="Times New Roman" w:cs="Times New Roman"/>
                <w:i/>
                <w:color w:val="000000"/>
                <w:sz w:val="20"/>
                <w:lang w:eastAsia="en-GB"/>
              </w:rPr>
              <w:t>SOD1</w:t>
            </w:r>
          </w:p>
        </w:tc>
        <w:tc>
          <w:tcPr>
            <w:tcW w:w="1343" w:type="dxa"/>
            <w:shd w:val="clear" w:color="auto" w:fill="auto"/>
            <w:hideMark/>
          </w:tcPr>
          <w:p w:rsidR="003500F9" w:rsidRPr="00A75847" w:rsidRDefault="003500F9" w:rsidP="0044661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en-GB"/>
              </w:rPr>
            </w:pPr>
            <w:r w:rsidRPr="00A75847">
              <w:rPr>
                <w:rFonts w:eastAsia="Times New Roman" w:cs="Times New Roman"/>
                <w:color w:val="000000"/>
                <w:sz w:val="20"/>
                <w:lang w:eastAsia="en-GB"/>
              </w:rPr>
              <w:t>Superoxide dismutase 1</w:t>
            </w:r>
            <w:r>
              <w:rPr>
                <w:rFonts w:eastAsia="Times New Roman" w:cs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hideMark/>
          </w:tcPr>
          <w:p w:rsidR="003500F9" w:rsidRPr="00A75847" w:rsidRDefault="003500F9" w:rsidP="0044661E">
            <w:pPr>
              <w:spacing w:line="240" w:lineRule="auto"/>
              <w:ind w:right="-108"/>
              <w:jc w:val="left"/>
              <w:rPr>
                <w:rFonts w:eastAsia="Times New Roman" w:cs="Times New Roman"/>
                <w:color w:val="000000"/>
                <w:sz w:val="20"/>
                <w:lang w:eastAsia="en-GB"/>
              </w:rPr>
            </w:pPr>
            <w:r w:rsidRPr="00A75847">
              <w:rPr>
                <w:rFonts w:eastAsia="Times New Roman" w:cs="Times New Roman"/>
                <w:color w:val="000000"/>
                <w:sz w:val="20"/>
                <w:lang w:eastAsia="en-GB"/>
              </w:rPr>
              <w:t>Convert superoxide radicals to molecular oxygen and hydrogen peroxide</w:t>
            </w:r>
          </w:p>
        </w:tc>
        <w:tc>
          <w:tcPr>
            <w:tcW w:w="1701" w:type="dxa"/>
            <w:shd w:val="clear" w:color="auto" w:fill="auto"/>
            <w:hideMark/>
          </w:tcPr>
          <w:p w:rsidR="003500F9" w:rsidRPr="00A75847" w:rsidRDefault="003500F9" w:rsidP="0044661E">
            <w:pPr>
              <w:spacing w:line="240" w:lineRule="auto"/>
              <w:ind w:right="-108"/>
              <w:jc w:val="left"/>
              <w:rPr>
                <w:rFonts w:eastAsia="Times New Roman" w:cs="Times New Roman"/>
                <w:color w:val="000000"/>
                <w:sz w:val="20"/>
                <w:lang w:eastAsia="en-GB"/>
              </w:rPr>
            </w:pPr>
            <w:r w:rsidRPr="00A75847">
              <w:rPr>
                <w:rFonts w:eastAsia="Times New Roman" w:cs="Times New Roman"/>
                <w:color w:val="000000"/>
                <w:sz w:val="20"/>
                <w:lang w:eastAsia="en-GB"/>
              </w:rPr>
              <w:t>Cellular response to ROS</w:t>
            </w:r>
          </w:p>
        </w:tc>
        <w:tc>
          <w:tcPr>
            <w:tcW w:w="1673" w:type="dxa"/>
          </w:tcPr>
          <w:p w:rsidR="003500F9" w:rsidRDefault="003500F9" w:rsidP="0044661E">
            <w:pPr>
              <w:pStyle w:val="Table"/>
              <w:spacing w:line="240" w:lineRule="auto"/>
              <w:ind w:right="-112"/>
              <w:jc w:val="left"/>
            </w:pPr>
            <w:r w:rsidRPr="005172A9">
              <w:t>0.545</w:t>
            </w:r>
            <w:r>
              <w:t>:</w:t>
            </w:r>
          </w:p>
          <w:p w:rsidR="003500F9" w:rsidRDefault="003500F9" w:rsidP="0044661E">
            <w:pPr>
              <w:pStyle w:val="Table"/>
              <w:spacing w:line="240" w:lineRule="auto"/>
              <w:ind w:right="-112"/>
              <w:jc w:val="left"/>
            </w:pPr>
            <w:r>
              <w:t>38 kb downstream</w:t>
            </w:r>
          </w:p>
          <w:p w:rsidR="003500F9" w:rsidRPr="005172A9" w:rsidRDefault="003500F9" w:rsidP="0044661E">
            <w:pPr>
              <w:pStyle w:val="Table"/>
              <w:spacing w:line="240" w:lineRule="auto"/>
              <w:ind w:right="-112"/>
              <w:jc w:val="left"/>
            </w:pPr>
            <w:r w:rsidRPr="005172A9">
              <w:t>0.208</w:t>
            </w:r>
          </w:p>
        </w:tc>
      </w:tr>
      <w:tr w:rsidR="003500F9" w:rsidRPr="00A75847" w:rsidTr="0044661E">
        <w:trPr>
          <w:cantSplit/>
          <w:trHeight w:val="20"/>
        </w:trPr>
        <w:tc>
          <w:tcPr>
            <w:tcW w:w="631" w:type="dxa"/>
            <w:shd w:val="clear" w:color="auto" w:fill="auto"/>
            <w:hideMark/>
          </w:tcPr>
          <w:p w:rsidR="003500F9" w:rsidRPr="00A75847" w:rsidRDefault="003500F9" w:rsidP="004466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en-GB"/>
              </w:rPr>
            </w:pPr>
            <w:r w:rsidRPr="00A75847">
              <w:rPr>
                <w:rFonts w:eastAsia="Times New Roman" w:cs="Times New Roman"/>
                <w:color w:val="000000"/>
                <w:sz w:val="20"/>
                <w:lang w:eastAsia="en-GB"/>
              </w:rPr>
              <w:t>202</w:t>
            </w:r>
          </w:p>
        </w:tc>
        <w:tc>
          <w:tcPr>
            <w:tcW w:w="877" w:type="dxa"/>
            <w:shd w:val="clear" w:color="auto" w:fill="auto"/>
            <w:hideMark/>
          </w:tcPr>
          <w:p w:rsidR="003500F9" w:rsidRPr="00A75847" w:rsidRDefault="003500F9" w:rsidP="0044661E">
            <w:pPr>
              <w:spacing w:line="240" w:lineRule="auto"/>
              <w:jc w:val="left"/>
              <w:rPr>
                <w:rFonts w:eastAsia="Times New Roman" w:cs="Times New Roman"/>
                <w:i/>
                <w:color w:val="000000"/>
                <w:sz w:val="20"/>
                <w:lang w:eastAsia="en-GB"/>
              </w:rPr>
            </w:pPr>
            <w:r w:rsidRPr="00A75847">
              <w:rPr>
                <w:rFonts w:eastAsia="Times New Roman" w:cs="Times New Roman"/>
                <w:i/>
                <w:color w:val="000000"/>
                <w:sz w:val="20"/>
                <w:lang w:eastAsia="en-GB"/>
              </w:rPr>
              <w:t>GNGT1</w:t>
            </w:r>
          </w:p>
        </w:tc>
        <w:tc>
          <w:tcPr>
            <w:tcW w:w="1343" w:type="dxa"/>
            <w:shd w:val="clear" w:color="auto" w:fill="auto"/>
            <w:hideMark/>
          </w:tcPr>
          <w:p w:rsidR="003500F9" w:rsidRPr="00A75847" w:rsidRDefault="003500F9" w:rsidP="0044661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lang w:eastAsia="en-GB"/>
              </w:rPr>
            </w:pPr>
            <w:r w:rsidRPr="00A75847">
              <w:rPr>
                <w:rFonts w:eastAsia="Times New Roman" w:cs="Times New Roman"/>
                <w:color w:val="000000"/>
                <w:sz w:val="20"/>
                <w:lang w:eastAsia="en-GB"/>
              </w:rPr>
              <w:t>Guanine nucleotide-binding protein G(T</w:t>
            </w:r>
            <w:r>
              <w:rPr>
                <w:rFonts w:eastAsia="Times New Roman" w:cs="Times New Roman"/>
                <w:color w:val="000000"/>
                <w:sz w:val="20"/>
                <w:lang w:eastAsia="en-GB"/>
              </w:rPr>
              <w:t>1</w:t>
            </w:r>
            <w:r w:rsidRPr="00A75847">
              <w:rPr>
                <w:rFonts w:eastAsia="Times New Roman" w:cs="Times New Roman"/>
                <w:color w:val="000000"/>
                <w:sz w:val="20"/>
                <w:lang w:eastAsia="en-GB"/>
              </w:rPr>
              <w:t xml:space="preserve">) </w:t>
            </w:r>
          </w:p>
        </w:tc>
        <w:tc>
          <w:tcPr>
            <w:tcW w:w="2835" w:type="dxa"/>
            <w:shd w:val="clear" w:color="auto" w:fill="auto"/>
            <w:hideMark/>
          </w:tcPr>
          <w:p w:rsidR="003500F9" w:rsidRPr="00A75847" w:rsidRDefault="003500F9" w:rsidP="0044661E">
            <w:pPr>
              <w:spacing w:line="240" w:lineRule="auto"/>
              <w:ind w:right="-108"/>
              <w:jc w:val="left"/>
              <w:rPr>
                <w:rFonts w:eastAsia="Times New Roman" w:cs="Times New Roman"/>
                <w:color w:val="000000"/>
                <w:sz w:val="20"/>
                <w:lang w:eastAsia="en-GB"/>
              </w:rPr>
            </w:pPr>
            <w:r w:rsidRPr="00A75847">
              <w:rPr>
                <w:rFonts w:eastAsia="Times New Roman" w:cs="Times New Roman"/>
                <w:color w:val="000000"/>
                <w:sz w:val="20"/>
                <w:lang w:eastAsia="en-GB"/>
              </w:rPr>
              <w:t>GMPase, mediates activation by rhodopsin</w:t>
            </w:r>
            <w:r w:rsidRPr="00AD085B">
              <w:rPr>
                <w:rFonts w:eastAsia="Times New Roman" w:cs="Times New Roman"/>
                <w:color w:val="000000"/>
                <w:sz w:val="10"/>
                <w:lang w:eastAsia="en-GB"/>
              </w:rPr>
              <w:t xml:space="preserve"> </w:t>
            </w:r>
            <w:r w:rsidRPr="00A75847">
              <w:rPr>
                <w:rFonts w:eastAsia="Times New Roman" w:cs="Times New Roman"/>
                <w:color w:val="000000"/>
                <w:sz w:val="20"/>
                <w:lang w:eastAsia="en-GB"/>
              </w:rPr>
              <w:t>of a</w:t>
            </w:r>
            <w:r w:rsidRPr="00AD085B">
              <w:rPr>
                <w:rFonts w:eastAsia="Times New Roman" w:cs="Times New Roman"/>
                <w:color w:val="000000"/>
                <w:sz w:val="10"/>
                <w:lang w:eastAsia="en-GB"/>
              </w:rPr>
              <w:t xml:space="preserve"> </w:t>
            </w:r>
            <w:r w:rsidRPr="00A75847">
              <w:rPr>
                <w:rFonts w:eastAsia="Times New Roman" w:cs="Times New Roman"/>
                <w:color w:val="000000"/>
                <w:sz w:val="20"/>
                <w:lang w:eastAsia="en-GB"/>
              </w:rPr>
              <w:t>cyclic GTP-specific phosphodiesterase</w:t>
            </w:r>
          </w:p>
        </w:tc>
        <w:tc>
          <w:tcPr>
            <w:tcW w:w="1701" w:type="dxa"/>
            <w:shd w:val="clear" w:color="auto" w:fill="auto"/>
            <w:hideMark/>
          </w:tcPr>
          <w:p w:rsidR="003500F9" w:rsidRPr="00A75847" w:rsidRDefault="003500F9" w:rsidP="0044661E">
            <w:pPr>
              <w:spacing w:line="240" w:lineRule="auto"/>
              <w:ind w:right="-108"/>
              <w:jc w:val="left"/>
              <w:rPr>
                <w:rFonts w:eastAsia="Times New Roman" w:cs="Times New Roman"/>
                <w:color w:val="000000"/>
                <w:sz w:val="20"/>
                <w:lang w:eastAsia="en-GB"/>
              </w:rPr>
            </w:pPr>
            <w:r w:rsidRPr="00A75847">
              <w:rPr>
                <w:rFonts w:eastAsia="Times New Roman" w:cs="Times New Roman"/>
                <w:color w:val="000000"/>
                <w:sz w:val="20"/>
                <w:lang w:eastAsia="en-GB"/>
              </w:rPr>
              <w:t>Cellular response to hypoxia</w:t>
            </w:r>
          </w:p>
        </w:tc>
        <w:tc>
          <w:tcPr>
            <w:tcW w:w="1673" w:type="dxa"/>
          </w:tcPr>
          <w:p w:rsidR="003500F9" w:rsidRDefault="003500F9" w:rsidP="0044661E">
            <w:pPr>
              <w:spacing w:line="240" w:lineRule="auto"/>
              <w:ind w:right="-112"/>
              <w:jc w:val="left"/>
              <w:rPr>
                <w:rFonts w:eastAsia="Times New Roman" w:cs="Times New Roman"/>
                <w:color w:val="000000"/>
                <w:sz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en-GB"/>
              </w:rPr>
              <w:t>0.</w:t>
            </w:r>
            <w:r w:rsidRPr="00F614C9">
              <w:rPr>
                <w:rFonts w:eastAsia="Times New Roman" w:cs="Times New Roman"/>
                <w:color w:val="000000"/>
                <w:sz w:val="20"/>
                <w:lang w:eastAsia="en-GB"/>
              </w:rPr>
              <w:t>543</w:t>
            </w:r>
            <w:r>
              <w:rPr>
                <w:rFonts w:eastAsia="Times New Roman" w:cs="Times New Roman"/>
                <w:color w:val="000000"/>
                <w:sz w:val="20"/>
                <w:lang w:eastAsia="en-GB"/>
              </w:rPr>
              <w:t>:</w:t>
            </w:r>
          </w:p>
          <w:p w:rsidR="003500F9" w:rsidRDefault="003500F9" w:rsidP="0044661E">
            <w:pPr>
              <w:spacing w:line="240" w:lineRule="auto"/>
              <w:ind w:right="-112"/>
              <w:jc w:val="left"/>
              <w:rPr>
                <w:rFonts w:eastAsia="Times New Roman" w:cs="Times New Roman"/>
                <w:color w:val="000000"/>
                <w:sz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en-GB"/>
              </w:rPr>
              <w:t>0.</w:t>
            </w:r>
            <w:r w:rsidRPr="00F614C9">
              <w:rPr>
                <w:rFonts w:eastAsia="Times New Roman" w:cs="Times New Roman"/>
                <w:color w:val="000000"/>
                <w:sz w:val="20"/>
                <w:lang w:eastAsia="en-GB"/>
              </w:rPr>
              <w:t>543</w:t>
            </w:r>
          </w:p>
          <w:p w:rsidR="003500F9" w:rsidRPr="00A75847" w:rsidRDefault="003500F9" w:rsidP="0044661E">
            <w:pPr>
              <w:spacing w:line="240" w:lineRule="auto"/>
              <w:ind w:right="-112"/>
              <w:jc w:val="left"/>
              <w:rPr>
                <w:rFonts w:eastAsia="Times New Roman" w:cs="Times New Roman"/>
                <w:color w:val="000000"/>
                <w:sz w:val="20"/>
                <w:lang w:eastAsia="en-GB"/>
              </w:rPr>
            </w:pPr>
          </w:p>
        </w:tc>
      </w:tr>
    </w:tbl>
    <w:p w:rsidR="003500F9" w:rsidRPr="00F36CC3" w:rsidRDefault="003500F9" w:rsidP="003500F9">
      <w:pPr>
        <w:pStyle w:val="Beforetable"/>
        <w:rPr>
          <w:sz w:val="20"/>
          <w:szCs w:val="20"/>
        </w:rPr>
      </w:pPr>
      <w:r>
        <w:rPr>
          <w:sz w:val="20"/>
          <w:szCs w:val="20"/>
          <w:vertAlign w:val="superscript"/>
        </w:rPr>
        <w:t>a</w:t>
      </w:r>
      <w:r>
        <w:rPr>
          <w:sz w:val="20"/>
          <w:szCs w:val="20"/>
        </w:rPr>
        <w:t>Lower ranks are reported for PBS as window size was halved compared to other tests</w:t>
      </w:r>
      <w:r w:rsidR="00DE15DC">
        <w:rPr>
          <w:sz w:val="20"/>
          <w:szCs w:val="20"/>
        </w:rPr>
        <w:t>.</w:t>
      </w:r>
    </w:p>
    <w:p w:rsidR="00B20ED5" w:rsidRPr="003500F9" w:rsidRDefault="00DE15DC">
      <w:pPr>
        <w:rPr>
          <w:lang w:val="en-US"/>
        </w:rPr>
      </w:pPr>
    </w:p>
    <w:sectPr w:rsidR="00B20ED5" w:rsidRPr="003500F9" w:rsidSect="004321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500F9"/>
    <w:rsid w:val="00025D30"/>
    <w:rsid w:val="00027434"/>
    <w:rsid w:val="001D2F11"/>
    <w:rsid w:val="00291D09"/>
    <w:rsid w:val="003500F9"/>
    <w:rsid w:val="00356F6B"/>
    <w:rsid w:val="003A3ADB"/>
    <w:rsid w:val="004321E8"/>
    <w:rsid w:val="009A616E"/>
    <w:rsid w:val="009C3234"/>
    <w:rsid w:val="00A17D6E"/>
    <w:rsid w:val="00A908B1"/>
    <w:rsid w:val="00B14E61"/>
    <w:rsid w:val="00C351E6"/>
    <w:rsid w:val="00C91392"/>
    <w:rsid w:val="00C966A2"/>
    <w:rsid w:val="00D9066C"/>
    <w:rsid w:val="00DE15DC"/>
    <w:rsid w:val="00E226F5"/>
    <w:rsid w:val="00EF3801"/>
    <w:rsid w:val="00F7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00F9"/>
    <w:pPr>
      <w:spacing w:after="0" w:line="360" w:lineRule="auto"/>
      <w:jc w:val="both"/>
    </w:pPr>
    <w:rPr>
      <w:rFonts w:ascii="Calibri" w:hAnsi="Calibri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link w:val="BeschriftungZchn"/>
    <w:uiPriority w:val="35"/>
    <w:qFormat/>
    <w:rsid w:val="003500F9"/>
    <w:pPr>
      <w:keepNext/>
      <w:tabs>
        <w:tab w:val="left" w:pos="2694"/>
      </w:tabs>
      <w:spacing w:after="120" w:line="240" w:lineRule="auto"/>
      <w:ind w:left="851" w:hanging="851"/>
      <w:jc w:val="left"/>
    </w:pPr>
    <w:rPr>
      <w:rFonts w:eastAsia="Times New Roman" w:cs="Times New Roman"/>
      <w:b/>
      <w:bCs/>
      <w:sz w:val="20"/>
      <w:szCs w:val="18"/>
      <w:lang w:val="en-US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3500F9"/>
    <w:rPr>
      <w:rFonts w:ascii="Calibri" w:eastAsia="Times New Roman" w:hAnsi="Calibri" w:cs="Times New Roman"/>
      <w:b/>
      <w:bCs/>
      <w:sz w:val="20"/>
      <w:szCs w:val="18"/>
      <w:lang w:val="en-US"/>
    </w:rPr>
  </w:style>
  <w:style w:type="paragraph" w:customStyle="1" w:styleId="Table">
    <w:name w:val="Table"/>
    <w:basedOn w:val="Standard"/>
    <w:link w:val="TableChar"/>
    <w:qFormat/>
    <w:rsid w:val="003500F9"/>
    <w:pPr>
      <w:spacing w:line="276" w:lineRule="auto"/>
    </w:pPr>
    <w:rPr>
      <w:rFonts w:asciiTheme="minorHAnsi" w:hAnsiTheme="minorHAnsi" w:cstheme="minorBidi"/>
      <w:sz w:val="20"/>
      <w:szCs w:val="20"/>
      <w:lang w:eastAsia="en-GB"/>
    </w:rPr>
  </w:style>
  <w:style w:type="character" w:customStyle="1" w:styleId="TableChar">
    <w:name w:val="Table Char"/>
    <w:basedOn w:val="Absatz-Standardschriftart"/>
    <w:link w:val="Table"/>
    <w:rsid w:val="003500F9"/>
    <w:rPr>
      <w:sz w:val="20"/>
      <w:szCs w:val="20"/>
      <w:lang w:eastAsia="en-GB"/>
    </w:rPr>
  </w:style>
  <w:style w:type="paragraph" w:customStyle="1" w:styleId="Beforetable">
    <w:name w:val="Before table"/>
    <w:basedOn w:val="Standard"/>
    <w:link w:val="BeforetableChar"/>
    <w:qFormat/>
    <w:rsid w:val="003500F9"/>
    <w:rPr>
      <w:rFonts w:asciiTheme="minorHAnsi" w:hAnsiTheme="minorHAnsi" w:cstheme="minorBidi"/>
      <w:sz w:val="10"/>
      <w:szCs w:val="10"/>
    </w:rPr>
  </w:style>
  <w:style w:type="character" w:customStyle="1" w:styleId="BeforetableChar">
    <w:name w:val="Before table Char"/>
    <w:basedOn w:val="Absatz-Standardschriftart"/>
    <w:link w:val="Beforetable"/>
    <w:rsid w:val="003500F9"/>
    <w:rPr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1220</Characters>
  <Application>Microsoft Office Word</Application>
  <DocSecurity>0</DocSecurity>
  <Lines>24</Lines>
  <Paragraphs>12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5</cp:revision>
  <dcterms:created xsi:type="dcterms:W3CDTF">2013-12-02T13:27:00Z</dcterms:created>
  <dcterms:modified xsi:type="dcterms:W3CDTF">2014-02-26T18:11:00Z</dcterms:modified>
</cp:coreProperties>
</file>