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516" w:rsidRPr="00326653" w:rsidRDefault="00514516" w:rsidP="00514516">
      <w:pPr>
        <w:jc w:val="both"/>
        <w:rPr>
          <w:rFonts w:ascii="Times New Roman" w:hAnsi="Times New Roman"/>
          <w:b/>
        </w:rPr>
      </w:pPr>
      <w:r w:rsidRPr="00326653">
        <w:rPr>
          <w:rFonts w:ascii="Times New Roman" w:hAnsi="Times New Roman"/>
          <w:b/>
        </w:rPr>
        <w:t>The IclR-</w:t>
      </w:r>
      <w:r w:rsidR="00767303">
        <w:rPr>
          <w:rFonts w:ascii="Times New Roman" w:hAnsi="Times New Roman"/>
          <w:b/>
        </w:rPr>
        <w:t>F</w:t>
      </w:r>
      <w:r w:rsidRPr="00326653">
        <w:rPr>
          <w:rFonts w:ascii="Times New Roman" w:hAnsi="Times New Roman"/>
          <w:b/>
        </w:rPr>
        <w:t xml:space="preserve">amily </w:t>
      </w:r>
      <w:r w:rsidR="00767303">
        <w:rPr>
          <w:rFonts w:ascii="Times New Roman" w:hAnsi="Times New Roman"/>
          <w:b/>
        </w:rPr>
        <w:t>R</w:t>
      </w:r>
      <w:r w:rsidRPr="00326653">
        <w:rPr>
          <w:rFonts w:ascii="Times New Roman" w:hAnsi="Times New Roman"/>
          <w:b/>
        </w:rPr>
        <w:t>egul</w:t>
      </w:r>
      <w:r w:rsidR="00767303">
        <w:rPr>
          <w:rFonts w:ascii="Times New Roman" w:hAnsi="Times New Roman"/>
          <w:b/>
        </w:rPr>
        <w:t>a</w:t>
      </w:r>
      <w:r w:rsidRPr="00326653">
        <w:rPr>
          <w:rFonts w:ascii="Times New Roman" w:hAnsi="Times New Roman"/>
          <w:b/>
        </w:rPr>
        <w:t xml:space="preserve">tor BapR </w:t>
      </w:r>
      <w:r w:rsidR="00767303">
        <w:rPr>
          <w:rFonts w:ascii="Times New Roman" w:hAnsi="Times New Roman"/>
          <w:b/>
        </w:rPr>
        <w:t>C</w:t>
      </w:r>
      <w:r w:rsidRPr="00326653">
        <w:rPr>
          <w:rFonts w:ascii="Times New Roman" w:hAnsi="Times New Roman"/>
          <w:b/>
        </w:rPr>
        <w:t xml:space="preserve">ontrols </w:t>
      </w:r>
      <w:r w:rsidR="00767303">
        <w:rPr>
          <w:rFonts w:ascii="Times New Roman" w:hAnsi="Times New Roman"/>
          <w:b/>
        </w:rPr>
        <w:t>B</w:t>
      </w:r>
      <w:r w:rsidRPr="00326653">
        <w:rPr>
          <w:rFonts w:ascii="Times New Roman" w:hAnsi="Times New Roman"/>
          <w:b/>
        </w:rPr>
        <w:t xml:space="preserve">iofilm </w:t>
      </w:r>
      <w:r w:rsidR="00767303">
        <w:rPr>
          <w:rFonts w:ascii="Times New Roman" w:hAnsi="Times New Roman"/>
          <w:b/>
        </w:rPr>
        <w:t>F</w:t>
      </w:r>
      <w:r w:rsidRPr="00326653">
        <w:rPr>
          <w:rFonts w:ascii="Times New Roman" w:hAnsi="Times New Roman"/>
          <w:b/>
        </w:rPr>
        <w:t xml:space="preserve">ormation in </w:t>
      </w:r>
      <w:r w:rsidRPr="00326653">
        <w:rPr>
          <w:rFonts w:ascii="Times New Roman" w:hAnsi="Times New Roman"/>
          <w:b/>
          <w:i/>
        </w:rPr>
        <w:t>B. cenocepacia</w:t>
      </w:r>
      <w:r w:rsidRPr="00326653">
        <w:rPr>
          <w:rFonts w:ascii="Times New Roman" w:hAnsi="Times New Roman"/>
          <w:b/>
        </w:rPr>
        <w:t xml:space="preserve"> H111.</w:t>
      </w:r>
    </w:p>
    <w:p w:rsidR="00514516" w:rsidRPr="00326653" w:rsidRDefault="00514516" w:rsidP="00514516">
      <w:pPr>
        <w:jc w:val="both"/>
        <w:rPr>
          <w:rFonts w:ascii="Times New Roman" w:hAnsi="Times New Roman"/>
          <w:b/>
        </w:rPr>
      </w:pPr>
    </w:p>
    <w:p w:rsidR="00514516" w:rsidRPr="00326653" w:rsidRDefault="00514516" w:rsidP="00514516">
      <w:pPr>
        <w:jc w:val="both"/>
        <w:rPr>
          <w:rFonts w:ascii="Times New Roman" w:hAnsi="Times New Roman"/>
        </w:rPr>
      </w:pPr>
      <w:r w:rsidRPr="00326653">
        <w:rPr>
          <w:rFonts w:ascii="Times New Roman" w:hAnsi="Times New Roman"/>
        </w:rPr>
        <w:t xml:space="preserve">Claudio Aguilar, Nadine Schmid, </w:t>
      </w:r>
      <w:r w:rsidR="00326653" w:rsidRPr="00326653">
        <w:rPr>
          <w:rFonts w:ascii="Times New Roman" w:hAnsi="Times New Roman"/>
        </w:rPr>
        <w:t xml:space="preserve">Martina </w:t>
      </w:r>
      <w:proofErr w:type="spellStart"/>
      <w:r w:rsidR="00326653" w:rsidRPr="00326653">
        <w:rPr>
          <w:rFonts w:ascii="Times New Roman" w:hAnsi="Times New Roman"/>
        </w:rPr>
        <w:t>Lardi</w:t>
      </w:r>
      <w:proofErr w:type="spellEnd"/>
      <w:r w:rsidR="00326653" w:rsidRPr="00326653">
        <w:rPr>
          <w:rFonts w:ascii="Times New Roman" w:hAnsi="Times New Roman"/>
        </w:rPr>
        <w:t xml:space="preserve">, </w:t>
      </w:r>
      <w:r w:rsidRPr="00326653">
        <w:rPr>
          <w:rFonts w:ascii="Times New Roman" w:hAnsi="Times New Roman"/>
        </w:rPr>
        <w:t xml:space="preserve">Gabriella </w:t>
      </w:r>
      <w:proofErr w:type="spellStart"/>
      <w:r w:rsidRPr="00326653">
        <w:rPr>
          <w:rFonts w:ascii="Times New Roman" w:hAnsi="Times New Roman"/>
        </w:rPr>
        <w:t>Pessi</w:t>
      </w:r>
      <w:proofErr w:type="spellEnd"/>
      <w:r w:rsidRPr="00326653">
        <w:rPr>
          <w:rFonts w:ascii="Times New Roman" w:hAnsi="Times New Roman"/>
        </w:rPr>
        <w:t xml:space="preserve"> and Leo Eberl</w:t>
      </w:r>
    </w:p>
    <w:p w:rsidR="00514516" w:rsidRPr="00326653" w:rsidRDefault="00514516" w:rsidP="004F0D21">
      <w:pPr>
        <w:widowControl w:val="0"/>
        <w:autoSpaceDE w:val="0"/>
        <w:autoSpaceDN w:val="0"/>
        <w:adjustRightInd w:val="0"/>
        <w:spacing w:after="260" w:line="480" w:lineRule="auto"/>
        <w:jc w:val="both"/>
        <w:rPr>
          <w:rFonts w:ascii="Times" w:hAnsi="Times" w:cs="Verdana"/>
          <w:b/>
          <w:bCs/>
          <w:szCs w:val="20"/>
          <w:lang w:val="en-US"/>
        </w:rPr>
      </w:pPr>
    </w:p>
    <w:p w:rsidR="00514516" w:rsidRDefault="00514516" w:rsidP="004F0D21">
      <w:pPr>
        <w:widowControl w:val="0"/>
        <w:autoSpaceDE w:val="0"/>
        <w:autoSpaceDN w:val="0"/>
        <w:adjustRightInd w:val="0"/>
        <w:spacing w:after="260" w:line="480" w:lineRule="auto"/>
        <w:jc w:val="both"/>
        <w:rPr>
          <w:rFonts w:ascii="Times" w:hAnsi="Times" w:cs="Verdana"/>
          <w:b/>
          <w:bCs/>
          <w:szCs w:val="20"/>
          <w:lang w:val="en-US"/>
        </w:rPr>
      </w:pPr>
    </w:p>
    <w:p w:rsidR="00767303" w:rsidRDefault="00514516" w:rsidP="004F0D21">
      <w:pPr>
        <w:widowControl w:val="0"/>
        <w:autoSpaceDE w:val="0"/>
        <w:autoSpaceDN w:val="0"/>
        <w:adjustRightInd w:val="0"/>
        <w:spacing w:after="260" w:line="480" w:lineRule="auto"/>
        <w:jc w:val="both"/>
        <w:rPr>
          <w:rFonts w:ascii="Times" w:hAnsi="Times" w:cs="Verdana"/>
          <w:b/>
          <w:bCs/>
          <w:szCs w:val="20"/>
          <w:lang w:val="en-US"/>
        </w:rPr>
      </w:pPr>
      <w:r>
        <w:rPr>
          <w:rFonts w:ascii="Times" w:hAnsi="Times" w:cs="Verdana"/>
          <w:b/>
          <w:bCs/>
          <w:szCs w:val="20"/>
          <w:lang w:val="en-US"/>
        </w:rPr>
        <w:t>Supplementary Methods</w:t>
      </w:r>
    </w:p>
    <w:p w:rsidR="00514516" w:rsidRDefault="00514516" w:rsidP="004F0D21">
      <w:pPr>
        <w:widowControl w:val="0"/>
        <w:autoSpaceDE w:val="0"/>
        <w:autoSpaceDN w:val="0"/>
        <w:adjustRightInd w:val="0"/>
        <w:spacing w:after="260" w:line="480" w:lineRule="auto"/>
        <w:jc w:val="both"/>
        <w:rPr>
          <w:rFonts w:ascii="Times" w:hAnsi="Times" w:cs="Verdana"/>
          <w:b/>
          <w:bCs/>
          <w:szCs w:val="20"/>
          <w:lang w:val="en-US"/>
        </w:rPr>
      </w:pPr>
    </w:p>
    <w:p w:rsidR="004F0D21" w:rsidRPr="004F0D21" w:rsidRDefault="004F0D21" w:rsidP="004F0D21">
      <w:pPr>
        <w:widowControl w:val="0"/>
        <w:autoSpaceDE w:val="0"/>
        <w:autoSpaceDN w:val="0"/>
        <w:adjustRightInd w:val="0"/>
        <w:spacing w:after="260" w:line="480" w:lineRule="auto"/>
        <w:jc w:val="both"/>
        <w:rPr>
          <w:rFonts w:ascii="Times" w:hAnsi="Times" w:cs="Verdana"/>
          <w:b/>
          <w:bCs/>
          <w:szCs w:val="20"/>
          <w:lang w:val="en-US"/>
        </w:rPr>
      </w:pPr>
      <w:r w:rsidRPr="004F0D21">
        <w:rPr>
          <w:rFonts w:ascii="Times" w:hAnsi="Times" w:cs="Verdana"/>
          <w:b/>
          <w:bCs/>
          <w:szCs w:val="20"/>
          <w:lang w:val="en-US"/>
        </w:rPr>
        <w:t xml:space="preserve">Growth conditions, RNA extraction and </w:t>
      </w:r>
      <w:proofErr w:type="spellStart"/>
      <w:r w:rsidRPr="004F0D21">
        <w:rPr>
          <w:rFonts w:ascii="Times" w:hAnsi="Times" w:cs="Verdana"/>
          <w:b/>
          <w:bCs/>
          <w:szCs w:val="20"/>
          <w:lang w:val="en-US"/>
        </w:rPr>
        <w:t>DNAse</w:t>
      </w:r>
      <w:proofErr w:type="spellEnd"/>
      <w:r w:rsidRPr="004F0D21">
        <w:rPr>
          <w:rFonts w:ascii="Times" w:hAnsi="Times" w:cs="Verdana"/>
          <w:b/>
          <w:bCs/>
          <w:szCs w:val="20"/>
          <w:lang w:val="en-US"/>
        </w:rPr>
        <w:t xml:space="preserve"> treatment</w:t>
      </w:r>
    </w:p>
    <w:p w:rsidR="00767303" w:rsidRDefault="00CF73A3" w:rsidP="004F0D21">
      <w:pPr>
        <w:widowControl w:val="0"/>
        <w:autoSpaceDE w:val="0"/>
        <w:autoSpaceDN w:val="0"/>
        <w:adjustRightInd w:val="0"/>
        <w:spacing w:after="200" w:line="480" w:lineRule="auto"/>
        <w:jc w:val="both"/>
        <w:rPr>
          <w:rFonts w:ascii="Times" w:hAnsi="Times" w:cs="Verdana"/>
          <w:szCs w:val="20"/>
          <w:lang w:val="en-US"/>
        </w:rPr>
      </w:pPr>
      <w:r>
        <w:rPr>
          <w:rFonts w:ascii="Times" w:hAnsi="Times" w:cs="Verdana"/>
          <w:szCs w:val="20"/>
          <w:lang w:val="en-US"/>
        </w:rPr>
        <w:t xml:space="preserve">Cultures of either </w:t>
      </w:r>
      <w:r w:rsidR="00D867C1" w:rsidRPr="00D867C1">
        <w:rPr>
          <w:rFonts w:ascii="Times" w:hAnsi="Times" w:cs="Verdana"/>
          <w:i/>
          <w:szCs w:val="20"/>
          <w:lang w:val="en-US"/>
        </w:rPr>
        <w:t>B. cenocepacia</w:t>
      </w:r>
      <w:r w:rsidR="00D867C1">
        <w:rPr>
          <w:rFonts w:ascii="Times" w:hAnsi="Times" w:cs="Verdana"/>
          <w:szCs w:val="20"/>
          <w:lang w:val="en-US"/>
        </w:rPr>
        <w:t xml:space="preserve"> H111 </w:t>
      </w:r>
      <w:r>
        <w:rPr>
          <w:rFonts w:ascii="Times" w:hAnsi="Times" w:cs="Verdana"/>
          <w:szCs w:val="20"/>
          <w:lang w:val="en-US"/>
        </w:rPr>
        <w:t>or</w:t>
      </w:r>
      <w:r w:rsidR="00D867C1">
        <w:rPr>
          <w:rFonts w:ascii="Times" w:hAnsi="Times" w:cs="Verdana"/>
          <w:szCs w:val="20"/>
          <w:lang w:val="en-US"/>
        </w:rPr>
        <w:t xml:space="preserve"> </w:t>
      </w:r>
      <w:r w:rsidR="004F0D21" w:rsidRPr="004F0D21">
        <w:rPr>
          <w:rFonts w:ascii="Times" w:hAnsi="Times" w:cs="Verdana"/>
          <w:szCs w:val="20"/>
          <w:lang w:val="en-US"/>
        </w:rPr>
        <w:t xml:space="preserve">the </w:t>
      </w:r>
      <w:r w:rsidR="00D867C1" w:rsidRPr="00D867C1">
        <w:rPr>
          <w:rFonts w:ascii="Times" w:hAnsi="Times" w:cs="Verdana"/>
          <w:i/>
          <w:szCs w:val="20"/>
          <w:lang w:val="en-US"/>
        </w:rPr>
        <w:t>bapR</w:t>
      </w:r>
      <w:r w:rsidR="00D867C1">
        <w:rPr>
          <w:rFonts w:ascii="Times" w:hAnsi="Times" w:cs="Verdana"/>
          <w:szCs w:val="20"/>
          <w:lang w:val="en-US"/>
        </w:rPr>
        <w:t xml:space="preserve"> mutant </w:t>
      </w:r>
      <w:r w:rsidR="004F0D21" w:rsidRPr="004F0D21">
        <w:rPr>
          <w:rFonts w:ascii="Times" w:hAnsi="Times" w:cs="Verdana"/>
          <w:szCs w:val="20"/>
          <w:lang w:val="en-US"/>
        </w:rPr>
        <w:t>were grown</w:t>
      </w:r>
      <w:r w:rsidR="00D867C1">
        <w:rPr>
          <w:rFonts w:ascii="Times" w:hAnsi="Times" w:cs="Verdana"/>
          <w:szCs w:val="20"/>
          <w:lang w:val="en-US"/>
        </w:rPr>
        <w:t xml:space="preserve"> in LB (Lennox)</w:t>
      </w:r>
      <w:r w:rsidR="004F0D21" w:rsidRPr="004F0D21">
        <w:rPr>
          <w:rFonts w:ascii="Times" w:hAnsi="Times" w:cs="Verdana"/>
          <w:szCs w:val="20"/>
          <w:lang w:val="en-US"/>
        </w:rPr>
        <w:t xml:space="preserve"> to an OD600 of approx. 1.5 and then used to inoculate 100 ml of LB Lennox medium at an OD600 0.05. </w:t>
      </w:r>
      <w:r w:rsidR="00D867C1">
        <w:rPr>
          <w:rFonts w:ascii="Times" w:hAnsi="Times" w:cs="Verdana"/>
          <w:szCs w:val="20"/>
          <w:lang w:val="en-US"/>
        </w:rPr>
        <w:t xml:space="preserve">Cultures were incubated until </w:t>
      </w:r>
      <w:r w:rsidR="004F0D21" w:rsidRPr="004F0D21">
        <w:rPr>
          <w:rFonts w:ascii="Times" w:hAnsi="Times" w:cs="Verdana"/>
          <w:szCs w:val="20"/>
          <w:lang w:val="en-US"/>
        </w:rPr>
        <w:t>late exponential growth phase (OD600 2.0),</w:t>
      </w:r>
      <w:r w:rsidR="00D867C1">
        <w:rPr>
          <w:rFonts w:ascii="Times" w:hAnsi="Times" w:cs="Verdana"/>
          <w:szCs w:val="20"/>
          <w:lang w:val="en-US"/>
        </w:rPr>
        <w:t xml:space="preserve"> then</w:t>
      </w:r>
      <w:r w:rsidR="004F0D21" w:rsidRPr="004F0D21">
        <w:rPr>
          <w:rFonts w:ascii="Times" w:hAnsi="Times" w:cs="Verdana"/>
          <w:szCs w:val="20"/>
          <w:lang w:val="en-US"/>
        </w:rPr>
        <w:t xml:space="preserve"> 13.5 ml of the culture were rapidly transferred to cold tubes containing 1.5 ml of “stop solution” (10% phenol buffered with 10 </w:t>
      </w:r>
      <w:proofErr w:type="spellStart"/>
      <w:r w:rsidR="004F0D21" w:rsidRPr="004F0D21">
        <w:rPr>
          <w:rFonts w:ascii="Times" w:hAnsi="Times" w:cs="Verdana"/>
          <w:szCs w:val="20"/>
          <w:lang w:val="en-US"/>
        </w:rPr>
        <w:t>mM</w:t>
      </w:r>
      <w:proofErr w:type="spellEnd"/>
      <w:r w:rsidR="004F0D21" w:rsidRPr="004F0D21">
        <w:rPr>
          <w:rFonts w:ascii="Times" w:hAnsi="Times" w:cs="Verdana"/>
          <w:szCs w:val="20"/>
          <w:lang w:val="en-US"/>
        </w:rPr>
        <w:t xml:space="preserve"> </w:t>
      </w:r>
      <w:proofErr w:type="spellStart"/>
      <w:r w:rsidR="004F0D21" w:rsidRPr="004F0D21">
        <w:rPr>
          <w:rFonts w:ascii="Times" w:hAnsi="Times" w:cs="Verdana"/>
          <w:szCs w:val="20"/>
          <w:lang w:val="en-US"/>
        </w:rPr>
        <w:t>Tris-HCl</w:t>
      </w:r>
      <w:proofErr w:type="spellEnd"/>
      <w:r w:rsidR="004F0D21" w:rsidRPr="004F0D21">
        <w:rPr>
          <w:rFonts w:ascii="Times" w:hAnsi="Times" w:cs="Verdana"/>
          <w:szCs w:val="20"/>
          <w:lang w:val="en-US"/>
        </w:rPr>
        <w:t>, pH 8, in ethanol), centrifuged 5 min at 5000 rpm at 4°C and the pellet frozen in liquid nitrogen. Total RNA was</w:t>
      </w:r>
      <w:r w:rsidR="00D867C1">
        <w:rPr>
          <w:rFonts w:ascii="Times" w:hAnsi="Times" w:cs="Verdana"/>
          <w:szCs w:val="20"/>
          <w:lang w:val="en-US"/>
        </w:rPr>
        <w:t xml:space="preserve"> subsequently </w:t>
      </w:r>
      <w:r w:rsidR="004F0D21" w:rsidRPr="004F0D21">
        <w:rPr>
          <w:rFonts w:ascii="Times" w:hAnsi="Times" w:cs="Verdana"/>
          <w:szCs w:val="20"/>
          <w:lang w:val="en-US"/>
        </w:rPr>
        <w:t>extracted using a hot acid phenol protocol. Briefly, the pelle</w:t>
      </w:r>
      <w:r w:rsidR="00CA3E37">
        <w:rPr>
          <w:rFonts w:ascii="Times" w:hAnsi="Times" w:cs="Verdana"/>
          <w:szCs w:val="20"/>
          <w:lang w:val="en-US"/>
        </w:rPr>
        <w:t xml:space="preserve">t was </w:t>
      </w:r>
      <w:proofErr w:type="spellStart"/>
      <w:r w:rsidR="00CA3E37">
        <w:rPr>
          <w:rFonts w:ascii="Times" w:hAnsi="Times" w:cs="Verdana"/>
          <w:szCs w:val="20"/>
          <w:lang w:val="en-US"/>
        </w:rPr>
        <w:t>resuspended</w:t>
      </w:r>
      <w:proofErr w:type="spellEnd"/>
      <w:r w:rsidR="00CA3E37">
        <w:rPr>
          <w:rFonts w:ascii="Times" w:hAnsi="Times" w:cs="Verdana"/>
          <w:szCs w:val="20"/>
          <w:lang w:val="en-US"/>
        </w:rPr>
        <w:t xml:space="preserve"> in 1.5 ml ice-</w:t>
      </w:r>
      <w:r w:rsidR="004F0D21" w:rsidRPr="004F0D21">
        <w:rPr>
          <w:rFonts w:ascii="Times" w:hAnsi="Times" w:cs="Verdana"/>
          <w:szCs w:val="20"/>
          <w:lang w:val="en-US"/>
        </w:rPr>
        <w:t xml:space="preserve">cold buffer A (20 </w:t>
      </w:r>
      <w:proofErr w:type="spellStart"/>
      <w:r w:rsidR="004F0D21" w:rsidRPr="004F0D21">
        <w:rPr>
          <w:rFonts w:ascii="Times" w:hAnsi="Times" w:cs="Verdana"/>
          <w:szCs w:val="20"/>
          <w:lang w:val="en-US"/>
        </w:rPr>
        <w:t>mM</w:t>
      </w:r>
      <w:proofErr w:type="spellEnd"/>
      <w:r w:rsidR="004F0D21" w:rsidRPr="004F0D21">
        <w:rPr>
          <w:rFonts w:ascii="Times" w:hAnsi="Times" w:cs="Verdana"/>
          <w:szCs w:val="20"/>
          <w:lang w:val="en-US"/>
        </w:rPr>
        <w:t xml:space="preserve"> sodium acetate pH 5.5, 1 </w:t>
      </w:r>
      <w:proofErr w:type="spellStart"/>
      <w:r w:rsidR="004F0D21" w:rsidRPr="004F0D21">
        <w:rPr>
          <w:rFonts w:ascii="Times" w:hAnsi="Times" w:cs="Verdana"/>
          <w:szCs w:val="20"/>
          <w:lang w:val="en-US"/>
        </w:rPr>
        <w:t>mM</w:t>
      </w:r>
      <w:proofErr w:type="spellEnd"/>
      <w:r w:rsidR="004F0D21" w:rsidRPr="004F0D21">
        <w:rPr>
          <w:rFonts w:ascii="Times" w:hAnsi="Times" w:cs="Verdana"/>
          <w:szCs w:val="20"/>
          <w:lang w:val="en-US"/>
        </w:rPr>
        <w:t xml:space="preserve"> EDTA) and added to a mixture of 160 µl 10% SDS, 2 ml buffer A and 3.5 ml acid phenol. The suspension was vigorously mixed for 30 s and incubated for 7 min at 65°C with an additional </w:t>
      </w:r>
      <w:proofErr w:type="spellStart"/>
      <w:r w:rsidR="004F0D21" w:rsidRPr="004F0D21">
        <w:rPr>
          <w:rFonts w:ascii="Times" w:hAnsi="Times" w:cs="Verdana"/>
          <w:szCs w:val="20"/>
          <w:lang w:val="en-US"/>
        </w:rPr>
        <w:t>vortexing</w:t>
      </w:r>
      <w:proofErr w:type="spellEnd"/>
      <w:r w:rsidR="004F0D21" w:rsidRPr="004F0D21">
        <w:rPr>
          <w:rFonts w:ascii="Times" w:hAnsi="Times" w:cs="Verdana"/>
          <w:szCs w:val="20"/>
          <w:lang w:val="en-US"/>
        </w:rPr>
        <w:t xml:space="preserve"> step of 1 min in between. The aqueous phase</w:t>
      </w:r>
      <w:r w:rsidR="00CA3E37">
        <w:rPr>
          <w:rFonts w:ascii="Times" w:hAnsi="Times" w:cs="Verdana"/>
          <w:szCs w:val="20"/>
          <w:lang w:val="en-US"/>
        </w:rPr>
        <w:t xml:space="preserve"> containing the total RNA</w:t>
      </w:r>
      <w:r w:rsidR="004F0D21" w:rsidRPr="004F0D21">
        <w:rPr>
          <w:rFonts w:ascii="Times" w:hAnsi="Times" w:cs="Verdana"/>
          <w:szCs w:val="20"/>
          <w:lang w:val="en-US"/>
        </w:rPr>
        <w:t xml:space="preserve"> was separated and</w:t>
      </w:r>
      <w:r w:rsidR="00CA3E37">
        <w:rPr>
          <w:rFonts w:ascii="Times" w:hAnsi="Times" w:cs="Verdana"/>
          <w:szCs w:val="20"/>
          <w:lang w:val="en-US"/>
        </w:rPr>
        <w:t xml:space="preserve"> re-extracted twice; first with </w:t>
      </w:r>
      <w:r w:rsidR="004F0D21" w:rsidRPr="004F0D21">
        <w:rPr>
          <w:rFonts w:ascii="Times" w:hAnsi="Times" w:cs="Verdana"/>
          <w:szCs w:val="20"/>
          <w:lang w:val="en-US"/>
        </w:rPr>
        <w:t xml:space="preserve">3 ml </w:t>
      </w:r>
      <w:r w:rsidR="00CA3E37">
        <w:rPr>
          <w:rFonts w:ascii="Times" w:hAnsi="Times" w:cs="Verdana"/>
          <w:szCs w:val="20"/>
          <w:lang w:val="en-US"/>
        </w:rPr>
        <w:t xml:space="preserve">of a solution of </w:t>
      </w:r>
      <w:r w:rsidR="004F0D21" w:rsidRPr="004F0D21">
        <w:rPr>
          <w:rFonts w:ascii="Times" w:hAnsi="Times" w:cs="Verdana"/>
          <w:szCs w:val="20"/>
          <w:lang w:val="en-US"/>
        </w:rPr>
        <w:t>phenol/chloroform/</w:t>
      </w:r>
      <w:proofErr w:type="spellStart"/>
      <w:r w:rsidR="004F0D21" w:rsidRPr="004F0D21">
        <w:rPr>
          <w:rFonts w:ascii="Times" w:hAnsi="Times" w:cs="Verdana"/>
          <w:szCs w:val="20"/>
          <w:lang w:val="en-US"/>
        </w:rPr>
        <w:t>isoamylalcohol</w:t>
      </w:r>
      <w:proofErr w:type="spellEnd"/>
      <w:r w:rsidR="00CA3E37">
        <w:rPr>
          <w:rFonts w:ascii="Times" w:hAnsi="Times" w:cs="Verdana"/>
          <w:szCs w:val="20"/>
          <w:lang w:val="en-US"/>
        </w:rPr>
        <w:t xml:space="preserve"> (25:24:1)</w:t>
      </w:r>
      <w:r w:rsidR="004F0D21" w:rsidRPr="004F0D21">
        <w:rPr>
          <w:rFonts w:ascii="Times" w:hAnsi="Times" w:cs="Verdana"/>
          <w:szCs w:val="20"/>
          <w:lang w:val="en-US"/>
        </w:rPr>
        <w:t xml:space="preserve"> and then with 2.5 ml chloroform. The total RNA was precipitated at -80°C overnight with 1/10 volume of 3 M sodium acetate pH 5.5 and 2 volumes of 100% ethanol</w:t>
      </w:r>
      <w:r w:rsidR="009C2AFB">
        <w:rPr>
          <w:rFonts w:ascii="Times" w:hAnsi="Times" w:cs="Verdana"/>
          <w:szCs w:val="20"/>
          <w:lang w:val="en-US"/>
        </w:rPr>
        <w:t xml:space="preserve"> </w:t>
      </w:r>
      <w:r w:rsidR="0099436A">
        <w:rPr>
          <w:rFonts w:ascii="Times" w:hAnsi="Times" w:cs="Verdana"/>
          <w:szCs w:val="20"/>
          <w:lang w:val="en-US"/>
        </w:rPr>
        <w:fldChar w:fldCharType="begin"/>
      </w:r>
      <w:r w:rsidR="009C2AFB">
        <w:rPr>
          <w:rFonts w:ascii="Times" w:hAnsi="Times" w:cs="Verdana"/>
          <w:szCs w:val="20"/>
          <w:lang w:val="en-US"/>
        </w:rPr>
        <w:instrText>ADDIN CSL_CITATION {"mendeley": {"previouslyFormattedCitation": "[1]"}, "citationItems": [{"uris": ["http://www.mendeley.com/documents/?uuid=6d628b05-c224-47d7-ba76-afc77c8e40d4"], "id": "ITEM-1", "itemData": {"DOI": "10.1094/MPMI-20-11-1353", "type": "article-journal", "author": [{"given": "Gabriella", "dropping-particle": "", "suffix": "", "family": "Pessi", "parse-names": false, "non-dropping-particle": ""}, {"given": "Christian H", "dropping-particle": "", "suffix": "", "family": "Ahrens", "parse-names": false, "non-dropping-particle": ""}, {"given": "Hubert", "dropping-particle": "", "suffix": "", "family": "Rehrauer", "parse-names": false, "non-dropping-particle": ""}, {"given": "Andrea", "dropping-particle": "", "suffix": "", "family": "Lindemann", "parse-names": false, "non-dropping-particle": ""}, {"given": "Felix", "dropping-particle": "", "suffix": "", "family": "Hauser", "parse-names": false, "non-dropping-particle": ""}, {"given": "Hans-Martin", "dropping-particle": "", "suffix": "", "family": "Fischer", "parse-names": false, "non-dropping-particle": ""}, {"given": "Hauke", "dropping-particle": "", "suffix": "", "family": "Hennecke", "parse-names": false, "non-dropping-particle": ""}], "issued": {"date-parts": [["2007", "11"]]}, "abstract": "The transcriptome of endosymbiotic Bradyrhizobium japonicum bacteroids was assessed, using RNA extracted from determinate soybean root nodules. Results were compared with the transcript profiles of B. japonicum cells grown in either aerobic or microaerobic culture. Microoxia is a known trigger for the induction of symbiotically relevant genes. In fact, one third of the genes induced in bacteroids at day 21 after inoculation are congruent with those up-regulated in culture by a decreased oxygen concentration. The other induced genes, however, may be regulated by cues other than oxygen limitation. Both groups of genes provide a rich source for the possible discovery of novel functions related to symbiosis. Samples taken at different timepoints in nodule development have led to the distinction of genes expressed early and late in bacteroids. The experimental approach applied here is also useful for B. japonicum mutant analyses. As an example, we compared the transcriptome of wild-type bacteroids with that of bacteroids formed by a mutant defective in the RNA polymerase transcription factor sigma54. This led to a collection of hitherto unrecognized B. japonicum genes potentially transcribed in planta in a sigma54-dependent manner.", "ISSN": "0894-0282", "page": "1353-63", "volume": "20", "container-title": "Molecular plant-microbe interactions : MPMI", "title": "Genome-wide transcript analysis of Bradyrhizobium japonicum bacteroids in soybean root nodules.", "PMID": "17977147", "issue": "11", "id": "ITEM-1"}}], "properties": {"noteIndex": 0}, "schema": "https://github.com/citation-style-language/schema/raw/master/csl-citation.json"}</w:instrText>
      </w:r>
      <w:r w:rsidR="0099436A">
        <w:rPr>
          <w:rFonts w:ascii="Times" w:hAnsi="Times" w:cs="Verdana"/>
          <w:szCs w:val="20"/>
          <w:lang w:val="en-US"/>
        </w:rPr>
        <w:fldChar w:fldCharType="separate"/>
      </w:r>
      <w:r w:rsidR="009C2AFB" w:rsidRPr="009C2AFB">
        <w:rPr>
          <w:rFonts w:ascii="Times" w:hAnsi="Times" w:cs="Verdana"/>
          <w:noProof/>
          <w:szCs w:val="20"/>
          <w:lang w:val="en-US"/>
        </w:rPr>
        <w:t>[1]</w:t>
      </w:r>
      <w:r w:rsidR="0099436A">
        <w:rPr>
          <w:rFonts w:ascii="Times" w:hAnsi="Times" w:cs="Verdana"/>
          <w:szCs w:val="20"/>
          <w:lang w:val="en-US"/>
        </w:rPr>
        <w:fldChar w:fldCharType="end"/>
      </w:r>
      <w:r w:rsidR="009C2AFB">
        <w:rPr>
          <w:rFonts w:ascii="Times" w:hAnsi="Times" w:cs="Verdana"/>
          <w:szCs w:val="20"/>
          <w:lang w:val="en-US"/>
        </w:rPr>
        <w:t xml:space="preserve"> </w:t>
      </w:r>
      <w:r w:rsidR="004F0D21" w:rsidRPr="004F0D21">
        <w:rPr>
          <w:rFonts w:ascii="Times" w:hAnsi="Times" w:cs="Verdana"/>
          <w:szCs w:val="20"/>
          <w:lang w:val="en-US"/>
        </w:rPr>
        <w:t>.</w:t>
      </w:r>
      <w:r w:rsidR="00514516">
        <w:rPr>
          <w:rFonts w:ascii="Times" w:hAnsi="Times" w:cs="Verdana"/>
          <w:szCs w:val="20"/>
          <w:lang w:val="en-US"/>
        </w:rPr>
        <w:t xml:space="preserve"> </w:t>
      </w:r>
      <w:r w:rsidR="004F0D21" w:rsidRPr="004F0D21">
        <w:rPr>
          <w:rFonts w:ascii="Times" w:hAnsi="Times" w:cs="Verdana"/>
          <w:szCs w:val="20"/>
          <w:lang w:val="en-US"/>
        </w:rPr>
        <w:t>Quality control for t</w:t>
      </w:r>
      <w:r w:rsidR="00CA3E37">
        <w:rPr>
          <w:rFonts w:ascii="Times" w:hAnsi="Times" w:cs="Verdana"/>
          <w:szCs w:val="20"/>
          <w:lang w:val="en-US"/>
        </w:rPr>
        <w:t>he RNA was performed with</w:t>
      </w:r>
      <w:r w:rsidR="004F0D21" w:rsidRPr="004F0D21">
        <w:rPr>
          <w:rFonts w:ascii="Times" w:hAnsi="Times" w:cs="Verdana"/>
          <w:szCs w:val="20"/>
          <w:lang w:val="en-US"/>
        </w:rPr>
        <w:t xml:space="preserve"> RNA </w:t>
      </w:r>
      <w:proofErr w:type="spellStart"/>
      <w:r w:rsidR="004F0D21" w:rsidRPr="004F0D21">
        <w:rPr>
          <w:rFonts w:ascii="Times" w:hAnsi="Times" w:cs="Verdana"/>
          <w:szCs w:val="20"/>
          <w:lang w:val="en-US"/>
        </w:rPr>
        <w:t>Nano</w:t>
      </w:r>
      <w:proofErr w:type="spellEnd"/>
      <w:r w:rsidR="004F0D21" w:rsidRPr="004F0D21">
        <w:rPr>
          <w:rFonts w:ascii="Times" w:hAnsi="Times" w:cs="Verdana"/>
          <w:szCs w:val="20"/>
          <w:lang w:val="en-US"/>
        </w:rPr>
        <w:t xml:space="preserve"> Chips (Agilent 2100 </w:t>
      </w:r>
      <w:proofErr w:type="spellStart"/>
      <w:r w:rsidR="004F0D21" w:rsidRPr="004F0D21">
        <w:rPr>
          <w:rFonts w:ascii="Times" w:hAnsi="Times" w:cs="Verdana"/>
          <w:szCs w:val="20"/>
          <w:lang w:val="en-US"/>
        </w:rPr>
        <w:t>Bioanalyzer</w:t>
      </w:r>
      <w:proofErr w:type="spellEnd"/>
      <w:r w:rsidR="004F0D21" w:rsidRPr="004F0D21">
        <w:rPr>
          <w:rFonts w:ascii="Times" w:hAnsi="Times" w:cs="Verdana"/>
          <w:szCs w:val="20"/>
          <w:lang w:val="en-US"/>
        </w:rPr>
        <w:t>; RIN &gt;8).</w:t>
      </w:r>
      <w:r w:rsidR="00514516">
        <w:rPr>
          <w:rFonts w:ascii="Times" w:hAnsi="Times" w:cs="Verdana"/>
          <w:szCs w:val="20"/>
          <w:lang w:val="en-US"/>
        </w:rPr>
        <w:t xml:space="preserve"> </w:t>
      </w:r>
      <w:r w:rsidR="00CA3E37">
        <w:rPr>
          <w:rFonts w:ascii="Times" w:hAnsi="Times" w:cs="Verdana"/>
          <w:szCs w:val="20"/>
          <w:lang w:val="en-US"/>
        </w:rPr>
        <w:t>To remove</w:t>
      </w:r>
      <w:r w:rsidR="004F0D21" w:rsidRPr="004F0D21">
        <w:rPr>
          <w:rFonts w:ascii="Times" w:hAnsi="Times" w:cs="Verdana"/>
          <w:szCs w:val="20"/>
          <w:lang w:val="en-US"/>
        </w:rPr>
        <w:t xml:space="preserve"> 5S </w:t>
      </w:r>
      <w:proofErr w:type="spellStart"/>
      <w:r w:rsidR="004F0D21" w:rsidRPr="004F0D21">
        <w:rPr>
          <w:rFonts w:ascii="Times" w:hAnsi="Times" w:cs="Verdana"/>
          <w:szCs w:val="20"/>
          <w:lang w:val="en-US"/>
        </w:rPr>
        <w:t>rRNA</w:t>
      </w:r>
      <w:proofErr w:type="spellEnd"/>
      <w:r w:rsidR="004F0D21" w:rsidRPr="004F0D21">
        <w:rPr>
          <w:rFonts w:ascii="Times" w:hAnsi="Times" w:cs="Verdana"/>
          <w:szCs w:val="20"/>
          <w:lang w:val="en-US"/>
        </w:rPr>
        <w:t>, 50 µg of total RNA in a volume of 100 µl w</w:t>
      </w:r>
      <w:r w:rsidR="00CA3E37">
        <w:rPr>
          <w:rFonts w:ascii="Times" w:hAnsi="Times" w:cs="Verdana"/>
          <w:szCs w:val="20"/>
          <w:lang w:val="en-US"/>
        </w:rPr>
        <w:t xml:space="preserve">ere cleaned using </w:t>
      </w:r>
      <w:r w:rsidR="004F0D21" w:rsidRPr="004F0D21">
        <w:rPr>
          <w:rFonts w:ascii="Times" w:hAnsi="Times" w:cs="Verdana"/>
          <w:szCs w:val="20"/>
          <w:lang w:val="en-US"/>
        </w:rPr>
        <w:t xml:space="preserve">the </w:t>
      </w:r>
      <w:proofErr w:type="spellStart"/>
      <w:r w:rsidR="004F0D21" w:rsidRPr="004F0D21">
        <w:rPr>
          <w:rFonts w:ascii="Times" w:hAnsi="Times" w:cs="Verdana"/>
          <w:szCs w:val="20"/>
          <w:lang w:val="en-US"/>
        </w:rPr>
        <w:t>RNAeasy</w:t>
      </w:r>
      <w:proofErr w:type="spellEnd"/>
      <w:r w:rsidR="004F0D21" w:rsidRPr="004F0D21">
        <w:rPr>
          <w:rFonts w:ascii="Times" w:hAnsi="Times" w:cs="Verdana"/>
          <w:szCs w:val="20"/>
          <w:lang w:val="en-US"/>
        </w:rPr>
        <w:t xml:space="preserve"> </w:t>
      </w:r>
      <w:proofErr w:type="spellStart"/>
      <w:r w:rsidR="004F0D21" w:rsidRPr="004F0D21">
        <w:rPr>
          <w:rFonts w:ascii="Times" w:hAnsi="Times" w:cs="Verdana"/>
          <w:szCs w:val="20"/>
          <w:lang w:val="en-US"/>
        </w:rPr>
        <w:t>MiniKit</w:t>
      </w:r>
      <w:proofErr w:type="spellEnd"/>
      <w:r w:rsidR="004F0D21" w:rsidRPr="004F0D21">
        <w:rPr>
          <w:rFonts w:ascii="Times" w:hAnsi="Times" w:cs="Verdana"/>
          <w:szCs w:val="20"/>
          <w:lang w:val="en-US"/>
        </w:rPr>
        <w:t xml:space="preserve"> (</w:t>
      </w:r>
      <w:proofErr w:type="spellStart"/>
      <w:r w:rsidR="004F0D21" w:rsidRPr="004F0D21">
        <w:rPr>
          <w:rFonts w:ascii="Times" w:hAnsi="Times" w:cs="Verdana"/>
          <w:szCs w:val="20"/>
          <w:lang w:val="en-US"/>
        </w:rPr>
        <w:t>Qiagen</w:t>
      </w:r>
      <w:proofErr w:type="spellEnd"/>
      <w:r w:rsidR="004F0D21" w:rsidRPr="004F0D21">
        <w:rPr>
          <w:rFonts w:ascii="Times" w:hAnsi="Times" w:cs="Verdana"/>
          <w:szCs w:val="20"/>
          <w:lang w:val="en-US"/>
        </w:rPr>
        <w:t xml:space="preserve">), according to the manufacturer’s protocol, and eluted </w:t>
      </w:r>
      <w:r w:rsidR="0076483E">
        <w:rPr>
          <w:rFonts w:ascii="Times" w:hAnsi="Times" w:cs="Verdana"/>
          <w:szCs w:val="20"/>
          <w:lang w:val="en-US"/>
        </w:rPr>
        <w:t xml:space="preserve">two times </w:t>
      </w:r>
      <w:r w:rsidR="004F0D21" w:rsidRPr="004F0D21">
        <w:rPr>
          <w:rFonts w:ascii="Times" w:hAnsi="Times" w:cs="Verdana"/>
          <w:szCs w:val="20"/>
          <w:lang w:val="en-US"/>
        </w:rPr>
        <w:t>with 30 µl of elution buffer.</w:t>
      </w:r>
      <w:r w:rsidR="00514516">
        <w:rPr>
          <w:rFonts w:ascii="Times" w:hAnsi="Times" w:cs="Verdana"/>
          <w:szCs w:val="20"/>
          <w:lang w:val="en-US"/>
        </w:rPr>
        <w:t xml:space="preserve"> </w:t>
      </w:r>
      <w:r w:rsidR="004F0D21" w:rsidRPr="004F0D21">
        <w:rPr>
          <w:rFonts w:ascii="Times" w:hAnsi="Times" w:cs="Verdana"/>
          <w:szCs w:val="20"/>
          <w:lang w:val="en-US"/>
        </w:rPr>
        <w:t xml:space="preserve">To </w:t>
      </w:r>
      <w:r w:rsidR="0076483E">
        <w:rPr>
          <w:rFonts w:ascii="Times" w:hAnsi="Times" w:cs="Verdana"/>
          <w:szCs w:val="20"/>
          <w:lang w:val="en-US"/>
        </w:rPr>
        <w:t>remove contaminant</w:t>
      </w:r>
      <w:r w:rsidR="004F0D21" w:rsidRPr="004F0D21">
        <w:rPr>
          <w:rFonts w:ascii="Times" w:hAnsi="Times" w:cs="Verdana"/>
          <w:szCs w:val="20"/>
          <w:lang w:val="en-US"/>
        </w:rPr>
        <w:t xml:space="preserve"> DNA</w:t>
      </w:r>
      <w:r w:rsidR="0076483E">
        <w:rPr>
          <w:rFonts w:ascii="Times" w:hAnsi="Times" w:cs="Verdana"/>
          <w:szCs w:val="20"/>
          <w:lang w:val="en-US"/>
        </w:rPr>
        <w:t xml:space="preserve"> in the samples</w:t>
      </w:r>
      <w:r w:rsidR="004F0D21" w:rsidRPr="004F0D21">
        <w:rPr>
          <w:rFonts w:ascii="Times" w:hAnsi="Times" w:cs="Verdana"/>
          <w:szCs w:val="20"/>
          <w:lang w:val="en-US"/>
        </w:rPr>
        <w:t xml:space="preserve">, 30 µg of the RNA were treated with RQ1 </w:t>
      </w:r>
      <w:proofErr w:type="spellStart"/>
      <w:r w:rsidR="004F0D21" w:rsidRPr="004F0D21">
        <w:rPr>
          <w:rFonts w:ascii="Times" w:hAnsi="Times" w:cs="Verdana"/>
          <w:szCs w:val="20"/>
          <w:lang w:val="en-US"/>
        </w:rPr>
        <w:t>RNAse</w:t>
      </w:r>
      <w:proofErr w:type="spellEnd"/>
      <w:r w:rsidR="004F0D21" w:rsidRPr="004F0D21">
        <w:rPr>
          <w:rFonts w:ascii="Times" w:hAnsi="Times" w:cs="Verdana"/>
          <w:szCs w:val="20"/>
          <w:lang w:val="en-US"/>
        </w:rPr>
        <w:t xml:space="preserve">-Free </w:t>
      </w:r>
      <w:proofErr w:type="spellStart"/>
      <w:r w:rsidR="004F0D21" w:rsidRPr="004F0D21">
        <w:rPr>
          <w:rFonts w:ascii="Times" w:hAnsi="Times" w:cs="Verdana"/>
          <w:szCs w:val="20"/>
          <w:lang w:val="en-US"/>
        </w:rPr>
        <w:t>DNAse</w:t>
      </w:r>
      <w:proofErr w:type="spellEnd"/>
      <w:r w:rsidR="004F0D21" w:rsidRPr="004F0D21">
        <w:rPr>
          <w:rFonts w:ascii="Times" w:hAnsi="Times" w:cs="Verdana"/>
          <w:szCs w:val="20"/>
          <w:lang w:val="en-US"/>
        </w:rPr>
        <w:t xml:space="preserve"> I (</w:t>
      </w:r>
      <w:proofErr w:type="spellStart"/>
      <w:r w:rsidR="004F0D21" w:rsidRPr="004F0D21">
        <w:rPr>
          <w:rFonts w:ascii="Times" w:hAnsi="Times" w:cs="Verdana"/>
          <w:szCs w:val="20"/>
          <w:lang w:val="en-US"/>
        </w:rPr>
        <w:t>Promega</w:t>
      </w:r>
      <w:proofErr w:type="spellEnd"/>
      <w:r w:rsidR="004F0D21" w:rsidRPr="004F0D21">
        <w:rPr>
          <w:rFonts w:ascii="Times" w:hAnsi="Times" w:cs="Verdana"/>
          <w:szCs w:val="20"/>
          <w:lang w:val="en-US"/>
        </w:rPr>
        <w:t xml:space="preserve">) and </w:t>
      </w:r>
      <w:proofErr w:type="spellStart"/>
      <w:r w:rsidR="004F0D21" w:rsidRPr="004F0D21">
        <w:rPr>
          <w:rFonts w:ascii="Times" w:hAnsi="Times" w:cs="Verdana"/>
          <w:szCs w:val="20"/>
          <w:lang w:val="en-US"/>
        </w:rPr>
        <w:t>SUPERaseIn</w:t>
      </w:r>
      <w:proofErr w:type="spellEnd"/>
      <w:r w:rsidR="004F0D21" w:rsidRPr="004F0D21">
        <w:rPr>
          <w:rFonts w:ascii="Times" w:hAnsi="Times" w:cs="Verdana"/>
          <w:szCs w:val="20"/>
          <w:lang w:val="en-US"/>
        </w:rPr>
        <w:t xml:space="preserve"> </w:t>
      </w:r>
      <w:proofErr w:type="spellStart"/>
      <w:r w:rsidR="004F0D21" w:rsidRPr="004F0D21">
        <w:rPr>
          <w:rFonts w:ascii="Times" w:hAnsi="Times" w:cs="Verdana"/>
          <w:szCs w:val="20"/>
          <w:lang w:val="en-US"/>
        </w:rPr>
        <w:t>RNAse</w:t>
      </w:r>
      <w:proofErr w:type="spellEnd"/>
      <w:r w:rsidR="004F0D21" w:rsidRPr="004F0D21">
        <w:rPr>
          <w:rFonts w:ascii="Times" w:hAnsi="Times" w:cs="Verdana"/>
          <w:szCs w:val="20"/>
          <w:lang w:val="en-US"/>
        </w:rPr>
        <w:t xml:space="preserve"> Inhibitor (</w:t>
      </w:r>
      <w:proofErr w:type="spellStart"/>
      <w:r w:rsidR="004F0D21" w:rsidRPr="004F0D21">
        <w:rPr>
          <w:rFonts w:ascii="Times" w:hAnsi="Times" w:cs="Verdana"/>
          <w:szCs w:val="20"/>
          <w:lang w:val="en-US"/>
        </w:rPr>
        <w:t>Ambion</w:t>
      </w:r>
      <w:proofErr w:type="spellEnd"/>
      <w:r w:rsidR="004F0D21" w:rsidRPr="004F0D21">
        <w:rPr>
          <w:rFonts w:ascii="Times" w:hAnsi="Times" w:cs="Verdana"/>
          <w:szCs w:val="20"/>
          <w:lang w:val="en-US"/>
        </w:rPr>
        <w:t xml:space="preserve">) for 30 min at 37°C and purified with the </w:t>
      </w:r>
      <w:proofErr w:type="spellStart"/>
      <w:r w:rsidR="004F0D21" w:rsidRPr="004F0D21">
        <w:rPr>
          <w:rFonts w:ascii="Times" w:hAnsi="Times" w:cs="Verdana"/>
          <w:szCs w:val="20"/>
          <w:lang w:val="en-US"/>
        </w:rPr>
        <w:t>RNAeasy</w:t>
      </w:r>
      <w:proofErr w:type="spellEnd"/>
      <w:r w:rsidR="004F0D21" w:rsidRPr="004F0D21">
        <w:rPr>
          <w:rFonts w:ascii="Times" w:hAnsi="Times" w:cs="Verdana"/>
          <w:szCs w:val="20"/>
          <w:lang w:val="en-US"/>
        </w:rPr>
        <w:t xml:space="preserve"> </w:t>
      </w:r>
      <w:proofErr w:type="spellStart"/>
      <w:r w:rsidR="004F0D21" w:rsidRPr="004F0D21">
        <w:rPr>
          <w:rFonts w:ascii="Times" w:hAnsi="Times" w:cs="Verdana"/>
          <w:szCs w:val="20"/>
          <w:lang w:val="en-US"/>
        </w:rPr>
        <w:t>MiniKit</w:t>
      </w:r>
      <w:proofErr w:type="spellEnd"/>
      <w:r w:rsidR="004F0D21" w:rsidRPr="004F0D21">
        <w:rPr>
          <w:rFonts w:ascii="Times" w:hAnsi="Times" w:cs="Verdana"/>
          <w:szCs w:val="20"/>
          <w:lang w:val="en-US"/>
        </w:rPr>
        <w:t xml:space="preserve"> (</w:t>
      </w:r>
      <w:proofErr w:type="spellStart"/>
      <w:r w:rsidR="004F0D21" w:rsidRPr="004F0D21">
        <w:rPr>
          <w:rFonts w:ascii="Times" w:hAnsi="Times" w:cs="Verdana"/>
          <w:szCs w:val="20"/>
          <w:lang w:val="en-US"/>
        </w:rPr>
        <w:t>Qiagen</w:t>
      </w:r>
      <w:proofErr w:type="spellEnd"/>
      <w:r w:rsidR="004F0D21" w:rsidRPr="004F0D21">
        <w:rPr>
          <w:rFonts w:ascii="Times" w:hAnsi="Times" w:cs="Verdana"/>
          <w:szCs w:val="20"/>
          <w:lang w:val="en-US"/>
        </w:rPr>
        <w:t xml:space="preserve">). The successful depletion of DNA was confirmed by PCR using primers ns38 and ns39 (target: </w:t>
      </w:r>
      <w:proofErr w:type="spellStart"/>
      <w:r w:rsidR="004F0D21" w:rsidRPr="004F0D21">
        <w:rPr>
          <w:rFonts w:ascii="Times" w:hAnsi="Times" w:cs="Verdana"/>
          <w:i/>
          <w:iCs/>
          <w:szCs w:val="20"/>
          <w:lang w:val="en-US"/>
        </w:rPr>
        <w:t>rhlA</w:t>
      </w:r>
      <w:proofErr w:type="spellEnd"/>
      <w:r w:rsidR="004F0D21" w:rsidRPr="004F0D21">
        <w:rPr>
          <w:rFonts w:ascii="Times" w:hAnsi="Times" w:cs="Verdana"/>
          <w:szCs w:val="20"/>
          <w:lang w:val="en-US"/>
        </w:rPr>
        <w:t>) with 35 cycles.</w:t>
      </w:r>
      <w:r w:rsidR="0076483E">
        <w:rPr>
          <w:rFonts w:ascii="Times" w:hAnsi="Times" w:cs="Verdana"/>
          <w:szCs w:val="20"/>
          <w:lang w:val="en-US"/>
        </w:rPr>
        <w:t xml:space="preserve"> </w:t>
      </w:r>
    </w:p>
    <w:p w:rsidR="004F0D21" w:rsidRPr="004F0D21" w:rsidRDefault="004F0D21" w:rsidP="004F0D21">
      <w:pPr>
        <w:widowControl w:val="0"/>
        <w:autoSpaceDE w:val="0"/>
        <w:autoSpaceDN w:val="0"/>
        <w:adjustRightInd w:val="0"/>
        <w:spacing w:after="200" w:line="480" w:lineRule="auto"/>
        <w:jc w:val="both"/>
        <w:rPr>
          <w:rFonts w:ascii="Times" w:hAnsi="Times" w:cs="Verdana"/>
          <w:szCs w:val="20"/>
          <w:lang w:val="en-US"/>
        </w:rPr>
      </w:pPr>
    </w:p>
    <w:p w:rsidR="00767303" w:rsidRDefault="004F0D21" w:rsidP="004F0D21">
      <w:pPr>
        <w:widowControl w:val="0"/>
        <w:autoSpaceDE w:val="0"/>
        <w:autoSpaceDN w:val="0"/>
        <w:adjustRightInd w:val="0"/>
        <w:spacing w:after="260" w:line="480" w:lineRule="auto"/>
        <w:jc w:val="both"/>
        <w:rPr>
          <w:rFonts w:ascii="Times" w:hAnsi="Times" w:cs="Verdana"/>
          <w:b/>
          <w:bCs/>
          <w:szCs w:val="20"/>
          <w:lang w:val="en-US"/>
        </w:rPr>
      </w:pPr>
      <w:r w:rsidRPr="004F0D21">
        <w:rPr>
          <w:rFonts w:ascii="Times" w:hAnsi="Times" w:cs="Verdana"/>
          <w:b/>
          <w:bCs/>
          <w:szCs w:val="20"/>
          <w:lang w:val="en-US"/>
        </w:rPr>
        <w:t xml:space="preserve">Depletion of mRNA, </w:t>
      </w:r>
      <w:proofErr w:type="spellStart"/>
      <w:r w:rsidRPr="004F0D21">
        <w:rPr>
          <w:rFonts w:ascii="Times" w:hAnsi="Times" w:cs="Verdana"/>
          <w:b/>
          <w:bCs/>
          <w:szCs w:val="20"/>
          <w:lang w:val="en-US"/>
        </w:rPr>
        <w:t>cDNA</w:t>
      </w:r>
      <w:proofErr w:type="spellEnd"/>
      <w:r w:rsidRPr="004F0D21">
        <w:rPr>
          <w:rFonts w:ascii="Times" w:hAnsi="Times" w:cs="Verdana"/>
          <w:b/>
          <w:bCs/>
          <w:szCs w:val="20"/>
          <w:lang w:val="en-US"/>
        </w:rPr>
        <w:t xml:space="preserve"> synthesis and library generation</w:t>
      </w:r>
    </w:p>
    <w:p w:rsidR="00A81EE9" w:rsidRDefault="004F0D21" w:rsidP="004F0D21">
      <w:pPr>
        <w:widowControl w:val="0"/>
        <w:autoSpaceDE w:val="0"/>
        <w:autoSpaceDN w:val="0"/>
        <w:adjustRightInd w:val="0"/>
        <w:spacing w:after="200" w:line="480" w:lineRule="auto"/>
        <w:jc w:val="both"/>
        <w:rPr>
          <w:rFonts w:ascii="Times" w:hAnsi="Times" w:cs="Verdana"/>
          <w:szCs w:val="20"/>
          <w:lang w:val="en-US"/>
        </w:rPr>
      </w:pPr>
      <w:r w:rsidRPr="004F0D21">
        <w:rPr>
          <w:rFonts w:ascii="Times" w:hAnsi="Times" w:cs="Verdana"/>
          <w:szCs w:val="20"/>
          <w:lang w:val="en-US"/>
        </w:rPr>
        <w:t xml:space="preserve">The depletion of mRNA was performed by using the </w:t>
      </w:r>
      <w:proofErr w:type="spellStart"/>
      <w:r w:rsidRPr="004F0D21">
        <w:rPr>
          <w:rFonts w:ascii="Times" w:hAnsi="Times" w:cs="Verdana"/>
          <w:szCs w:val="20"/>
          <w:lang w:val="en-US"/>
        </w:rPr>
        <w:t>MICROB</w:t>
      </w:r>
      <w:r w:rsidRPr="004F0D21">
        <w:rPr>
          <w:rFonts w:ascii="Times" w:hAnsi="Times" w:cs="Verdana"/>
          <w:i/>
          <w:iCs/>
          <w:szCs w:val="20"/>
          <w:lang w:val="en-US"/>
        </w:rPr>
        <w:t>Express</w:t>
      </w:r>
      <w:proofErr w:type="spellEnd"/>
      <w:r w:rsidR="00A81EE9">
        <w:rPr>
          <w:rFonts w:ascii="Times" w:hAnsi="Times" w:cs="Verdana"/>
          <w:szCs w:val="20"/>
          <w:lang w:val="en-US"/>
        </w:rPr>
        <w:t xml:space="preserve"> Kit (</w:t>
      </w:r>
      <w:proofErr w:type="spellStart"/>
      <w:r w:rsidR="00A81EE9">
        <w:rPr>
          <w:rFonts w:ascii="Times" w:hAnsi="Times" w:cs="Verdana"/>
          <w:szCs w:val="20"/>
          <w:lang w:val="en-US"/>
        </w:rPr>
        <w:t>Ambion</w:t>
      </w:r>
      <w:proofErr w:type="spellEnd"/>
      <w:r w:rsidR="00A81EE9">
        <w:rPr>
          <w:rFonts w:ascii="Times" w:hAnsi="Times" w:cs="Verdana"/>
          <w:szCs w:val="20"/>
          <w:lang w:val="en-US"/>
        </w:rPr>
        <w:t xml:space="preserve">), using </w:t>
      </w:r>
      <w:r w:rsidRPr="004F0D21">
        <w:rPr>
          <w:rFonts w:ascii="Times" w:hAnsi="Times" w:cs="Verdana"/>
          <w:szCs w:val="20"/>
          <w:lang w:val="en-US"/>
        </w:rPr>
        <w:t xml:space="preserve">5 µg of </w:t>
      </w:r>
      <w:r w:rsidR="00A81EE9">
        <w:rPr>
          <w:rFonts w:ascii="Times" w:hAnsi="Times" w:cs="Verdana"/>
          <w:szCs w:val="20"/>
          <w:lang w:val="en-US"/>
        </w:rPr>
        <w:t>RNA, following the instructions provided by the manufacturer.</w:t>
      </w:r>
      <w:r w:rsidR="00A81EE9" w:rsidRPr="004F0D21">
        <w:rPr>
          <w:rFonts w:ascii="Times" w:hAnsi="Times" w:cs="Verdana"/>
          <w:szCs w:val="20"/>
          <w:lang w:val="en-US"/>
        </w:rPr>
        <w:t xml:space="preserve"> </w:t>
      </w:r>
      <w:r w:rsidRPr="004F0D21">
        <w:rPr>
          <w:rFonts w:ascii="Times" w:hAnsi="Times" w:cs="Verdana"/>
          <w:szCs w:val="20"/>
          <w:lang w:val="en-US"/>
        </w:rPr>
        <w:t xml:space="preserve">For the synthesis of </w:t>
      </w:r>
      <w:proofErr w:type="spellStart"/>
      <w:r w:rsidRPr="004F0D21">
        <w:rPr>
          <w:rFonts w:ascii="Times" w:hAnsi="Times" w:cs="Verdana"/>
          <w:szCs w:val="20"/>
          <w:lang w:val="en-US"/>
        </w:rPr>
        <w:t>cDNA</w:t>
      </w:r>
      <w:proofErr w:type="spellEnd"/>
      <w:r w:rsidRPr="004F0D21">
        <w:rPr>
          <w:rFonts w:ascii="Times" w:hAnsi="Times" w:cs="Verdana"/>
          <w:szCs w:val="20"/>
          <w:lang w:val="en-US"/>
        </w:rPr>
        <w:t xml:space="preserve"> and library generation, the Ovation Prokaryotic RNA-</w:t>
      </w:r>
      <w:proofErr w:type="spellStart"/>
      <w:r w:rsidRPr="004F0D21">
        <w:rPr>
          <w:rFonts w:ascii="Times" w:hAnsi="Times" w:cs="Verdana"/>
          <w:szCs w:val="20"/>
          <w:lang w:val="en-US"/>
        </w:rPr>
        <w:t>Seq</w:t>
      </w:r>
      <w:proofErr w:type="spellEnd"/>
      <w:r w:rsidRPr="004F0D21">
        <w:rPr>
          <w:rFonts w:ascii="Times" w:hAnsi="Times" w:cs="Verdana"/>
          <w:szCs w:val="20"/>
          <w:lang w:val="en-US"/>
        </w:rPr>
        <w:t xml:space="preserve"> System (</w:t>
      </w:r>
      <w:proofErr w:type="spellStart"/>
      <w:r w:rsidRPr="004F0D21">
        <w:rPr>
          <w:rFonts w:ascii="Times" w:hAnsi="Times" w:cs="Verdana"/>
          <w:szCs w:val="20"/>
          <w:lang w:val="en-US"/>
        </w:rPr>
        <w:t>Nugen</w:t>
      </w:r>
      <w:proofErr w:type="spellEnd"/>
      <w:r w:rsidRPr="004F0D21">
        <w:rPr>
          <w:rFonts w:ascii="Times" w:hAnsi="Times" w:cs="Verdana"/>
          <w:szCs w:val="20"/>
          <w:lang w:val="en-US"/>
        </w:rPr>
        <w:t>) and the Ovation Ultralow Lib</w:t>
      </w:r>
      <w:r w:rsidR="00A81EE9">
        <w:rPr>
          <w:rFonts w:ascii="Times" w:hAnsi="Times" w:cs="Verdana"/>
          <w:szCs w:val="20"/>
          <w:lang w:val="en-US"/>
        </w:rPr>
        <w:t>rary Systems (</w:t>
      </w:r>
      <w:proofErr w:type="spellStart"/>
      <w:r w:rsidR="00A81EE9">
        <w:rPr>
          <w:rFonts w:ascii="Times" w:hAnsi="Times" w:cs="Verdana"/>
          <w:szCs w:val="20"/>
          <w:lang w:val="en-US"/>
        </w:rPr>
        <w:t>Nugen</w:t>
      </w:r>
      <w:proofErr w:type="spellEnd"/>
      <w:r w:rsidR="00A81EE9">
        <w:rPr>
          <w:rFonts w:ascii="Times" w:hAnsi="Times" w:cs="Verdana"/>
          <w:szCs w:val="20"/>
          <w:lang w:val="en-US"/>
        </w:rPr>
        <w:t>) were used, carefully following the instructions provided by the manufacturer.</w:t>
      </w:r>
    </w:p>
    <w:p w:rsidR="004F0D21" w:rsidRPr="004F0D21" w:rsidRDefault="004F0D21" w:rsidP="004F0D21">
      <w:pPr>
        <w:widowControl w:val="0"/>
        <w:autoSpaceDE w:val="0"/>
        <w:autoSpaceDN w:val="0"/>
        <w:adjustRightInd w:val="0"/>
        <w:spacing w:after="200" w:line="480" w:lineRule="auto"/>
        <w:jc w:val="both"/>
        <w:rPr>
          <w:rFonts w:ascii="Times" w:hAnsi="Times" w:cs="Verdana"/>
          <w:szCs w:val="20"/>
          <w:lang w:val="en-US"/>
        </w:rPr>
      </w:pPr>
    </w:p>
    <w:p w:rsidR="004F0D21" w:rsidRPr="004F0D21" w:rsidRDefault="004F0D21" w:rsidP="004F0D21">
      <w:pPr>
        <w:widowControl w:val="0"/>
        <w:autoSpaceDE w:val="0"/>
        <w:autoSpaceDN w:val="0"/>
        <w:adjustRightInd w:val="0"/>
        <w:spacing w:after="260" w:line="480" w:lineRule="auto"/>
        <w:jc w:val="both"/>
        <w:rPr>
          <w:rFonts w:ascii="Times" w:hAnsi="Times" w:cs="Verdana"/>
          <w:b/>
          <w:bCs/>
          <w:szCs w:val="20"/>
          <w:lang w:val="en-US"/>
        </w:rPr>
      </w:pPr>
      <w:r w:rsidRPr="004F0D21">
        <w:rPr>
          <w:rFonts w:ascii="Times" w:hAnsi="Times" w:cs="Verdana"/>
          <w:b/>
          <w:bCs/>
          <w:szCs w:val="20"/>
          <w:lang w:val="en-US"/>
        </w:rPr>
        <w:t>Sequencing and data analysis</w:t>
      </w:r>
    </w:p>
    <w:p w:rsidR="00B60567" w:rsidRPr="00B60567" w:rsidRDefault="009C2AFB" w:rsidP="00B60567">
      <w:pPr>
        <w:spacing w:line="480" w:lineRule="auto"/>
        <w:jc w:val="both"/>
        <w:rPr>
          <w:rFonts w:ascii="Times" w:hAnsi="Times" w:cs="Verdana"/>
          <w:szCs w:val="20"/>
          <w:lang w:val="en-US"/>
        </w:rPr>
      </w:pPr>
      <w:r>
        <w:rPr>
          <w:rFonts w:ascii="Times" w:hAnsi="Times" w:cs="Verdana"/>
          <w:szCs w:val="20"/>
          <w:lang w:val="en-US"/>
        </w:rPr>
        <w:t>S</w:t>
      </w:r>
      <w:r w:rsidRPr="004F0D21">
        <w:rPr>
          <w:rFonts w:ascii="Times" w:hAnsi="Times" w:cs="Verdana"/>
          <w:szCs w:val="20"/>
          <w:lang w:val="en-US"/>
        </w:rPr>
        <w:t xml:space="preserve">ingle-end </w:t>
      </w:r>
      <w:r>
        <w:rPr>
          <w:rFonts w:ascii="Times" w:hAnsi="Times" w:cs="Verdana"/>
          <w:szCs w:val="20"/>
          <w:lang w:val="en-US"/>
        </w:rPr>
        <w:t>100 nucleotide</w:t>
      </w:r>
      <w:r w:rsidRPr="004F0D21">
        <w:rPr>
          <w:rFonts w:ascii="Times" w:hAnsi="Times" w:cs="Verdana"/>
          <w:szCs w:val="20"/>
          <w:lang w:val="en-US"/>
        </w:rPr>
        <w:t xml:space="preserve"> </w:t>
      </w:r>
      <w:r>
        <w:rPr>
          <w:rFonts w:ascii="Times" w:hAnsi="Times" w:cs="Verdana"/>
          <w:szCs w:val="20"/>
          <w:lang w:val="en-US"/>
        </w:rPr>
        <w:t xml:space="preserve">sequence </w:t>
      </w:r>
      <w:r w:rsidRPr="004F0D21">
        <w:rPr>
          <w:rFonts w:ascii="Times" w:hAnsi="Times" w:cs="Verdana"/>
          <w:szCs w:val="20"/>
          <w:lang w:val="en-US"/>
        </w:rPr>
        <w:t>reads</w:t>
      </w:r>
      <w:r>
        <w:rPr>
          <w:rFonts w:ascii="Times" w:hAnsi="Times" w:cs="Verdana"/>
          <w:szCs w:val="20"/>
          <w:lang w:val="en-US"/>
        </w:rPr>
        <w:t xml:space="preserve"> were obtained using the </w:t>
      </w:r>
      <w:proofErr w:type="spellStart"/>
      <w:r w:rsidRPr="004F0D21">
        <w:rPr>
          <w:rFonts w:ascii="Times" w:hAnsi="Times" w:cs="Verdana"/>
          <w:szCs w:val="20"/>
          <w:lang w:val="en-US"/>
        </w:rPr>
        <w:t>Illumina</w:t>
      </w:r>
      <w:proofErr w:type="spellEnd"/>
      <w:r w:rsidRPr="004F0D21">
        <w:rPr>
          <w:rFonts w:ascii="Times" w:hAnsi="Times" w:cs="Verdana"/>
          <w:szCs w:val="20"/>
          <w:lang w:val="en-US"/>
        </w:rPr>
        <w:t xml:space="preserve"> </w:t>
      </w:r>
      <w:proofErr w:type="spellStart"/>
      <w:r w:rsidRPr="004F0D21">
        <w:rPr>
          <w:rFonts w:ascii="Times" w:hAnsi="Times" w:cs="Verdana"/>
          <w:szCs w:val="20"/>
          <w:lang w:val="en-US"/>
        </w:rPr>
        <w:t>HiSeq</w:t>
      </w:r>
      <w:proofErr w:type="spellEnd"/>
      <w:r w:rsidRPr="004F0D21">
        <w:rPr>
          <w:rFonts w:ascii="Times" w:hAnsi="Times" w:cs="Verdana"/>
          <w:szCs w:val="20"/>
          <w:lang w:val="en-US"/>
        </w:rPr>
        <w:t xml:space="preserve"> 2000</w:t>
      </w:r>
      <w:r>
        <w:rPr>
          <w:rFonts w:ascii="Times" w:hAnsi="Times" w:cs="Verdana"/>
          <w:szCs w:val="20"/>
          <w:lang w:val="en-US"/>
        </w:rPr>
        <w:t xml:space="preserve"> system at the FGCZ (</w:t>
      </w:r>
      <w:r w:rsidRPr="004F0D21">
        <w:rPr>
          <w:rFonts w:ascii="Times" w:hAnsi="Times" w:cs="Verdana"/>
          <w:szCs w:val="20"/>
          <w:lang w:val="en-US"/>
        </w:rPr>
        <w:t>University of Zurich</w:t>
      </w:r>
      <w:r>
        <w:rPr>
          <w:rFonts w:ascii="Times" w:hAnsi="Times" w:cs="Verdana"/>
          <w:szCs w:val="20"/>
          <w:lang w:val="en-US"/>
        </w:rPr>
        <w:t xml:space="preserve">), processed with CASAVA </w:t>
      </w:r>
      <w:r w:rsidRPr="00470EC7">
        <w:rPr>
          <w:rFonts w:ascii="Times New Roman" w:eastAsia="Times New Roman" w:hAnsi="Times New Roman" w:cs="Times New Roman"/>
        </w:rPr>
        <w:t>v 1.8.2</w:t>
      </w:r>
      <w:r w:rsidR="004F0D21" w:rsidRPr="004F0D21">
        <w:rPr>
          <w:rFonts w:ascii="Times" w:hAnsi="Times" w:cs="Verdana"/>
          <w:szCs w:val="20"/>
          <w:lang w:val="en-US"/>
        </w:rPr>
        <w:t xml:space="preserve">. The sequencing reads were mapped to the </w:t>
      </w:r>
      <w:r w:rsidR="004F0D21" w:rsidRPr="004F0D21">
        <w:rPr>
          <w:rFonts w:ascii="Times" w:hAnsi="Times" w:cs="Verdana"/>
          <w:i/>
          <w:iCs/>
          <w:szCs w:val="20"/>
          <w:lang w:val="en-US"/>
        </w:rPr>
        <w:t>B. cenocepacia</w:t>
      </w:r>
      <w:r w:rsidR="004F0D21" w:rsidRPr="004F0D21">
        <w:rPr>
          <w:rFonts w:ascii="Times" w:hAnsi="Times" w:cs="Verdana"/>
          <w:szCs w:val="20"/>
          <w:lang w:val="en-US"/>
        </w:rPr>
        <w:t xml:space="preserve"> H111 genome using CLC Genomics</w:t>
      </w:r>
      <w:r w:rsidR="00A81EE9">
        <w:rPr>
          <w:rFonts w:ascii="Times" w:hAnsi="Times" w:cs="Verdana"/>
          <w:szCs w:val="20"/>
          <w:lang w:val="en-US"/>
        </w:rPr>
        <w:t xml:space="preserve"> </w:t>
      </w:r>
      <w:r w:rsidR="00750E31" w:rsidRPr="00750E31">
        <w:rPr>
          <w:rFonts w:ascii="Times" w:hAnsi="Times" w:cs="Verdana"/>
          <w:szCs w:val="20"/>
          <w:lang w:val="en-US"/>
        </w:rPr>
        <w:t xml:space="preserve">v4.9 </w:t>
      </w:r>
      <w:r w:rsidR="00A81EE9">
        <w:rPr>
          <w:rFonts w:ascii="Times" w:hAnsi="Times" w:cs="Verdana"/>
          <w:szCs w:val="20"/>
          <w:lang w:val="en-US"/>
        </w:rPr>
        <w:t>(CLC bio)</w:t>
      </w:r>
      <w:r w:rsidR="004F0D21" w:rsidRPr="004F0D21">
        <w:rPr>
          <w:rFonts w:ascii="Times" w:hAnsi="Times" w:cs="Verdana"/>
          <w:szCs w:val="20"/>
          <w:lang w:val="en-US"/>
        </w:rPr>
        <w:t xml:space="preserve">. </w:t>
      </w:r>
      <w:r w:rsidR="00750E31" w:rsidRPr="00750E31">
        <w:rPr>
          <w:rFonts w:ascii="Times" w:hAnsi="Times" w:cs="Verdana"/>
          <w:szCs w:val="20"/>
          <w:lang w:val="en-US"/>
        </w:rPr>
        <w:t>The mappe</w:t>
      </w:r>
      <w:r w:rsidR="00750E31">
        <w:rPr>
          <w:rFonts w:ascii="Times" w:hAnsi="Times" w:cs="Verdana"/>
          <w:szCs w:val="20"/>
          <w:lang w:val="en-US"/>
        </w:rPr>
        <w:t xml:space="preserve">d reads </w:t>
      </w:r>
      <w:r w:rsidR="00750E31" w:rsidRPr="00750E31">
        <w:rPr>
          <w:rFonts w:ascii="Times" w:hAnsi="Times" w:cs="Verdana"/>
          <w:szCs w:val="20"/>
          <w:lang w:val="en-US"/>
        </w:rPr>
        <w:t xml:space="preserve">were analyzed using the </w:t>
      </w:r>
      <w:proofErr w:type="spellStart"/>
      <w:r w:rsidR="00750E31" w:rsidRPr="00750E31">
        <w:rPr>
          <w:rFonts w:ascii="Times" w:hAnsi="Times" w:cs="Verdana"/>
          <w:szCs w:val="20"/>
          <w:lang w:val="en-US"/>
        </w:rPr>
        <w:t>DESeq</w:t>
      </w:r>
      <w:proofErr w:type="spellEnd"/>
      <w:r w:rsidR="00750E31" w:rsidRPr="00750E31">
        <w:rPr>
          <w:rFonts w:ascii="Times" w:hAnsi="Times" w:cs="Verdana"/>
          <w:szCs w:val="20"/>
          <w:lang w:val="en-US"/>
        </w:rPr>
        <w:t xml:space="preserve"> software </w:t>
      </w:r>
      <w:r w:rsidR="00750E31">
        <w:rPr>
          <w:rFonts w:ascii="Times" w:hAnsi="Times" w:cs="Verdana"/>
          <w:szCs w:val="20"/>
          <w:lang w:val="en-US"/>
        </w:rPr>
        <w:t>as previously described</w:t>
      </w:r>
      <w:r w:rsidR="00AD728A">
        <w:rPr>
          <w:rFonts w:ascii="Times" w:hAnsi="Times" w:cs="Verdana"/>
          <w:szCs w:val="20"/>
          <w:lang w:val="en-US"/>
        </w:rPr>
        <w:t xml:space="preserve"> </w:t>
      </w:r>
      <w:r w:rsidR="00AD728A" w:rsidRPr="00750E31">
        <w:rPr>
          <w:rFonts w:ascii="Times" w:hAnsi="Times" w:cs="Verdana"/>
          <w:szCs w:val="20"/>
          <w:lang w:val="en-US"/>
        </w:rPr>
        <w:t>(p-value cut-off ,0.</w:t>
      </w:r>
      <w:r w:rsidR="00A36C8E">
        <w:rPr>
          <w:rFonts w:ascii="Times" w:hAnsi="Times" w:cs="Verdana"/>
          <w:szCs w:val="20"/>
          <w:lang w:val="en-US"/>
        </w:rPr>
        <w:t>1</w:t>
      </w:r>
      <w:r w:rsidR="00AD728A" w:rsidRPr="00750E31">
        <w:rPr>
          <w:rFonts w:ascii="Times" w:hAnsi="Times" w:cs="Verdana"/>
          <w:szCs w:val="20"/>
          <w:lang w:val="en-US"/>
        </w:rPr>
        <w:t>)</w:t>
      </w:r>
      <w:r w:rsidR="00750E31">
        <w:rPr>
          <w:rFonts w:ascii="Times" w:hAnsi="Times" w:cs="Verdana"/>
          <w:szCs w:val="20"/>
          <w:lang w:val="en-US"/>
        </w:rPr>
        <w:t xml:space="preserve"> </w:t>
      </w:r>
      <w:r w:rsidR="0099436A">
        <w:rPr>
          <w:rFonts w:ascii="Times" w:hAnsi="Times" w:cs="Verdana"/>
          <w:szCs w:val="20"/>
          <w:lang w:val="en-US"/>
        </w:rPr>
        <w:fldChar w:fldCharType="begin"/>
      </w:r>
      <w:r>
        <w:rPr>
          <w:rFonts w:ascii="Times" w:hAnsi="Times" w:cs="Verdana"/>
          <w:szCs w:val="20"/>
          <w:lang w:val="en-US"/>
        </w:rPr>
        <w:instrText>ADDIN CSL_CITATION {"mendeley": {"previouslyFormattedCitation": "[2]"}, "citationItems": [{"uris": ["http://www.mendeley.com/documents/?uuid=a319b18b-004a-42ba-bc10-ca7d7d805475"], "id": "ITEM-1", "itemData": {"DOI": "10.1371/journal.pone.0072939", "type": "article-journal", "author": [{"given": "Gabriella", "dropping-particle": "", "suffix": "", "family": "Pessi", "parse-names": false, "non-dropping-particle": ""}, {"given": "Rubina", "dropping-particle": "", "suffix": "", "family": "Braunwalder", "parse-names": false, "non-dropping-particle": ""}, {"given": "Alexander", "dropping-particle": "", "suffix": "", "family": "Grunau", "parse-names": false, "non-dropping-particle": ""}, {"given": "Ulrich", "dropping-particle": "", "suffix": "", "family": "Omasits", "parse-names": false, "non-dropping-particle": ""}, {"given": "Christian H", "dropping-particle": "", "suffix": "", "family": "Ahrens", "parse-names": false, "non-dropping-particle": ""}, {"given": "Leo", "dropping-particle": "", "suffix": "", "family": "Eberl", "parse-names": false, "non-dropping-particle": ""}], "issued": {"date-parts": [["2013", "1"]]}, "abstract": "UNLABELLED: B. cenocepacia is an opportunistic human pathogen that is particularly problematic for patients suffering from cystic fibrosis (CF). In the CF lung bacteria grow to high densities within the viscous mucus that is limited in oxygen. Pseudomonas aeruginosa, the dominant pathogen in CF patients, is known to grow and survive under oxygen-limited to anaerobic conditions by using micro-oxic respiration, denitrification and fermentative pathways. In contrast, inspection of the genome sequences of available B. cenocepacia strains suggested that B. cenocepacia is an obligate aerobic and non-fermenting bacterium. In accordance with the bioinformatics analysis we observed that B. cenocepacia H111 is able to grow with as little as 0.1% O2 but not under strictly anoxic conditions. Phenotypic analyses revealed that H111 produced larger amounts of biofilm, pellicle and proteases under micro-oxic conditions (0.5%-5% O2, i.e. conditions that mimic those encountered in CF lung infection), and was more resistant to several antibiotics. RNA-Seq and shotgun proteomics analyses of cultures of B. cenocepacia H111 grown under micro-oxic and aerobic conditions showed up-regulation of genes involved in the synthesis of the exopolysaccharide (EPS) cepacian as well as several proteases, two isocitrate lyases and other genes potentially important for life in micro-oxia. DATA DEPOSITION: RNA-Seq raw data files are accessible through the GEO Series accession number GSE48585. MS data have been deposited in the ProteomeXchange database (PXD000270).", "ISSN": "1932-6203", "page": "e72939", "volume": "8", "container-title": "PloS one", "title": "Response of &lt;i&gt;Burkholderia cenocepacia&lt;/i&gt; H111 to micro-oxia.", "PMID": "24023794", "issue": "9", "id": "ITEM-1"}}], "properties": {"noteIndex": 0}, "schema": "https://github.com/citation-style-language/schema/raw/master/csl-citation.json"}</w:instrText>
      </w:r>
      <w:r w:rsidR="0099436A">
        <w:rPr>
          <w:rFonts w:ascii="Times" w:hAnsi="Times" w:cs="Verdana"/>
          <w:szCs w:val="20"/>
          <w:lang w:val="en-US"/>
        </w:rPr>
        <w:fldChar w:fldCharType="separate"/>
      </w:r>
      <w:r w:rsidRPr="009C2AFB">
        <w:rPr>
          <w:rFonts w:ascii="Times" w:hAnsi="Times" w:cs="Verdana"/>
          <w:noProof/>
          <w:szCs w:val="20"/>
          <w:lang w:val="en-US"/>
        </w:rPr>
        <w:t>[2]</w:t>
      </w:r>
      <w:r w:rsidR="0099436A">
        <w:rPr>
          <w:rFonts w:ascii="Times" w:hAnsi="Times" w:cs="Verdana"/>
          <w:szCs w:val="20"/>
          <w:lang w:val="en-US"/>
        </w:rPr>
        <w:fldChar w:fldCharType="end"/>
      </w:r>
      <w:r w:rsidR="00AD728A">
        <w:rPr>
          <w:rFonts w:ascii="Times" w:hAnsi="Times" w:cs="Verdana"/>
          <w:szCs w:val="20"/>
          <w:lang w:val="en-US"/>
        </w:rPr>
        <w:t xml:space="preserve">. </w:t>
      </w:r>
      <w:proofErr w:type="spellStart"/>
      <w:r w:rsidR="004F0D21" w:rsidRPr="004F0D21">
        <w:rPr>
          <w:rFonts w:ascii="Times" w:hAnsi="Times" w:cs="Verdana"/>
          <w:szCs w:val="20"/>
          <w:lang w:val="en-US"/>
        </w:rPr>
        <w:t>Orthologue</w:t>
      </w:r>
      <w:proofErr w:type="spellEnd"/>
      <w:r w:rsidR="004F0D21" w:rsidRPr="004F0D21">
        <w:rPr>
          <w:rFonts w:ascii="Times" w:hAnsi="Times" w:cs="Verdana"/>
          <w:szCs w:val="20"/>
          <w:lang w:val="en-US"/>
        </w:rPr>
        <w:t xml:space="preserve"> mapping and functional classification was performed as described previously </w:t>
      </w:r>
      <w:r w:rsidR="0099436A">
        <w:rPr>
          <w:rFonts w:ascii="Times" w:hAnsi="Times" w:cs="Verdana"/>
          <w:szCs w:val="20"/>
          <w:lang w:val="en-US"/>
        </w:rPr>
        <w:fldChar w:fldCharType="begin"/>
      </w:r>
      <w:r>
        <w:rPr>
          <w:rFonts w:ascii="Times" w:hAnsi="Times" w:cs="Verdana"/>
          <w:szCs w:val="20"/>
          <w:lang w:val="en-US"/>
        </w:rPr>
        <w:instrText>ADDIN CSL_CITATION {"mendeley": {"previouslyFormattedCitation": "[3]"}, "citationItems": [{"uris": ["http://www.mendeley.com/documents/?uuid=ae84036a-afee-4be8-bfbb-46cd6af6bbee"], "id": "ITEM-1", "itemData": {"type": "article-journal", "author": [{"given": "N", "dropping-particle": "", "suffix": "", "family": "Schmid", "parse-names": false, "non-dropping-particle": ""}, {"given": "Y", "dropping-particle": "", "suffix": "", "family": "Deng", "parse-names": false, "non-dropping-particle": ""}, {"given": "G", "dropping-particle": "", "suffix": "", "family": "Pessi", "parse-names": false, "non-dropping-particle": ""}, {"given": "C", "dropping-particle": "", "suffix": "", "family": "Aguilar", "parse-names": false, "non-dropping-particle": ""}, {"given": "A L", "dropping-particle": "", "suffix": "", "family": "Carlier", "parse-names": false, "non-dropping-particle": ""}, {"given": "A", "dropping-particle": "", "suffix": "", "family": "Grunau", "parse-names": false, "non-dropping-particle": ""}, {"given": "U", "dropping-particle": "", "suffix": "", "family": "Omasits", "parse-names": false, "non-dropping-particle": ""}, {"given": "Lian-Hui", "dropping-particle": "", "suffix": "", "family": "Zhang", "parse-names": false, "non-dropping-particle": ""}, {"given": "C H", "dropping-particle": "", "suffix": "", "family": "Ahrens", "parse-names": false, "non-dropping-particle": ""}, {"given": "L", "dropping-particle": "", "suffix": "", "family": "Eberl", "parse-names": false, "non-dropping-particle": ""}], "issued": {"date-parts": [["2012"]]}, "title": "The AHL- and BDSF-dependent Quorum Sensing Systems control specific and overlapping sets of genes in &lt;i&gt;Burkholderia cenocepacia&lt;/i&gt; H111", "page": "e49966", "volume": "7", "container-title": "PLoS ONE", "issue": "11", "id": "ITEM-1"}}], "properties": {"noteIndex": 0}, "schema": "https://github.com/citation-style-language/schema/raw/master/csl-citation.json"}</w:instrText>
      </w:r>
      <w:r w:rsidR="0099436A">
        <w:rPr>
          <w:rFonts w:ascii="Times" w:hAnsi="Times" w:cs="Verdana"/>
          <w:szCs w:val="20"/>
          <w:lang w:val="en-US"/>
        </w:rPr>
        <w:fldChar w:fldCharType="separate"/>
      </w:r>
      <w:r w:rsidRPr="009C2AFB">
        <w:rPr>
          <w:rFonts w:ascii="Times" w:hAnsi="Times" w:cs="Verdana"/>
          <w:noProof/>
          <w:szCs w:val="20"/>
          <w:lang w:val="en-US"/>
        </w:rPr>
        <w:t>[3]</w:t>
      </w:r>
      <w:r w:rsidR="0099436A">
        <w:rPr>
          <w:rFonts w:ascii="Times" w:hAnsi="Times" w:cs="Verdana"/>
          <w:szCs w:val="20"/>
          <w:lang w:val="en-US"/>
        </w:rPr>
        <w:fldChar w:fldCharType="end"/>
      </w:r>
      <w:r w:rsidR="00514516">
        <w:rPr>
          <w:rFonts w:ascii="Times" w:hAnsi="Times" w:cs="Verdana"/>
          <w:szCs w:val="20"/>
          <w:lang w:val="en-US"/>
        </w:rPr>
        <w:t>.</w:t>
      </w:r>
      <w:r w:rsidR="004F0D21" w:rsidRPr="004F0D21">
        <w:rPr>
          <w:rFonts w:ascii="Times" w:hAnsi="Times" w:cs="Verdana"/>
          <w:szCs w:val="20"/>
          <w:lang w:val="en-US"/>
        </w:rPr>
        <w:t xml:space="preserve"> </w:t>
      </w:r>
      <w:r w:rsidR="00B60567" w:rsidRPr="00B60567">
        <w:rPr>
          <w:rFonts w:ascii="Times" w:hAnsi="Times" w:cs="Verdana"/>
          <w:szCs w:val="20"/>
          <w:lang w:val="en-US"/>
        </w:rPr>
        <w:t>The RNA-</w:t>
      </w:r>
      <w:proofErr w:type="spellStart"/>
      <w:r w:rsidR="00B60567" w:rsidRPr="00B60567">
        <w:rPr>
          <w:rFonts w:ascii="Times" w:hAnsi="Times" w:cs="Verdana"/>
          <w:szCs w:val="20"/>
          <w:lang w:val="en-US"/>
        </w:rPr>
        <w:t>Seq</w:t>
      </w:r>
      <w:proofErr w:type="spellEnd"/>
      <w:r w:rsidR="00B60567" w:rsidRPr="00B60567">
        <w:rPr>
          <w:rFonts w:ascii="Times" w:hAnsi="Times" w:cs="Verdana"/>
          <w:szCs w:val="20"/>
          <w:lang w:val="en-US"/>
        </w:rPr>
        <w:t xml:space="preserve"> raw data files are accessible through the GEO Series accession number GSE52769.</w:t>
      </w:r>
    </w:p>
    <w:p w:rsidR="00326653" w:rsidRDefault="00326653" w:rsidP="004F0D21">
      <w:pPr>
        <w:spacing w:line="480" w:lineRule="auto"/>
        <w:jc w:val="both"/>
        <w:rPr>
          <w:rFonts w:ascii="Times" w:hAnsi="Times" w:cs="Verdana"/>
          <w:szCs w:val="20"/>
          <w:lang w:val="en-US"/>
        </w:rPr>
      </w:pPr>
    </w:p>
    <w:p w:rsidR="00326653" w:rsidRPr="00326653" w:rsidRDefault="00326653" w:rsidP="004F0D21">
      <w:pPr>
        <w:spacing w:line="480" w:lineRule="auto"/>
        <w:jc w:val="both"/>
        <w:rPr>
          <w:rFonts w:ascii="Times" w:hAnsi="Times" w:cs="Verdana"/>
          <w:b/>
          <w:szCs w:val="20"/>
          <w:lang w:val="en-US"/>
        </w:rPr>
      </w:pPr>
      <w:r w:rsidRPr="009C2AFB">
        <w:rPr>
          <w:rFonts w:ascii="Times" w:hAnsi="Times" w:cs="Verdana"/>
          <w:b/>
          <w:szCs w:val="20"/>
          <w:lang w:val="en-US"/>
        </w:rPr>
        <w:t>Quantitative PCR.</w:t>
      </w:r>
    </w:p>
    <w:p w:rsidR="009C2AFB" w:rsidRPr="006A2A2E" w:rsidRDefault="009C2AFB" w:rsidP="009C2AFB">
      <w:pPr>
        <w:autoSpaceDE w:val="0"/>
        <w:autoSpaceDN w:val="0"/>
        <w:adjustRightInd w:val="0"/>
        <w:spacing w:line="480" w:lineRule="auto"/>
        <w:jc w:val="both"/>
        <w:rPr>
          <w:rFonts w:ascii="Times New Roman" w:hAnsi="Times New Roman" w:cs="Times New Roman"/>
        </w:rPr>
      </w:pPr>
      <w:r w:rsidRPr="006A2A2E">
        <w:rPr>
          <w:rFonts w:ascii="Times New Roman" w:hAnsi="Times New Roman" w:cs="Times New Roman"/>
          <w:lang w:val="en-US"/>
        </w:rPr>
        <w:t xml:space="preserve">For </w:t>
      </w:r>
      <w:proofErr w:type="spellStart"/>
      <w:r w:rsidRPr="006A2A2E">
        <w:rPr>
          <w:rFonts w:ascii="Times New Roman" w:hAnsi="Times New Roman" w:cs="Times New Roman"/>
          <w:lang w:val="en-US"/>
        </w:rPr>
        <w:t>qPCR</w:t>
      </w:r>
      <w:proofErr w:type="spellEnd"/>
      <w:r w:rsidRPr="006A2A2E">
        <w:rPr>
          <w:rFonts w:ascii="Times New Roman" w:hAnsi="Times New Roman" w:cs="Times New Roman"/>
          <w:lang w:val="en-US"/>
        </w:rPr>
        <w:t xml:space="preserve"> analysis, </w:t>
      </w:r>
      <w:proofErr w:type="spellStart"/>
      <w:r w:rsidRPr="006A2A2E">
        <w:rPr>
          <w:rFonts w:ascii="Times New Roman" w:hAnsi="Times New Roman" w:cs="Times New Roman"/>
        </w:rPr>
        <w:t>cDNA</w:t>
      </w:r>
      <w:proofErr w:type="spellEnd"/>
      <w:r w:rsidRPr="006A2A2E">
        <w:rPr>
          <w:rFonts w:ascii="Times New Roman" w:hAnsi="Times New Roman" w:cs="Times New Roman"/>
        </w:rPr>
        <w:t xml:space="preserve"> prepared from biological replicates was used. Each PCR reaction contained 12.5 µl 2x Brilliant III Ultra-Fast SYBR Green QPCR Master Mix, 0.7 µM of individual primers and 3 dilutions of </w:t>
      </w:r>
      <w:proofErr w:type="spellStart"/>
      <w:r w:rsidRPr="006A2A2E">
        <w:rPr>
          <w:rFonts w:ascii="Times New Roman" w:hAnsi="Times New Roman" w:cs="Times New Roman"/>
        </w:rPr>
        <w:t>cDNA</w:t>
      </w:r>
      <w:proofErr w:type="spellEnd"/>
      <w:r w:rsidRPr="006A2A2E">
        <w:rPr>
          <w:rFonts w:ascii="Times New Roman" w:hAnsi="Times New Roman" w:cs="Times New Roman"/>
        </w:rPr>
        <w:t xml:space="preserve"> in a total volume of 25 µl.  </w:t>
      </w:r>
      <w:r w:rsidRPr="006A2A2E">
        <w:rPr>
          <w:rFonts w:ascii="Times New Roman" w:hAnsi="Times New Roman" w:cs="Times New Roman"/>
          <w:color w:val="403838"/>
        </w:rPr>
        <w:t>Relative changes in gene expression were calculated as described elsewhere</w:t>
      </w:r>
      <w:r>
        <w:rPr>
          <w:rFonts w:ascii="Times New Roman" w:hAnsi="Times New Roman" w:cs="Times New Roman"/>
          <w:color w:val="403838"/>
        </w:rPr>
        <w:t xml:space="preserve"> </w:t>
      </w:r>
      <w:r w:rsidR="0099436A">
        <w:rPr>
          <w:rFonts w:ascii="Times New Roman" w:hAnsi="Times New Roman" w:cs="Times New Roman"/>
          <w:color w:val="403838"/>
        </w:rPr>
        <w:fldChar w:fldCharType="begin"/>
      </w:r>
      <w:r>
        <w:rPr>
          <w:rFonts w:ascii="Times New Roman" w:hAnsi="Times New Roman" w:cs="Times New Roman"/>
          <w:color w:val="403838"/>
        </w:rPr>
        <w:instrText>ADDIN CSL_CITATION {"mendeley": {"previouslyFormattedCitation": "[4]"}, "citationItems": [{"uris": ["http://www.mendeley.com/documents/?uuid=d022dbf1-3820-4401-8386-c0229744d2d8"], "id": "ITEM-1", "itemData": {"type": "article-journal", "author": [{"given": "M W", "dropping-particle": "", "suffix": "", "family": "Pfaffl", "parse-names": false, "non-dropping-particle": ""}], "issued": {"date-parts": [["2001", "5", "1"]]}, "abstract": "Use of the real-time polymerase chain reaction (PCR) to amplify cDNA products reverse transcribed from mRNA is on the way to becoming a routine tool in molecular biology to study low abundance gene expression. Real-time PCR is easy to perform, provides the necessary accuracy and produces reliable as well as rapid quantification results. But accurate quantification of nucleic acids requires a reproducible methodology and an adequate mathematical model for data analysis. This study enters into the particular topics of the relative quantification in real-time RT-PCR of a target gene transcript in comparison to a reference gene transcript. Therefore, a new mathematical model is presented. The relative expression ratio is calculated only from the real-time PCR efficiencies and the crossing point deviation of an unknown sample versus a control. This model needs no calibration curve. Control levels were included in the model to standardise each reaction run with respect to RNA integrity, sample loading and inter-PCR variations. High accuracy and reproducibility (&lt;2.5% variation) were reached in LightCycler PCR using the established mathematical model.", "ISSN": "1362-4962", "page": "e45", "volume": "29", "container-title": "Nucleic acids research", "title": "A new mathematical model for relative quantification in real-time RT-PCR.", "PMID": "11328886", "issue": "9", "id": "ITEM-1"}}], "properties": {"noteIndex": 0}, "schema": "https://github.com/citation-style-language/schema/raw/master/csl-citation.json"}</w:instrText>
      </w:r>
      <w:r w:rsidR="0099436A">
        <w:rPr>
          <w:rFonts w:ascii="Times New Roman" w:hAnsi="Times New Roman" w:cs="Times New Roman"/>
          <w:color w:val="403838"/>
        </w:rPr>
        <w:fldChar w:fldCharType="separate"/>
      </w:r>
      <w:r w:rsidRPr="009C2AFB">
        <w:rPr>
          <w:rFonts w:ascii="Times New Roman" w:hAnsi="Times New Roman" w:cs="Times New Roman"/>
          <w:noProof/>
          <w:color w:val="403838"/>
        </w:rPr>
        <w:t>[4]</w:t>
      </w:r>
      <w:r w:rsidR="0099436A">
        <w:rPr>
          <w:rFonts w:ascii="Times New Roman" w:hAnsi="Times New Roman" w:cs="Times New Roman"/>
          <w:color w:val="403838"/>
        </w:rPr>
        <w:fldChar w:fldCharType="end"/>
      </w:r>
      <w:r w:rsidRPr="006A2A2E">
        <w:rPr>
          <w:rFonts w:ascii="Times New Roman" w:eastAsia="Times New Roman" w:hAnsi="Times New Roman" w:cs="Times New Roman"/>
          <w:i/>
          <w:iCs/>
          <w:color w:val="222222"/>
          <w:lang w:eastAsia="de-CH"/>
        </w:rPr>
        <w:t>.</w:t>
      </w:r>
      <w:r w:rsidRPr="006A2A2E">
        <w:rPr>
          <w:rFonts w:ascii="Times New Roman" w:hAnsi="Times New Roman" w:cs="Times New Roman"/>
        </w:rPr>
        <w:t xml:space="preserve"> Expression of the primary sigma factor </w:t>
      </w:r>
      <w:proofErr w:type="spellStart"/>
      <w:r w:rsidRPr="009C2AFB">
        <w:rPr>
          <w:rFonts w:ascii="Times New Roman" w:hAnsi="Times New Roman" w:cs="Times New Roman"/>
          <w:i/>
        </w:rPr>
        <w:t>rpoD</w:t>
      </w:r>
      <w:proofErr w:type="spellEnd"/>
      <w:r>
        <w:rPr>
          <w:rFonts w:ascii="Times New Roman" w:hAnsi="Times New Roman" w:cs="Times New Roman"/>
        </w:rPr>
        <w:t xml:space="preserve"> </w:t>
      </w:r>
      <w:r w:rsidRPr="006A2A2E">
        <w:rPr>
          <w:rFonts w:ascii="Times New Roman" w:hAnsi="Times New Roman" w:cs="Times New Roman"/>
        </w:rPr>
        <w:t>(BCAM0918) was used as a reference for normalization.</w:t>
      </w:r>
      <w:r>
        <w:rPr>
          <w:rFonts w:ascii="Times New Roman" w:hAnsi="Times New Roman" w:cs="Times New Roman"/>
        </w:rPr>
        <w:t xml:space="preserve"> </w:t>
      </w:r>
      <w:r w:rsidRPr="006A2A2E">
        <w:rPr>
          <w:rFonts w:ascii="Times New Roman" w:hAnsi="Times New Roman" w:cs="Times New Roman"/>
          <w:color w:val="403838"/>
        </w:rPr>
        <w:t>Sequences of these primers and of all other oligonucleotides used in this work are available from the authors on request.</w:t>
      </w:r>
    </w:p>
    <w:p w:rsidR="00CF73A3" w:rsidRDefault="00CF73A3" w:rsidP="004F0D21">
      <w:pPr>
        <w:spacing w:line="480" w:lineRule="auto"/>
        <w:jc w:val="both"/>
        <w:rPr>
          <w:rFonts w:ascii="Times" w:hAnsi="Times" w:cs="Verdana"/>
          <w:szCs w:val="20"/>
          <w:lang w:val="en-US"/>
        </w:rPr>
      </w:pPr>
    </w:p>
    <w:p w:rsidR="00CF73A3" w:rsidRPr="00CF73A3" w:rsidRDefault="00CF73A3" w:rsidP="004F0D21">
      <w:pPr>
        <w:spacing w:line="480" w:lineRule="auto"/>
        <w:jc w:val="both"/>
        <w:rPr>
          <w:rFonts w:ascii="Times" w:hAnsi="Times" w:cs="Verdana"/>
          <w:b/>
          <w:szCs w:val="20"/>
          <w:lang w:val="en-US"/>
        </w:rPr>
      </w:pPr>
      <w:r w:rsidRPr="00CF73A3">
        <w:rPr>
          <w:rFonts w:ascii="Times" w:hAnsi="Times" w:cs="Verdana"/>
          <w:b/>
          <w:szCs w:val="20"/>
          <w:lang w:val="en-US"/>
        </w:rPr>
        <w:t>References</w:t>
      </w:r>
      <w:r>
        <w:rPr>
          <w:rFonts w:ascii="Times" w:hAnsi="Times" w:cs="Verdana"/>
          <w:b/>
          <w:szCs w:val="20"/>
          <w:lang w:val="en-US"/>
        </w:rPr>
        <w:t>.</w:t>
      </w:r>
    </w:p>
    <w:p w:rsidR="009C2AFB" w:rsidRPr="009C2AFB" w:rsidRDefault="0099436A">
      <w:pPr>
        <w:divId w:val="112292518"/>
        <w:rPr>
          <w:rFonts w:ascii="Times" w:hAnsi="Times"/>
        </w:rPr>
      </w:pPr>
      <w:r>
        <w:rPr>
          <w:rFonts w:ascii="Times" w:hAnsi="Times"/>
        </w:rPr>
        <w:fldChar w:fldCharType="begin"/>
      </w:r>
      <w:r w:rsidR="009C2AFB">
        <w:rPr>
          <w:rFonts w:ascii="Times" w:hAnsi="Times"/>
        </w:rPr>
        <w:instrText>ADDIN Mendeley Bibliography CSL_BIBLIOGRAPHY</w:instrText>
      </w:r>
      <w:r>
        <w:rPr>
          <w:rFonts w:ascii="Times" w:hAnsi="Times"/>
        </w:rPr>
        <w:fldChar w:fldCharType="separate"/>
      </w:r>
    </w:p>
    <w:p w:rsidR="009C2AFB" w:rsidRDefault="009C2AFB">
      <w:pPr>
        <w:pStyle w:val="NormalWeb"/>
        <w:spacing w:before="2" w:after="2"/>
        <w:ind w:left="640" w:hanging="640"/>
        <w:divId w:val="112292518"/>
        <w:rPr>
          <w:sz w:val="24"/>
        </w:rPr>
      </w:pPr>
      <w:r w:rsidRPr="009C2AFB">
        <w:rPr>
          <w:sz w:val="24"/>
        </w:rPr>
        <w:t xml:space="preserve">1. </w:t>
      </w:r>
      <w:r w:rsidRPr="009C2AFB">
        <w:rPr>
          <w:sz w:val="24"/>
        </w:rPr>
        <w:tab/>
        <w:t xml:space="preserve">Pessi G, Ahrens CH, Rehrauer H, Lindemann A, Hauser F, et al. (2007) Genome-wide transcript analysis of </w:t>
      </w:r>
      <w:r w:rsidRPr="009C2AFB">
        <w:rPr>
          <w:i/>
          <w:sz w:val="24"/>
        </w:rPr>
        <w:t>Bradyrhizobium japonicum</w:t>
      </w:r>
      <w:r w:rsidRPr="009C2AFB">
        <w:rPr>
          <w:sz w:val="24"/>
        </w:rPr>
        <w:t xml:space="preserve"> bacteroids in soybean root nodules. Mol Plant Microbe Interact 20: 1353–1363. </w:t>
      </w:r>
    </w:p>
    <w:p w:rsidR="009C2AFB" w:rsidRDefault="009C2AFB">
      <w:pPr>
        <w:pStyle w:val="NormalWeb"/>
        <w:spacing w:before="2" w:after="2"/>
        <w:ind w:left="640" w:hanging="640"/>
        <w:divId w:val="112292518"/>
        <w:rPr>
          <w:sz w:val="24"/>
        </w:rPr>
      </w:pPr>
    </w:p>
    <w:p w:rsidR="009C2AFB" w:rsidRDefault="009C2AFB">
      <w:pPr>
        <w:pStyle w:val="NormalWeb"/>
        <w:spacing w:before="2" w:after="2"/>
        <w:ind w:left="640" w:hanging="640"/>
        <w:divId w:val="112292518"/>
        <w:rPr>
          <w:sz w:val="24"/>
        </w:rPr>
      </w:pPr>
      <w:r w:rsidRPr="009C2AFB">
        <w:rPr>
          <w:sz w:val="24"/>
        </w:rPr>
        <w:t xml:space="preserve">2. </w:t>
      </w:r>
      <w:r w:rsidRPr="009C2AFB">
        <w:rPr>
          <w:sz w:val="24"/>
        </w:rPr>
        <w:tab/>
        <w:t xml:space="preserve">Pessi G, Braunwalder R, Grunau A, Omasits U, Ahrens CH, et al. (2013) Response of </w:t>
      </w:r>
      <w:r w:rsidRPr="009C2AFB">
        <w:rPr>
          <w:i/>
          <w:sz w:val="24"/>
        </w:rPr>
        <w:t>Burkholderia cenocepacia</w:t>
      </w:r>
      <w:r w:rsidRPr="009C2AFB">
        <w:rPr>
          <w:sz w:val="24"/>
        </w:rPr>
        <w:t xml:space="preserve"> H111 to micro-oxia. PLoS One 8: e72939. </w:t>
      </w:r>
    </w:p>
    <w:p w:rsidR="009C2AFB" w:rsidRPr="009C2AFB" w:rsidRDefault="009C2AFB">
      <w:pPr>
        <w:pStyle w:val="NormalWeb"/>
        <w:spacing w:before="2" w:after="2"/>
        <w:ind w:left="640" w:hanging="640"/>
        <w:divId w:val="112292518"/>
        <w:rPr>
          <w:sz w:val="24"/>
        </w:rPr>
      </w:pPr>
    </w:p>
    <w:p w:rsidR="009C2AFB" w:rsidRDefault="009C2AFB">
      <w:pPr>
        <w:pStyle w:val="NormalWeb"/>
        <w:spacing w:before="2" w:after="2"/>
        <w:ind w:left="640" w:hanging="640"/>
        <w:divId w:val="112292518"/>
        <w:rPr>
          <w:sz w:val="24"/>
        </w:rPr>
      </w:pPr>
      <w:r w:rsidRPr="009C2AFB">
        <w:rPr>
          <w:sz w:val="24"/>
        </w:rPr>
        <w:t xml:space="preserve">3. </w:t>
      </w:r>
      <w:r w:rsidRPr="009C2AFB">
        <w:rPr>
          <w:sz w:val="24"/>
        </w:rPr>
        <w:tab/>
        <w:t xml:space="preserve">Schmid N, Deng Y, Pessi G, Aguilar C, Carlier AL, et al. (2012) The AHL- and BDSF-dependent Quorum Sensing Systems control specific and overlapping sets of genes in </w:t>
      </w:r>
      <w:r w:rsidRPr="009C2AFB">
        <w:rPr>
          <w:i/>
          <w:sz w:val="24"/>
        </w:rPr>
        <w:t>Burkholderia cenocepacia</w:t>
      </w:r>
      <w:r w:rsidRPr="009C2AFB">
        <w:rPr>
          <w:sz w:val="24"/>
        </w:rPr>
        <w:t xml:space="preserve"> H111. PLoS One 7: e49966.</w:t>
      </w:r>
    </w:p>
    <w:p w:rsidR="009C2AFB" w:rsidRPr="009C2AFB" w:rsidRDefault="009C2AFB">
      <w:pPr>
        <w:pStyle w:val="NormalWeb"/>
        <w:spacing w:before="2" w:after="2"/>
        <w:ind w:left="640" w:hanging="640"/>
        <w:divId w:val="112292518"/>
        <w:rPr>
          <w:sz w:val="24"/>
        </w:rPr>
      </w:pPr>
    </w:p>
    <w:p w:rsidR="009C2AFB" w:rsidRPr="009C2AFB" w:rsidRDefault="009C2AFB">
      <w:pPr>
        <w:pStyle w:val="NormalWeb"/>
        <w:spacing w:before="2" w:after="2"/>
        <w:ind w:left="640" w:hanging="640"/>
        <w:divId w:val="112292518"/>
        <w:rPr>
          <w:sz w:val="24"/>
        </w:rPr>
      </w:pPr>
      <w:r w:rsidRPr="009C2AFB">
        <w:rPr>
          <w:sz w:val="24"/>
        </w:rPr>
        <w:t xml:space="preserve">4. </w:t>
      </w:r>
      <w:r w:rsidRPr="009C2AFB">
        <w:rPr>
          <w:sz w:val="24"/>
        </w:rPr>
        <w:tab/>
        <w:t xml:space="preserve">Pfaffl MW (2001) A new mathematical model for relative quantification in real-time RT-PCR. Nucleic Acids Res 29: e45. </w:t>
      </w:r>
    </w:p>
    <w:p w:rsidR="004F0D21" w:rsidRPr="004F0D21" w:rsidRDefault="0099436A" w:rsidP="004F0D21">
      <w:pPr>
        <w:spacing w:line="480" w:lineRule="auto"/>
        <w:jc w:val="both"/>
        <w:rPr>
          <w:rFonts w:ascii="Times" w:hAnsi="Times"/>
        </w:rPr>
      </w:pPr>
      <w:r>
        <w:rPr>
          <w:rFonts w:ascii="Times" w:hAnsi="Times"/>
        </w:rPr>
        <w:fldChar w:fldCharType="end"/>
      </w:r>
    </w:p>
    <w:sectPr w:rsidR="004F0D21" w:rsidRPr="004F0D21" w:rsidSect="004F0D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4F0D21"/>
    <w:rsid w:val="000815F9"/>
    <w:rsid w:val="00193098"/>
    <w:rsid w:val="002C4C32"/>
    <w:rsid w:val="00326653"/>
    <w:rsid w:val="003B573A"/>
    <w:rsid w:val="00475463"/>
    <w:rsid w:val="00497B7E"/>
    <w:rsid w:val="004F0D21"/>
    <w:rsid w:val="00514516"/>
    <w:rsid w:val="006A01DE"/>
    <w:rsid w:val="006B0A95"/>
    <w:rsid w:val="00750E31"/>
    <w:rsid w:val="0076483E"/>
    <w:rsid w:val="00767303"/>
    <w:rsid w:val="007F66D3"/>
    <w:rsid w:val="00903574"/>
    <w:rsid w:val="0099436A"/>
    <w:rsid w:val="009C2AFB"/>
    <w:rsid w:val="00A36C8E"/>
    <w:rsid w:val="00A81EE9"/>
    <w:rsid w:val="00AD728A"/>
    <w:rsid w:val="00B60567"/>
    <w:rsid w:val="00CA3E37"/>
    <w:rsid w:val="00CF73A3"/>
    <w:rsid w:val="00D867C1"/>
    <w:rsid w:val="00EE4C59"/>
    <w:rsid w:val="00EF587E"/>
    <w:rsid w:val="00F6310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E72E0"/>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CF73A3"/>
    <w:pPr>
      <w:spacing w:beforeLines="1" w:afterLines="1"/>
    </w:pPr>
    <w:rPr>
      <w:rFonts w:ascii="Times" w:eastAsiaTheme="minorEastAsia" w:hAnsi="Times" w:cs="Times New Roman"/>
      <w:sz w:val="20"/>
      <w:szCs w:val="20"/>
      <w:lang w:val="en-US"/>
    </w:rPr>
  </w:style>
  <w:style w:type="paragraph" w:styleId="BalloonText">
    <w:name w:val="Balloon Text"/>
    <w:basedOn w:val="Normal"/>
    <w:link w:val="BalloonTextChar"/>
    <w:rsid w:val="009C2AFB"/>
    <w:rPr>
      <w:rFonts w:ascii="Lucida Grande" w:hAnsi="Lucida Grande"/>
      <w:sz w:val="18"/>
      <w:szCs w:val="18"/>
    </w:rPr>
  </w:style>
  <w:style w:type="character" w:customStyle="1" w:styleId="BalloonTextChar">
    <w:name w:val="Balloon Text Char"/>
    <w:basedOn w:val="DefaultParagraphFont"/>
    <w:link w:val="BalloonText"/>
    <w:rsid w:val="009C2AFB"/>
    <w:rPr>
      <w:rFonts w:ascii="Lucida Grande" w:hAnsi="Lucida Grande"/>
      <w:sz w:val="18"/>
      <w:szCs w:val="18"/>
      <w:lang w:val="en-GB"/>
    </w:rPr>
  </w:style>
</w:styles>
</file>

<file path=word/webSettings.xml><?xml version="1.0" encoding="utf-8"?>
<w:webSettings xmlns:r="http://schemas.openxmlformats.org/officeDocument/2006/relationships" xmlns:w="http://schemas.openxmlformats.org/wordprocessingml/2006/main">
  <w:divs>
    <w:div w:id="112292518">
      <w:bodyDiv w:val="1"/>
      <w:marLeft w:val="0"/>
      <w:marRight w:val="0"/>
      <w:marTop w:val="0"/>
      <w:marBottom w:val="0"/>
      <w:divBdr>
        <w:top w:val="none" w:sz="0" w:space="0" w:color="auto"/>
        <w:left w:val="none" w:sz="0" w:space="0" w:color="auto"/>
        <w:bottom w:val="none" w:sz="0" w:space="0" w:color="auto"/>
        <w:right w:val="none" w:sz="0" w:space="0" w:color="auto"/>
      </w:divBdr>
    </w:div>
    <w:div w:id="141971187">
      <w:bodyDiv w:val="1"/>
      <w:marLeft w:val="0"/>
      <w:marRight w:val="0"/>
      <w:marTop w:val="0"/>
      <w:marBottom w:val="0"/>
      <w:divBdr>
        <w:top w:val="none" w:sz="0" w:space="0" w:color="auto"/>
        <w:left w:val="none" w:sz="0" w:space="0" w:color="auto"/>
        <w:bottom w:val="none" w:sz="0" w:space="0" w:color="auto"/>
        <w:right w:val="none" w:sz="0" w:space="0" w:color="auto"/>
      </w:divBdr>
    </w:div>
    <w:div w:id="533076774">
      <w:bodyDiv w:val="1"/>
      <w:marLeft w:val="0"/>
      <w:marRight w:val="0"/>
      <w:marTop w:val="0"/>
      <w:marBottom w:val="0"/>
      <w:divBdr>
        <w:top w:val="none" w:sz="0" w:space="0" w:color="auto"/>
        <w:left w:val="none" w:sz="0" w:space="0" w:color="auto"/>
        <w:bottom w:val="none" w:sz="0" w:space="0" w:color="auto"/>
        <w:right w:val="none" w:sz="0" w:space="0" w:color="auto"/>
      </w:divBdr>
    </w:div>
    <w:div w:id="586422178">
      <w:bodyDiv w:val="1"/>
      <w:marLeft w:val="0"/>
      <w:marRight w:val="0"/>
      <w:marTop w:val="0"/>
      <w:marBottom w:val="0"/>
      <w:divBdr>
        <w:top w:val="none" w:sz="0" w:space="0" w:color="auto"/>
        <w:left w:val="none" w:sz="0" w:space="0" w:color="auto"/>
        <w:bottom w:val="none" w:sz="0" w:space="0" w:color="auto"/>
        <w:right w:val="none" w:sz="0" w:space="0" w:color="auto"/>
      </w:divBdr>
    </w:div>
    <w:div w:id="761923830">
      <w:bodyDiv w:val="1"/>
      <w:marLeft w:val="0"/>
      <w:marRight w:val="0"/>
      <w:marTop w:val="0"/>
      <w:marBottom w:val="0"/>
      <w:divBdr>
        <w:top w:val="none" w:sz="0" w:space="0" w:color="auto"/>
        <w:left w:val="none" w:sz="0" w:space="0" w:color="auto"/>
        <w:bottom w:val="none" w:sz="0" w:space="0" w:color="auto"/>
        <w:right w:val="none" w:sz="0" w:space="0" w:color="auto"/>
      </w:divBdr>
    </w:div>
    <w:div w:id="1248272962">
      <w:bodyDiv w:val="1"/>
      <w:marLeft w:val="0"/>
      <w:marRight w:val="0"/>
      <w:marTop w:val="0"/>
      <w:marBottom w:val="0"/>
      <w:divBdr>
        <w:top w:val="none" w:sz="0" w:space="0" w:color="auto"/>
        <w:left w:val="none" w:sz="0" w:space="0" w:color="auto"/>
        <w:bottom w:val="none" w:sz="0" w:space="0" w:color="auto"/>
        <w:right w:val="none" w:sz="0" w:space="0" w:color="auto"/>
      </w:divBdr>
    </w:div>
    <w:div w:id="1555695212">
      <w:bodyDiv w:val="1"/>
      <w:marLeft w:val="0"/>
      <w:marRight w:val="0"/>
      <w:marTop w:val="0"/>
      <w:marBottom w:val="0"/>
      <w:divBdr>
        <w:top w:val="none" w:sz="0" w:space="0" w:color="auto"/>
        <w:left w:val="none" w:sz="0" w:space="0" w:color="auto"/>
        <w:bottom w:val="none" w:sz="0" w:space="0" w:color="auto"/>
        <w:right w:val="none" w:sz="0" w:space="0" w:color="auto"/>
      </w:divBdr>
    </w:div>
    <w:div w:id="1634486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2068</Words>
  <Characters>11790</Characters>
  <Application>Microsoft Macintosh Word</Application>
  <DocSecurity>0</DocSecurity>
  <Lines>98</Lines>
  <Paragraphs>23</Paragraphs>
  <ScaleCrop>false</ScaleCrop>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Aguilar</dc:creator>
  <cp:keywords/>
  <cp:lastModifiedBy>Claudio Aguilar</cp:lastModifiedBy>
  <cp:revision>3</cp:revision>
  <dcterms:created xsi:type="dcterms:W3CDTF">2014-02-28T10:33:00Z</dcterms:created>
  <dcterms:modified xsi:type="dcterms:W3CDTF">2014-02-28T11:04:00Z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http://www.zotero.org/styles/plos-one</vt:lpwstr>
  </property>
  <property fmtid="{D5CDD505-2E9C-101B-9397-08002B2CF9AE}" pid="4" name="Mendeley User Name_1">
    <vt:lpwstr>caguilap@gmail.com@www.mendeley.com</vt:lpwstr>
  </property>
</Properties>
</file>