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9F1" w:rsidRPr="00DC42E2" w:rsidRDefault="00881F66" w:rsidP="00F929F1">
      <w:pPr>
        <w:spacing w:line="360" w:lineRule="auto"/>
        <w:rPr>
          <w:b/>
          <w:lang w:val="en-GB"/>
        </w:rPr>
      </w:pPr>
      <w:r>
        <w:rPr>
          <w:b/>
          <w:lang w:val="en-GB"/>
        </w:rPr>
        <w:t>Table S</w:t>
      </w:r>
      <w:r w:rsidR="00A41509">
        <w:rPr>
          <w:b/>
          <w:lang w:val="en-GB"/>
        </w:rPr>
        <w:t>3</w:t>
      </w:r>
      <w:r w:rsidR="00DC42E2" w:rsidRPr="00DC42E2">
        <w:rPr>
          <w:b/>
          <w:lang w:val="en-GB"/>
        </w:rPr>
        <w:t>.</w:t>
      </w:r>
      <w:r w:rsidR="00F929F1" w:rsidRPr="00DC42E2">
        <w:rPr>
          <w:b/>
          <w:lang w:val="en-GB"/>
        </w:rPr>
        <w:t xml:space="preserve"> Leaf area index </w:t>
      </w:r>
      <w:r w:rsidR="00DC42E2">
        <w:rPr>
          <w:b/>
          <w:lang w:val="en-GB"/>
        </w:rPr>
        <w:t xml:space="preserve">(LAI) </w:t>
      </w:r>
      <w:r w:rsidR="00F929F1" w:rsidRPr="00DC42E2">
        <w:rPr>
          <w:b/>
          <w:lang w:val="en-GB"/>
        </w:rPr>
        <w:t>of plots and mesocosms</w:t>
      </w:r>
      <w:r w:rsidR="00DC42E2" w:rsidRPr="00DC42E2">
        <w:rPr>
          <w:b/>
          <w:lang w:val="en-GB"/>
        </w:rPr>
        <w:t xml:space="preserve">. </w:t>
      </w:r>
    </w:p>
    <w:tbl>
      <w:tblPr>
        <w:tblW w:w="9180" w:type="dxa"/>
        <w:tblInd w:w="93" w:type="dxa"/>
        <w:tblLook w:val="04A0" w:firstRow="1" w:lastRow="0" w:firstColumn="1" w:lastColumn="0" w:noHBand="0" w:noVBand="1"/>
      </w:tblPr>
      <w:tblGrid>
        <w:gridCol w:w="2080"/>
        <w:gridCol w:w="960"/>
        <w:gridCol w:w="1075"/>
        <w:gridCol w:w="845"/>
        <w:gridCol w:w="1075"/>
        <w:gridCol w:w="845"/>
        <w:gridCol w:w="1615"/>
        <w:gridCol w:w="691"/>
      </w:tblGrid>
      <w:tr w:rsidR="00EE1290" w:rsidRPr="00EE1290" w:rsidTr="00EE1290">
        <w:trPr>
          <w:trHeight w:val="300"/>
        </w:trPr>
        <w:tc>
          <w:tcPr>
            <w:tcW w:w="2080" w:type="dxa"/>
            <w:tcBorders>
              <w:top w:val="single" w:sz="8" w:space="0" w:color="auto"/>
              <w:left w:val="nil"/>
              <w:bottom w:val="nil"/>
              <w:right w:val="nil"/>
            </w:tcBorders>
            <w:shd w:val="clear" w:color="auto" w:fill="auto"/>
            <w:noWrap/>
            <w:vAlign w:val="bottom"/>
            <w:hideMark/>
          </w:tcPr>
          <w:p w:rsidR="00EE1290" w:rsidRPr="00EE1290" w:rsidRDefault="00EE1290" w:rsidP="00EE1290">
            <w:pPr>
              <w:rPr>
                <w:rFonts w:ascii="Calibri" w:hAnsi="Calibri"/>
                <w:b/>
                <w:bCs/>
                <w:color w:val="000000"/>
                <w:sz w:val="22"/>
                <w:szCs w:val="22"/>
                <w:lang w:val="en-GB" w:eastAsia="en-GB"/>
              </w:rPr>
            </w:pPr>
            <w:r w:rsidRPr="00EE1290">
              <w:rPr>
                <w:rFonts w:ascii="Calibri" w:hAnsi="Calibri"/>
                <w:b/>
                <w:bCs/>
                <w:color w:val="000000"/>
                <w:sz w:val="22"/>
                <w:szCs w:val="22"/>
                <w:lang w:val="en-GB" w:eastAsia="en-GB"/>
              </w:rPr>
              <w:t> </w:t>
            </w:r>
          </w:p>
        </w:tc>
        <w:tc>
          <w:tcPr>
            <w:tcW w:w="960" w:type="dxa"/>
            <w:tcBorders>
              <w:top w:val="single" w:sz="8" w:space="0" w:color="auto"/>
              <w:left w:val="nil"/>
              <w:bottom w:val="nil"/>
              <w:right w:val="nil"/>
            </w:tcBorders>
            <w:shd w:val="clear" w:color="auto" w:fill="auto"/>
            <w:noWrap/>
            <w:vAlign w:val="bottom"/>
            <w:hideMark/>
          </w:tcPr>
          <w:p w:rsidR="00EE1290" w:rsidRPr="00EE1290" w:rsidRDefault="00EE1290" w:rsidP="00EE1290">
            <w:pPr>
              <w:jc w:val="center"/>
              <w:rPr>
                <w:rFonts w:ascii="Calibri" w:hAnsi="Calibri"/>
                <w:b/>
                <w:bCs/>
                <w:color w:val="000000"/>
                <w:sz w:val="22"/>
                <w:szCs w:val="22"/>
                <w:lang w:val="en-GB" w:eastAsia="en-GB"/>
              </w:rPr>
            </w:pPr>
            <w:r w:rsidRPr="00EE1290">
              <w:rPr>
                <w:rFonts w:ascii="Calibri" w:hAnsi="Calibri"/>
                <w:b/>
                <w:bCs/>
                <w:color w:val="000000"/>
                <w:sz w:val="22"/>
                <w:szCs w:val="22"/>
                <w:lang w:val="en-GB" w:eastAsia="en-GB"/>
              </w:rPr>
              <w:t>Year</w:t>
            </w:r>
          </w:p>
        </w:tc>
        <w:tc>
          <w:tcPr>
            <w:tcW w:w="1920" w:type="dxa"/>
            <w:gridSpan w:val="2"/>
            <w:tcBorders>
              <w:top w:val="single" w:sz="8" w:space="0" w:color="auto"/>
              <w:left w:val="nil"/>
              <w:bottom w:val="nil"/>
              <w:right w:val="nil"/>
            </w:tcBorders>
            <w:shd w:val="clear" w:color="auto" w:fill="auto"/>
            <w:noWrap/>
            <w:vAlign w:val="bottom"/>
            <w:hideMark/>
          </w:tcPr>
          <w:p w:rsidR="00EE1290" w:rsidRPr="00EE1290" w:rsidRDefault="00EE1290" w:rsidP="00EE1290">
            <w:pPr>
              <w:jc w:val="center"/>
              <w:rPr>
                <w:rFonts w:ascii="Calibri" w:hAnsi="Calibri"/>
                <w:b/>
                <w:bCs/>
                <w:color w:val="000000"/>
                <w:sz w:val="22"/>
                <w:szCs w:val="22"/>
                <w:lang w:val="en-GB" w:eastAsia="en-GB"/>
              </w:rPr>
            </w:pPr>
            <w:r w:rsidRPr="00EE1290">
              <w:rPr>
                <w:rFonts w:ascii="Calibri" w:hAnsi="Calibri"/>
                <w:b/>
                <w:bCs/>
                <w:color w:val="000000"/>
                <w:sz w:val="22"/>
                <w:szCs w:val="22"/>
                <w:lang w:val="en-GB" w:eastAsia="en-GB"/>
              </w:rPr>
              <w:t>Low Tree</w:t>
            </w:r>
          </w:p>
        </w:tc>
        <w:tc>
          <w:tcPr>
            <w:tcW w:w="1920" w:type="dxa"/>
            <w:gridSpan w:val="2"/>
            <w:tcBorders>
              <w:top w:val="single" w:sz="8" w:space="0" w:color="auto"/>
              <w:left w:val="nil"/>
              <w:bottom w:val="nil"/>
              <w:right w:val="nil"/>
            </w:tcBorders>
            <w:shd w:val="clear" w:color="auto" w:fill="auto"/>
            <w:noWrap/>
            <w:vAlign w:val="bottom"/>
            <w:hideMark/>
          </w:tcPr>
          <w:p w:rsidR="00EE1290" w:rsidRPr="00EE1290" w:rsidRDefault="00EE1290" w:rsidP="00EE1290">
            <w:pPr>
              <w:jc w:val="center"/>
              <w:rPr>
                <w:rFonts w:ascii="Calibri" w:hAnsi="Calibri"/>
                <w:b/>
                <w:bCs/>
                <w:color w:val="000000"/>
                <w:sz w:val="22"/>
                <w:szCs w:val="22"/>
                <w:lang w:val="en-GB" w:eastAsia="en-GB"/>
              </w:rPr>
            </w:pPr>
            <w:r w:rsidRPr="00EE1290">
              <w:rPr>
                <w:rFonts w:ascii="Calibri" w:hAnsi="Calibri"/>
                <w:b/>
                <w:bCs/>
                <w:color w:val="000000"/>
                <w:sz w:val="22"/>
                <w:szCs w:val="22"/>
                <w:lang w:val="en-GB" w:eastAsia="en-GB"/>
              </w:rPr>
              <w:t>High Tree</w:t>
            </w:r>
          </w:p>
        </w:tc>
        <w:tc>
          <w:tcPr>
            <w:tcW w:w="2300" w:type="dxa"/>
            <w:gridSpan w:val="2"/>
            <w:tcBorders>
              <w:top w:val="single" w:sz="8" w:space="0" w:color="auto"/>
              <w:left w:val="nil"/>
              <w:bottom w:val="nil"/>
              <w:right w:val="nil"/>
            </w:tcBorders>
            <w:shd w:val="clear" w:color="auto" w:fill="auto"/>
            <w:noWrap/>
            <w:vAlign w:val="bottom"/>
            <w:hideMark/>
          </w:tcPr>
          <w:p w:rsidR="00EE1290" w:rsidRPr="00EE1290" w:rsidRDefault="00EE1290" w:rsidP="00EE1290">
            <w:pPr>
              <w:jc w:val="center"/>
              <w:rPr>
                <w:rFonts w:ascii="Calibri" w:hAnsi="Calibri"/>
                <w:b/>
                <w:bCs/>
                <w:color w:val="000000"/>
                <w:sz w:val="22"/>
                <w:szCs w:val="22"/>
                <w:lang w:val="en-GB" w:eastAsia="en-GB"/>
              </w:rPr>
            </w:pPr>
            <w:r w:rsidRPr="00EE1290">
              <w:rPr>
                <w:rFonts w:ascii="Calibri" w:hAnsi="Calibri"/>
                <w:b/>
                <w:bCs/>
                <w:color w:val="000000"/>
                <w:sz w:val="22"/>
                <w:szCs w:val="22"/>
                <w:lang w:val="en-GB" w:eastAsia="en-GB"/>
              </w:rPr>
              <w:t>Statistics</w:t>
            </w:r>
          </w:p>
        </w:tc>
      </w:tr>
      <w:tr w:rsidR="00EE1290" w:rsidRPr="00EE1290" w:rsidTr="00EE1290">
        <w:trPr>
          <w:trHeight w:val="300"/>
        </w:trPr>
        <w:tc>
          <w:tcPr>
            <w:tcW w:w="2080" w:type="dxa"/>
            <w:tcBorders>
              <w:top w:val="nil"/>
              <w:left w:val="nil"/>
              <w:bottom w:val="nil"/>
              <w:right w:val="nil"/>
            </w:tcBorders>
            <w:shd w:val="clear" w:color="auto" w:fill="auto"/>
            <w:noWrap/>
            <w:vAlign w:val="bottom"/>
            <w:hideMark/>
          </w:tcPr>
          <w:p w:rsidR="00EE1290" w:rsidRPr="00EE1290" w:rsidRDefault="00EE1290" w:rsidP="00EE1290">
            <w:pPr>
              <w:rPr>
                <w:rFonts w:ascii="Calibri" w:hAnsi="Calibri"/>
                <w:b/>
                <w:bCs/>
                <w:color w:val="000000"/>
                <w:sz w:val="22"/>
                <w:szCs w:val="22"/>
                <w:lang w:val="en-GB" w:eastAsia="en-GB"/>
              </w:rPr>
            </w:pPr>
          </w:p>
        </w:tc>
        <w:tc>
          <w:tcPr>
            <w:tcW w:w="960" w:type="dxa"/>
            <w:tcBorders>
              <w:top w:val="nil"/>
              <w:left w:val="nil"/>
              <w:bottom w:val="nil"/>
              <w:right w:val="nil"/>
            </w:tcBorders>
            <w:shd w:val="clear" w:color="auto" w:fill="auto"/>
            <w:noWrap/>
            <w:vAlign w:val="bottom"/>
            <w:hideMark/>
          </w:tcPr>
          <w:p w:rsidR="00EE1290" w:rsidRPr="00EE1290" w:rsidRDefault="00EE1290" w:rsidP="00EE1290">
            <w:pPr>
              <w:jc w:val="center"/>
              <w:rPr>
                <w:rFonts w:ascii="Calibri" w:hAnsi="Calibri"/>
                <w:b/>
                <w:bCs/>
                <w:color w:val="000000"/>
                <w:sz w:val="22"/>
                <w:szCs w:val="22"/>
                <w:lang w:val="en-GB" w:eastAsia="en-GB"/>
              </w:rPr>
            </w:pPr>
          </w:p>
        </w:tc>
        <w:tc>
          <w:tcPr>
            <w:tcW w:w="1075" w:type="dxa"/>
            <w:tcBorders>
              <w:top w:val="nil"/>
              <w:left w:val="nil"/>
              <w:bottom w:val="nil"/>
              <w:right w:val="nil"/>
            </w:tcBorders>
            <w:shd w:val="clear" w:color="auto" w:fill="auto"/>
            <w:noWrap/>
            <w:vAlign w:val="bottom"/>
            <w:hideMark/>
          </w:tcPr>
          <w:p w:rsidR="00EE1290" w:rsidRPr="00EE1290" w:rsidRDefault="00EE1290" w:rsidP="00EE1290">
            <w:pPr>
              <w:jc w:val="center"/>
              <w:rPr>
                <w:rFonts w:ascii="Calibri" w:hAnsi="Calibri"/>
                <w:i/>
                <w:iCs/>
                <w:color w:val="000000"/>
                <w:sz w:val="22"/>
                <w:szCs w:val="22"/>
                <w:lang w:val="en-GB" w:eastAsia="en-GB"/>
              </w:rPr>
            </w:pPr>
            <w:r w:rsidRPr="00EE1290">
              <w:rPr>
                <w:rFonts w:ascii="Calibri" w:hAnsi="Calibri"/>
                <w:i/>
                <w:iCs/>
                <w:color w:val="000000"/>
                <w:sz w:val="22"/>
                <w:szCs w:val="22"/>
                <w:lang w:val="en-GB" w:eastAsia="en-GB"/>
              </w:rPr>
              <w:t>mean</w:t>
            </w:r>
          </w:p>
        </w:tc>
        <w:tc>
          <w:tcPr>
            <w:tcW w:w="845" w:type="dxa"/>
            <w:tcBorders>
              <w:top w:val="nil"/>
              <w:left w:val="nil"/>
              <w:bottom w:val="nil"/>
              <w:right w:val="nil"/>
            </w:tcBorders>
            <w:shd w:val="clear" w:color="auto" w:fill="auto"/>
            <w:noWrap/>
            <w:vAlign w:val="bottom"/>
            <w:hideMark/>
          </w:tcPr>
          <w:p w:rsidR="00EE1290" w:rsidRPr="00EE1290" w:rsidRDefault="00EE1290" w:rsidP="00EE1290">
            <w:pPr>
              <w:jc w:val="center"/>
              <w:rPr>
                <w:rFonts w:ascii="Calibri" w:hAnsi="Calibri"/>
                <w:i/>
                <w:iCs/>
                <w:color w:val="808080"/>
                <w:sz w:val="22"/>
                <w:szCs w:val="22"/>
                <w:lang w:val="en-GB" w:eastAsia="en-GB"/>
              </w:rPr>
            </w:pPr>
            <w:r w:rsidRPr="00EE1290">
              <w:rPr>
                <w:rFonts w:ascii="Calibri" w:hAnsi="Calibri"/>
                <w:i/>
                <w:iCs/>
                <w:color w:val="808080"/>
                <w:sz w:val="22"/>
                <w:szCs w:val="22"/>
                <w:lang w:val="en-GB" w:eastAsia="en-GB"/>
              </w:rPr>
              <w:t>SE</w:t>
            </w:r>
          </w:p>
        </w:tc>
        <w:tc>
          <w:tcPr>
            <w:tcW w:w="1075" w:type="dxa"/>
            <w:tcBorders>
              <w:top w:val="nil"/>
              <w:left w:val="nil"/>
              <w:bottom w:val="nil"/>
              <w:right w:val="nil"/>
            </w:tcBorders>
            <w:shd w:val="clear" w:color="auto" w:fill="auto"/>
            <w:noWrap/>
            <w:vAlign w:val="bottom"/>
            <w:hideMark/>
          </w:tcPr>
          <w:p w:rsidR="00EE1290" w:rsidRPr="00EE1290" w:rsidRDefault="00EE1290" w:rsidP="00EE1290">
            <w:pPr>
              <w:jc w:val="center"/>
              <w:rPr>
                <w:rFonts w:ascii="Calibri" w:hAnsi="Calibri"/>
                <w:i/>
                <w:iCs/>
                <w:color w:val="000000"/>
                <w:sz w:val="22"/>
                <w:szCs w:val="22"/>
                <w:lang w:val="en-GB" w:eastAsia="en-GB"/>
              </w:rPr>
            </w:pPr>
            <w:r w:rsidRPr="00EE1290">
              <w:rPr>
                <w:rFonts w:ascii="Calibri" w:hAnsi="Calibri"/>
                <w:i/>
                <w:iCs/>
                <w:color w:val="000000"/>
                <w:sz w:val="22"/>
                <w:szCs w:val="22"/>
                <w:lang w:val="en-GB" w:eastAsia="en-GB"/>
              </w:rPr>
              <w:t>mean</w:t>
            </w:r>
          </w:p>
        </w:tc>
        <w:tc>
          <w:tcPr>
            <w:tcW w:w="845" w:type="dxa"/>
            <w:tcBorders>
              <w:top w:val="nil"/>
              <w:left w:val="nil"/>
              <w:bottom w:val="nil"/>
              <w:right w:val="nil"/>
            </w:tcBorders>
            <w:shd w:val="clear" w:color="auto" w:fill="auto"/>
            <w:noWrap/>
            <w:vAlign w:val="bottom"/>
            <w:hideMark/>
          </w:tcPr>
          <w:p w:rsidR="00EE1290" w:rsidRPr="00EE1290" w:rsidRDefault="00EE1290" w:rsidP="00EE1290">
            <w:pPr>
              <w:jc w:val="center"/>
              <w:rPr>
                <w:rFonts w:ascii="Calibri" w:hAnsi="Calibri"/>
                <w:i/>
                <w:iCs/>
                <w:color w:val="808080"/>
                <w:sz w:val="22"/>
                <w:szCs w:val="22"/>
                <w:lang w:val="en-GB" w:eastAsia="en-GB"/>
              </w:rPr>
            </w:pPr>
            <w:r w:rsidRPr="00EE1290">
              <w:rPr>
                <w:rFonts w:ascii="Calibri" w:hAnsi="Calibri"/>
                <w:i/>
                <w:iCs/>
                <w:color w:val="808080"/>
                <w:sz w:val="22"/>
                <w:szCs w:val="22"/>
                <w:lang w:val="en-GB" w:eastAsia="en-GB"/>
              </w:rPr>
              <w:t>SE</w:t>
            </w:r>
          </w:p>
        </w:tc>
        <w:tc>
          <w:tcPr>
            <w:tcW w:w="1615" w:type="dxa"/>
            <w:tcBorders>
              <w:top w:val="nil"/>
              <w:left w:val="nil"/>
              <w:bottom w:val="nil"/>
              <w:right w:val="nil"/>
            </w:tcBorders>
            <w:shd w:val="clear" w:color="auto" w:fill="auto"/>
            <w:noWrap/>
            <w:vAlign w:val="bottom"/>
            <w:hideMark/>
          </w:tcPr>
          <w:p w:rsidR="00EE1290" w:rsidRPr="00EE1290" w:rsidRDefault="00EE1290" w:rsidP="00EE1290">
            <w:pPr>
              <w:jc w:val="center"/>
              <w:rPr>
                <w:rFonts w:ascii="Calibri" w:hAnsi="Calibri"/>
                <w:i/>
                <w:iCs/>
                <w:color w:val="000000"/>
                <w:sz w:val="22"/>
                <w:szCs w:val="22"/>
                <w:lang w:val="en-GB" w:eastAsia="en-GB"/>
              </w:rPr>
            </w:pPr>
            <w:proofErr w:type="spellStart"/>
            <w:r w:rsidRPr="00EE1290">
              <w:rPr>
                <w:rFonts w:ascii="Calibri" w:hAnsi="Calibri"/>
                <w:i/>
                <w:iCs/>
                <w:color w:val="000000"/>
                <w:sz w:val="22"/>
                <w:szCs w:val="22"/>
                <w:lang w:val="en-GB" w:eastAsia="en-GB"/>
              </w:rPr>
              <w:t>Treament</w:t>
            </w:r>
            <w:proofErr w:type="spellEnd"/>
          </w:p>
        </w:tc>
        <w:tc>
          <w:tcPr>
            <w:tcW w:w="685" w:type="dxa"/>
            <w:tcBorders>
              <w:top w:val="nil"/>
              <w:left w:val="nil"/>
              <w:bottom w:val="nil"/>
              <w:right w:val="nil"/>
            </w:tcBorders>
            <w:shd w:val="clear" w:color="auto" w:fill="auto"/>
            <w:noWrap/>
            <w:vAlign w:val="bottom"/>
            <w:hideMark/>
          </w:tcPr>
          <w:p w:rsidR="00EE1290" w:rsidRPr="00EE1290" w:rsidRDefault="00EE1290" w:rsidP="00EE1290">
            <w:pPr>
              <w:jc w:val="center"/>
              <w:rPr>
                <w:rFonts w:ascii="Calibri" w:hAnsi="Calibri"/>
                <w:i/>
                <w:iCs/>
                <w:color w:val="000000"/>
                <w:sz w:val="22"/>
                <w:szCs w:val="22"/>
                <w:lang w:val="en-GB" w:eastAsia="en-GB"/>
              </w:rPr>
            </w:pPr>
            <w:r w:rsidRPr="00EE1290">
              <w:rPr>
                <w:rFonts w:ascii="Calibri" w:hAnsi="Calibri"/>
                <w:i/>
                <w:iCs/>
                <w:color w:val="000000"/>
                <w:sz w:val="22"/>
                <w:szCs w:val="22"/>
                <w:lang w:val="en-GB" w:eastAsia="en-GB"/>
              </w:rPr>
              <w:t>Block</w:t>
            </w:r>
          </w:p>
        </w:tc>
      </w:tr>
      <w:tr w:rsidR="00EE1290" w:rsidRPr="00EE1290" w:rsidTr="00EE1290">
        <w:trPr>
          <w:trHeight w:val="360"/>
        </w:trPr>
        <w:tc>
          <w:tcPr>
            <w:tcW w:w="2080" w:type="dxa"/>
            <w:tcBorders>
              <w:top w:val="single" w:sz="4" w:space="0" w:color="auto"/>
              <w:left w:val="nil"/>
              <w:bottom w:val="nil"/>
              <w:right w:val="nil"/>
            </w:tcBorders>
            <w:shd w:val="clear" w:color="auto" w:fill="auto"/>
            <w:noWrap/>
            <w:vAlign w:val="bottom"/>
            <w:hideMark/>
          </w:tcPr>
          <w:p w:rsidR="00EE1290" w:rsidRPr="00EE1290" w:rsidRDefault="00EE1290" w:rsidP="00EE1290">
            <w:pPr>
              <w:rPr>
                <w:rFonts w:ascii="Calibri" w:hAnsi="Calibri"/>
                <w:color w:val="000000"/>
                <w:sz w:val="22"/>
                <w:szCs w:val="22"/>
                <w:lang w:val="en-GB" w:eastAsia="en-GB"/>
              </w:rPr>
            </w:pPr>
            <w:r w:rsidRPr="00EE1290">
              <w:rPr>
                <w:rFonts w:ascii="Calibri" w:hAnsi="Calibri"/>
                <w:color w:val="000000"/>
                <w:sz w:val="22"/>
                <w:szCs w:val="22"/>
                <w:lang w:val="en-GB" w:eastAsia="en-GB"/>
              </w:rPr>
              <w:t>LAI (plots)</w:t>
            </w:r>
          </w:p>
        </w:tc>
        <w:tc>
          <w:tcPr>
            <w:tcW w:w="960" w:type="dxa"/>
            <w:tcBorders>
              <w:top w:val="single" w:sz="4" w:space="0" w:color="auto"/>
              <w:left w:val="nil"/>
              <w:bottom w:val="nil"/>
              <w:right w:val="nil"/>
            </w:tcBorders>
            <w:shd w:val="clear" w:color="auto" w:fill="auto"/>
            <w:noWrap/>
            <w:vAlign w:val="bottom"/>
            <w:hideMark/>
          </w:tcPr>
          <w:p w:rsidR="00EE1290" w:rsidRPr="00EE1290" w:rsidRDefault="00EE1290" w:rsidP="00EE1290">
            <w:pPr>
              <w:jc w:val="center"/>
              <w:rPr>
                <w:rFonts w:ascii="Calibri" w:hAnsi="Calibri"/>
                <w:color w:val="000000"/>
                <w:sz w:val="22"/>
                <w:szCs w:val="22"/>
                <w:lang w:val="en-GB" w:eastAsia="en-GB"/>
              </w:rPr>
            </w:pPr>
            <w:r w:rsidRPr="00EE1290">
              <w:rPr>
                <w:rFonts w:ascii="Calibri" w:hAnsi="Calibri"/>
                <w:color w:val="000000"/>
                <w:sz w:val="22"/>
                <w:szCs w:val="22"/>
                <w:lang w:val="en-GB" w:eastAsia="en-GB"/>
              </w:rPr>
              <w:t>2008</w:t>
            </w:r>
          </w:p>
        </w:tc>
        <w:tc>
          <w:tcPr>
            <w:tcW w:w="1075" w:type="dxa"/>
            <w:tcBorders>
              <w:top w:val="single" w:sz="4" w:space="0" w:color="auto"/>
              <w:left w:val="nil"/>
              <w:bottom w:val="nil"/>
              <w:right w:val="nil"/>
            </w:tcBorders>
            <w:shd w:val="clear" w:color="auto" w:fill="auto"/>
            <w:noWrap/>
            <w:vAlign w:val="bottom"/>
            <w:hideMark/>
          </w:tcPr>
          <w:p w:rsidR="00EE1290" w:rsidRPr="00EE1290" w:rsidRDefault="00EE1290" w:rsidP="00EE1290">
            <w:pPr>
              <w:jc w:val="center"/>
              <w:rPr>
                <w:rFonts w:ascii="Calibri" w:hAnsi="Calibri"/>
                <w:color w:val="000000"/>
                <w:sz w:val="22"/>
                <w:szCs w:val="22"/>
                <w:lang w:val="en-GB" w:eastAsia="en-GB"/>
              </w:rPr>
            </w:pPr>
            <w:r w:rsidRPr="00EE1290">
              <w:rPr>
                <w:rFonts w:ascii="Calibri" w:hAnsi="Calibri"/>
                <w:color w:val="000000"/>
                <w:sz w:val="22"/>
                <w:szCs w:val="22"/>
                <w:lang w:val="en-GB" w:eastAsia="en-GB"/>
              </w:rPr>
              <w:t>0.3a</w:t>
            </w:r>
          </w:p>
        </w:tc>
        <w:tc>
          <w:tcPr>
            <w:tcW w:w="845" w:type="dxa"/>
            <w:tcBorders>
              <w:top w:val="single" w:sz="4" w:space="0" w:color="auto"/>
              <w:left w:val="nil"/>
              <w:bottom w:val="nil"/>
              <w:right w:val="nil"/>
            </w:tcBorders>
            <w:shd w:val="clear" w:color="auto" w:fill="auto"/>
            <w:noWrap/>
            <w:vAlign w:val="bottom"/>
            <w:hideMark/>
          </w:tcPr>
          <w:p w:rsidR="00EE1290" w:rsidRPr="00EE1290" w:rsidRDefault="00EE1290" w:rsidP="00EE1290">
            <w:pPr>
              <w:jc w:val="center"/>
              <w:rPr>
                <w:rFonts w:ascii="Calibri" w:hAnsi="Calibri"/>
                <w:color w:val="808080"/>
                <w:sz w:val="22"/>
                <w:szCs w:val="22"/>
                <w:lang w:val="en-GB" w:eastAsia="en-GB"/>
              </w:rPr>
            </w:pPr>
            <w:r w:rsidRPr="00EE1290">
              <w:rPr>
                <w:rFonts w:ascii="Calibri" w:hAnsi="Calibri"/>
                <w:color w:val="808080"/>
                <w:sz w:val="22"/>
                <w:szCs w:val="22"/>
                <w:lang w:val="en-GB" w:eastAsia="en-GB"/>
              </w:rPr>
              <w:t>0.01</w:t>
            </w:r>
          </w:p>
        </w:tc>
        <w:tc>
          <w:tcPr>
            <w:tcW w:w="1075" w:type="dxa"/>
            <w:tcBorders>
              <w:top w:val="single" w:sz="4" w:space="0" w:color="auto"/>
              <w:left w:val="nil"/>
              <w:bottom w:val="nil"/>
              <w:right w:val="nil"/>
            </w:tcBorders>
            <w:shd w:val="clear" w:color="auto" w:fill="auto"/>
            <w:noWrap/>
            <w:vAlign w:val="bottom"/>
            <w:hideMark/>
          </w:tcPr>
          <w:p w:rsidR="00EE1290" w:rsidRPr="00EE1290" w:rsidRDefault="00EE1290" w:rsidP="00EE1290">
            <w:pPr>
              <w:jc w:val="center"/>
              <w:rPr>
                <w:rFonts w:ascii="Calibri" w:hAnsi="Calibri"/>
                <w:color w:val="000000"/>
                <w:sz w:val="22"/>
                <w:szCs w:val="22"/>
                <w:lang w:val="en-GB" w:eastAsia="en-GB"/>
              </w:rPr>
            </w:pPr>
            <w:r w:rsidRPr="00EE1290">
              <w:rPr>
                <w:rFonts w:ascii="Calibri" w:hAnsi="Calibri"/>
                <w:color w:val="000000"/>
                <w:sz w:val="22"/>
                <w:szCs w:val="22"/>
                <w:lang w:val="en-GB" w:eastAsia="en-GB"/>
              </w:rPr>
              <w:t>1.2b</w:t>
            </w:r>
          </w:p>
        </w:tc>
        <w:tc>
          <w:tcPr>
            <w:tcW w:w="845" w:type="dxa"/>
            <w:tcBorders>
              <w:top w:val="single" w:sz="4" w:space="0" w:color="auto"/>
              <w:left w:val="nil"/>
              <w:bottom w:val="nil"/>
              <w:right w:val="nil"/>
            </w:tcBorders>
            <w:shd w:val="clear" w:color="auto" w:fill="auto"/>
            <w:noWrap/>
            <w:vAlign w:val="bottom"/>
            <w:hideMark/>
          </w:tcPr>
          <w:p w:rsidR="00EE1290" w:rsidRPr="00EE1290" w:rsidRDefault="00EE1290" w:rsidP="00EE1290">
            <w:pPr>
              <w:jc w:val="center"/>
              <w:rPr>
                <w:rFonts w:ascii="Calibri" w:hAnsi="Calibri"/>
                <w:color w:val="808080"/>
                <w:sz w:val="22"/>
                <w:szCs w:val="22"/>
                <w:lang w:val="en-GB" w:eastAsia="en-GB"/>
              </w:rPr>
            </w:pPr>
            <w:r w:rsidRPr="00EE1290">
              <w:rPr>
                <w:rFonts w:ascii="Calibri" w:hAnsi="Calibri"/>
                <w:color w:val="808080"/>
                <w:sz w:val="22"/>
                <w:szCs w:val="22"/>
                <w:lang w:val="en-GB" w:eastAsia="en-GB"/>
              </w:rPr>
              <w:t>0.08</w:t>
            </w:r>
          </w:p>
        </w:tc>
        <w:tc>
          <w:tcPr>
            <w:tcW w:w="1615" w:type="dxa"/>
            <w:tcBorders>
              <w:top w:val="single" w:sz="4" w:space="0" w:color="auto"/>
              <w:left w:val="nil"/>
              <w:bottom w:val="nil"/>
              <w:right w:val="nil"/>
            </w:tcBorders>
            <w:shd w:val="clear" w:color="auto" w:fill="auto"/>
            <w:noWrap/>
            <w:vAlign w:val="bottom"/>
            <w:hideMark/>
          </w:tcPr>
          <w:p w:rsidR="00EE1290" w:rsidRPr="00EE1290" w:rsidRDefault="00EE1290" w:rsidP="00EE1290">
            <w:pPr>
              <w:rPr>
                <w:rFonts w:ascii="Calibri" w:hAnsi="Calibri"/>
                <w:color w:val="000000"/>
                <w:sz w:val="22"/>
                <w:szCs w:val="22"/>
                <w:lang w:val="en-GB" w:eastAsia="en-GB"/>
              </w:rPr>
            </w:pPr>
            <w:r w:rsidRPr="00EE1290">
              <w:rPr>
                <w:rFonts w:ascii="Calibri" w:hAnsi="Calibri"/>
                <w:color w:val="000000"/>
                <w:sz w:val="22"/>
                <w:szCs w:val="22"/>
                <w:lang w:val="en-GB" w:eastAsia="en-GB"/>
              </w:rPr>
              <w:t>F</w:t>
            </w:r>
            <w:r w:rsidRPr="00EE1290">
              <w:rPr>
                <w:rFonts w:ascii="Calibri" w:hAnsi="Calibri"/>
                <w:color w:val="000000"/>
                <w:sz w:val="22"/>
                <w:szCs w:val="22"/>
                <w:vertAlign w:val="subscript"/>
                <w:lang w:val="en-GB" w:eastAsia="en-GB"/>
              </w:rPr>
              <w:t>df1</w:t>
            </w:r>
            <w:r w:rsidRPr="00EE1290">
              <w:rPr>
                <w:rFonts w:ascii="Calibri" w:hAnsi="Calibri"/>
                <w:color w:val="000000"/>
                <w:sz w:val="22"/>
                <w:szCs w:val="22"/>
                <w:lang w:val="en-GB" w:eastAsia="en-GB"/>
              </w:rPr>
              <w:t xml:space="preserve"> = 143***</w:t>
            </w:r>
          </w:p>
        </w:tc>
        <w:tc>
          <w:tcPr>
            <w:tcW w:w="685" w:type="dxa"/>
            <w:tcBorders>
              <w:top w:val="single" w:sz="4" w:space="0" w:color="auto"/>
              <w:left w:val="nil"/>
              <w:bottom w:val="nil"/>
              <w:right w:val="nil"/>
            </w:tcBorders>
            <w:shd w:val="clear" w:color="auto" w:fill="auto"/>
            <w:noWrap/>
            <w:vAlign w:val="bottom"/>
            <w:hideMark/>
          </w:tcPr>
          <w:p w:rsidR="00EE1290" w:rsidRPr="00EE1290" w:rsidRDefault="00EE1290" w:rsidP="00EE1290">
            <w:pPr>
              <w:jc w:val="center"/>
              <w:rPr>
                <w:rFonts w:ascii="Calibri" w:hAnsi="Calibri"/>
                <w:color w:val="000000"/>
                <w:sz w:val="22"/>
                <w:szCs w:val="22"/>
                <w:lang w:val="en-GB" w:eastAsia="en-GB"/>
              </w:rPr>
            </w:pPr>
            <w:r w:rsidRPr="00EE1290">
              <w:rPr>
                <w:rFonts w:ascii="Calibri" w:hAnsi="Calibri"/>
                <w:color w:val="000000"/>
                <w:sz w:val="22"/>
                <w:szCs w:val="22"/>
                <w:lang w:val="en-GB" w:eastAsia="en-GB"/>
              </w:rPr>
              <w:t>ns</w:t>
            </w:r>
          </w:p>
        </w:tc>
      </w:tr>
      <w:tr w:rsidR="00EE1290" w:rsidRPr="00EE1290" w:rsidTr="00EE1290">
        <w:trPr>
          <w:trHeight w:val="360"/>
        </w:trPr>
        <w:tc>
          <w:tcPr>
            <w:tcW w:w="2080" w:type="dxa"/>
            <w:tcBorders>
              <w:top w:val="nil"/>
              <w:left w:val="nil"/>
              <w:bottom w:val="nil"/>
              <w:right w:val="nil"/>
            </w:tcBorders>
            <w:shd w:val="clear" w:color="auto" w:fill="auto"/>
            <w:noWrap/>
            <w:vAlign w:val="bottom"/>
            <w:hideMark/>
          </w:tcPr>
          <w:p w:rsidR="00EE1290" w:rsidRPr="00EE1290" w:rsidRDefault="00EE1290" w:rsidP="00EE1290">
            <w:pPr>
              <w:rPr>
                <w:rFonts w:ascii="Calibri" w:hAnsi="Calibri"/>
                <w:color w:val="000000"/>
                <w:sz w:val="22"/>
                <w:szCs w:val="22"/>
                <w:lang w:val="en-GB" w:eastAsia="en-GB"/>
              </w:rPr>
            </w:pPr>
          </w:p>
        </w:tc>
        <w:tc>
          <w:tcPr>
            <w:tcW w:w="960" w:type="dxa"/>
            <w:tcBorders>
              <w:top w:val="nil"/>
              <w:left w:val="nil"/>
              <w:bottom w:val="nil"/>
              <w:right w:val="nil"/>
            </w:tcBorders>
            <w:shd w:val="clear" w:color="auto" w:fill="auto"/>
            <w:noWrap/>
            <w:vAlign w:val="bottom"/>
            <w:hideMark/>
          </w:tcPr>
          <w:p w:rsidR="00EE1290" w:rsidRPr="00EE1290" w:rsidRDefault="00EE1290" w:rsidP="00EE1290">
            <w:pPr>
              <w:jc w:val="center"/>
              <w:rPr>
                <w:rFonts w:ascii="Calibri" w:hAnsi="Calibri"/>
                <w:color w:val="000000"/>
                <w:sz w:val="22"/>
                <w:szCs w:val="22"/>
                <w:lang w:val="en-GB" w:eastAsia="en-GB"/>
              </w:rPr>
            </w:pPr>
            <w:r w:rsidRPr="00EE1290">
              <w:rPr>
                <w:rFonts w:ascii="Calibri" w:hAnsi="Calibri"/>
                <w:color w:val="000000"/>
                <w:sz w:val="22"/>
                <w:szCs w:val="22"/>
                <w:lang w:val="en-GB" w:eastAsia="en-GB"/>
              </w:rPr>
              <w:t>2009</w:t>
            </w:r>
          </w:p>
        </w:tc>
        <w:tc>
          <w:tcPr>
            <w:tcW w:w="1075" w:type="dxa"/>
            <w:tcBorders>
              <w:top w:val="nil"/>
              <w:left w:val="nil"/>
              <w:bottom w:val="nil"/>
              <w:right w:val="nil"/>
            </w:tcBorders>
            <w:shd w:val="clear" w:color="auto" w:fill="auto"/>
            <w:noWrap/>
            <w:vAlign w:val="bottom"/>
            <w:hideMark/>
          </w:tcPr>
          <w:p w:rsidR="00EE1290" w:rsidRPr="00EE1290" w:rsidRDefault="00EE1290" w:rsidP="00EE1290">
            <w:pPr>
              <w:jc w:val="center"/>
              <w:rPr>
                <w:rFonts w:ascii="Calibri" w:hAnsi="Calibri"/>
                <w:color w:val="000000"/>
                <w:sz w:val="22"/>
                <w:szCs w:val="22"/>
                <w:lang w:val="en-GB" w:eastAsia="en-GB"/>
              </w:rPr>
            </w:pPr>
            <w:r w:rsidRPr="00EE1290">
              <w:rPr>
                <w:rFonts w:ascii="Calibri" w:hAnsi="Calibri"/>
                <w:color w:val="000000"/>
                <w:sz w:val="22"/>
                <w:szCs w:val="22"/>
                <w:lang w:val="en-GB" w:eastAsia="en-GB"/>
              </w:rPr>
              <w:t>0.5a</w:t>
            </w:r>
          </w:p>
        </w:tc>
        <w:tc>
          <w:tcPr>
            <w:tcW w:w="845" w:type="dxa"/>
            <w:tcBorders>
              <w:top w:val="nil"/>
              <w:left w:val="nil"/>
              <w:bottom w:val="nil"/>
              <w:right w:val="nil"/>
            </w:tcBorders>
            <w:shd w:val="clear" w:color="auto" w:fill="auto"/>
            <w:noWrap/>
            <w:vAlign w:val="bottom"/>
            <w:hideMark/>
          </w:tcPr>
          <w:p w:rsidR="00EE1290" w:rsidRPr="00EE1290" w:rsidRDefault="00EE1290" w:rsidP="00EE1290">
            <w:pPr>
              <w:jc w:val="center"/>
              <w:rPr>
                <w:rFonts w:ascii="Calibri" w:hAnsi="Calibri"/>
                <w:color w:val="808080"/>
                <w:sz w:val="22"/>
                <w:szCs w:val="22"/>
                <w:lang w:val="en-GB" w:eastAsia="en-GB"/>
              </w:rPr>
            </w:pPr>
            <w:r w:rsidRPr="00EE1290">
              <w:rPr>
                <w:rFonts w:ascii="Calibri" w:hAnsi="Calibri"/>
                <w:color w:val="808080"/>
                <w:sz w:val="22"/>
                <w:szCs w:val="22"/>
                <w:lang w:val="en-GB" w:eastAsia="en-GB"/>
              </w:rPr>
              <w:t>0.04</w:t>
            </w:r>
          </w:p>
        </w:tc>
        <w:tc>
          <w:tcPr>
            <w:tcW w:w="1075" w:type="dxa"/>
            <w:tcBorders>
              <w:top w:val="nil"/>
              <w:left w:val="nil"/>
              <w:bottom w:val="nil"/>
              <w:right w:val="nil"/>
            </w:tcBorders>
            <w:shd w:val="clear" w:color="auto" w:fill="auto"/>
            <w:noWrap/>
            <w:vAlign w:val="bottom"/>
            <w:hideMark/>
          </w:tcPr>
          <w:p w:rsidR="00EE1290" w:rsidRPr="00EE1290" w:rsidRDefault="00EE1290" w:rsidP="00EE1290">
            <w:pPr>
              <w:jc w:val="center"/>
              <w:rPr>
                <w:rFonts w:ascii="Calibri" w:hAnsi="Calibri"/>
                <w:color w:val="000000"/>
                <w:sz w:val="22"/>
                <w:szCs w:val="22"/>
                <w:lang w:val="en-GB" w:eastAsia="en-GB"/>
              </w:rPr>
            </w:pPr>
            <w:r w:rsidRPr="00EE1290">
              <w:rPr>
                <w:rFonts w:ascii="Calibri" w:hAnsi="Calibri"/>
                <w:color w:val="000000"/>
                <w:sz w:val="22"/>
                <w:szCs w:val="22"/>
                <w:lang w:val="en-GB" w:eastAsia="en-GB"/>
              </w:rPr>
              <w:t>2.4b</w:t>
            </w:r>
          </w:p>
        </w:tc>
        <w:tc>
          <w:tcPr>
            <w:tcW w:w="845" w:type="dxa"/>
            <w:tcBorders>
              <w:top w:val="nil"/>
              <w:left w:val="nil"/>
              <w:bottom w:val="nil"/>
              <w:right w:val="nil"/>
            </w:tcBorders>
            <w:shd w:val="clear" w:color="auto" w:fill="auto"/>
            <w:noWrap/>
            <w:vAlign w:val="bottom"/>
            <w:hideMark/>
          </w:tcPr>
          <w:p w:rsidR="00EE1290" w:rsidRPr="00EE1290" w:rsidRDefault="00EE1290" w:rsidP="00EE1290">
            <w:pPr>
              <w:jc w:val="center"/>
              <w:rPr>
                <w:rFonts w:ascii="Calibri" w:hAnsi="Calibri"/>
                <w:color w:val="808080"/>
                <w:sz w:val="22"/>
                <w:szCs w:val="22"/>
                <w:lang w:val="en-GB" w:eastAsia="en-GB"/>
              </w:rPr>
            </w:pPr>
            <w:r w:rsidRPr="00EE1290">
              <w:rPr>
                <w:rFonts w:ascii="Calibri" w:hAnsi="Calibri"/>
                <w:color w:val="808080"/>
                <w:sz w:val="22"/>
                <w:szCs w:val="22"/>
                <w:lang w:val="en-GB" w:eastAsia="en-GB"/>
              </w:rPr>
              <w:t>0.13</w:t>
            </w:r>
          </w:p>
        </w:tc>
        <w:tc>
          <w:tcPr>
            <w:tcW w:w="1615" w:type="dxa"/>
            <w:tcBorders>
              <w:top w:val="nil"/>
              <w:left w:val="nil"/>
              <w:bottom w:val="nil"/>
              <w:right w:val="nil"/>
            </w:tcBorders>
            <w:shd w:val="clear" w:color="auto" w:fill="auto"/>
            <w:noWrap/>
            <w:vAlign w:val="bottom"/>
            <w:hideMark/>
          </w:tcPr>
          <w:p w:rsidR="00EE1290" w:rsidRPr="00EE1290" w:rsidRDefault="00EE1290" w:rsidP="00EE1290">
            <w:pPr>
              <w:rPr>
                <w:rFonts w:ascii="Calibri" w:hAnsi="Calibri"/>
                <w:color w:val="000000"/>
                <w:sz w:val="22"/>
                <w:szCs w:val="22"/>
                <w:lang w:val="en-GB" w:eastAsia="en-GB"/>
              </w:rPr>
            </w:pPr>
            <w:r w:rsidRPr="00EE1290">
              <w:rPr>
                <w:rFonts w:ascii="Calibri" w:hAnsi="Calibri"/>
                <w:color w:val="000000"/>
                <w:sz w:val="22"/>
                <w:szCs w:val="22"/>
                <w:lang w:val="en-GB" w:eastAsia="en-GB"/>
              </w:rPr>
              <w:t>F</w:t>
            </w:r>
            <w:r w:rsidRPr="00EE1290">
              <w:rPr>
                <w:rFonts w:ascii="Calibri" w:hAnsi="Calibri"/>
                <w:color w:val="000000"/>
                <w:sz w:val="22"/>
                <w:szCs w:val="22"/>
                <w:vertAlign w:val="subscript"/>
                <w:lang w:val="en-GB" w:eastAsia="en-GB"/>
              </w:rPr>
              <w:t>df1</w:t>
            </w:r>
            <w:r w:rsidRPr="00EE1290">
              <w:rPr>
                <w:rFonts w:ascii="Calibri" w:hAnsi="Calibri"/>
                <w:color w:val="000000"/>
                <w:sz w:val="22"/>
                <w:szCs w:val="22"/>
                <w:lang w:val="en-GB" w:eastAsia="en-GB"/>
              </w:rPr>
              <w:t xml:space="preserve"> = 218***</w:t>
            </w:r>
          </w:p>
        </w:tc>
        <w:tc>
          <w:tcPr>
            <w:tcW w:w="685" w:type="dxa"/>
            <w:tcBorders>
              <w:top w:val="nil"/>
              <w:left w:val="nil"/>
              <w:bottom w:val="nil"/>
              <w:right w:val="nil"/>
            </w:tcBorders>
            <w:shd w:val="clear" w:color="auto" w:fill="auto"/>
            <w:noWrap/>
            <w:vAlign w:val="bottom"/>
            <w:hideMark/>
          </w:tcPr>
          <w:p w:rsidR="00EE1290" w:rsidRPr="00EE1290" w:rsidRDefault="00EE1290" w:rsidP="00EE1290">
            <w:pPr>
              <w:jc w:val="center"/>
              <w:rPr>
                <w:rFonts w:ascii="Calibri" w:hAnsi="Calibri"/>
                <w:color w:val="000000"/>
                <w:sz w:val="22"/>
                <w:szCs w:val="22"/>
                <w:lang w:val="en-GB" w:eastAsia="en-GB"/>
              </w:rPr>
            </w:pPr>
            <w:r w:rsidRPr="00EE1290">
              <w:rPr>
                <w:rFonts w:ascii="Calibri" w:hAnsi="Calibri"/>
                <w:color w:val="000000"/>
                <w:sz w:val="22"/>
                <w:szCs w:val="22"/>
                <w:lang w:val="en-GB" w:eastAsia="en-GB"/>
              </w:rPr>
              <w:t>ns</w:t>
            </w:r>
          </w:p>
        </w:tc>
      </w:tr>
      <w:tr w:rsidR="00EE1290" w:rsidRPr="00EE1290" w:rsidTr="00EE1290">
        <w:trPr>
          <w:trHeight w:val="360"/>
        </w:trPr>
        <w:tc>
          <w:tcPr>
            <w:tcW w:w="2080" w:type="dxa"/>
            <w:tcBorders>
              <w:top w:val="nil"/>
              <w:left w:val="nil"/>
              <w:bottom w:val="nil"/>
              <w:right w:val="nil"/>
            </w:tcBorders>
            <w:shd w:val="clear" w:color="auto" w:fill="auto"/>
            <w:noWrap/>
            <w:vAlign w:val="bottom"/>
            <w:hideMark/>
          </w:tcPr>
          <w:p w:rsidR="00EE1290" w:rsidRPr="00EE1290" w:rsidRDefault="00EE1290" w:rsidP="00EE1290">
            <w:pPr>
              <w:rPr>
                <w:rFonts w:ascii="Calibri" w:hAnsi="Calibri"/>
                <w:color w:val="000000"/>
                <w:sz w:val="22"/>
                <w:szCs w:val="22"/>
                <w:lang w:val="en-GB" w:eastAsia="en-GB"/>
              </w:rPr>
            </w:pPr>
          </w:p>
        </w:tc>
        <w:tc>
          <w:tcPr>
            <w:tcW w:w="960" w:type="dxa"/>
            <w:tcBorders>
              <w:top w:val="nil"/>
              <w:left w:val="nil"/>
              <w:bottom w:val="nil"/>
              <w:right w:val="nil"/>
            </w:tcBorders>
            <w:shd w:val="clear" w:color="auto" w:fill="auto"/>
            <w:noWrap/>
            <w:vAlign w:val="bottom"/>
            <w:hideMark/>
          </w:tcPr>
          <w:p w:rsidR="00EE1290" w:rsidRPr="00EE1290" w:rsidRDefault="00EE1290" w:rsidP="00EE1290">
            <w:pPr>
              <w:jc w:val="center"/>
              <w:rPr>
                <w:rFonts w:ascii="Calibri" w:hAnsi="Calibri"/>
                <w:color w:val="000000"/>
                <w:sz w:val="22"/>
                <w:szCs w:val="22"/>
                <w:lang w:val="en-GB" w:eastAsia="en-GB"/>
              </w:rPr>
            </w:pPr>
            <w:r w:rsidRPr="00EE1290">
              <w:rPr>
                <w:rFonts w:ascii="Calibri" w:hAnsi="Calibri"/>
                <w:color w:val="000000"/>
                <w:sz w:val="22"/>
                <w:szCs w:val="22"/>
                <w:lang w:val="en-GB" w:eastAsia="en-GB"/>
              </w:rPr>
              <w:t>2010</w:t>
            </w:r>
          </w:p>
        </w:tc>
        <w:tc>
          <w:tcPr>
            <w:tcW w:w="1075" w:type="dxa"/>
            <w:tcBorders>
              <w:top w:val="nil"/>
              <w:left w:val="nil"/>
              <w:bottom w:val="nil"/>
              <w:right w:val="nil"/>
            </w:tcBorders>
            <w:shd w:val="clear" w:color="auto" w:fill="auto"/>
            <w:noWrap/>
            <w:vAlign w:val="bottom"/>
            <w:hideMark/>
          </w:tcPr>
          <w:p w:rsidR="00EE1290" w:rsidRPr="00EE1290" w:rsidRDefault="00EE1290" w:rsidP="00EE1290">
            <w:pPr>
              <w:jc w:val="center"/>
              <w:rPr>
                <w:rFonts w:ascii="Calibri" w:hAnsi="Calibri"/>
                <w:color w:val="000000"/>
                <w:sz w:val="22"/>
                <w:szCs w:val="22"/>
                <w:lang w:val="en-GB" w:eastAsia="en-GB"/>
              </w:rPr>
            </w:pPr>
            <w:r w:rsidRPr="00EE1290">
              <w:rPr>
                <w:rFonts w:ascii="Calibri" w:hAnsi="Calibri"/>
                <w:color w:val="000000"/>
                <w:sz w:val="22"/>
                <w:szCs w:val="22"/>
                <w:lang w:val="en-GB" w:eastAsia="en-GB"/>
              </w:rPr>
              <w:t>1.5a</w:t>
            </w:r>
          </w:p>
        </w:tc>
        <w:tc>
          <w:tcPr>
            <w:tcW w:w="845" w:type="dxa"/>
            <w:tcBorders>
              <w:top w:val="nil"/>
              <w:left w:val="nil"/>
              <w:bottom w:val="nil"/>
              <w:right w:val="nil"/>
            </w:tcBorders>
            <w:shd w:val="clear" w:color="auto" w:fill="auto"/>
            <w:noWrap/>
            <w:vAlign w:val="bottom"/>
            <w:hideMark/>
          </w:tcPr>
          <w:p w:rsidR="00EE1290" w:rsidRPr="00EE1290" w:rsidRDefault="00EE1290" w:rsidP="00EE1290">
            <w:pPr>
              <w:jc w:val="center"/>
              <w:rPr>
                <w:rFonts w:ascii="Calibri" w:hAnsi="Calibri"/>
                <w:color w:val="808080"/>
                <w:sz w:val="22"/>
                <w:szCs w:val="22"/>
                <w:lang w:val="en-GB" w:eastAsia="en-GB"/>
              </w:rPr>
            </w:pPr>
            <w:r w:rsidRPr="00EE1290">
              <w:rPr>
                <w:rFonts w:ascii="Calibri" w:hAnsi="Calibri"/>
                <w:color w:val="808080"/>
                <w:sz w:val="22"/>
                <w:szCs w:val="22"/>
                <w:lang w:val="en-GB" w:eastAsia="en-GB"/>
              </w:rPr>
              <w:t>0.22</w:t>
            </w:r>
          </w:p>
        </w:tc>
        <w:tc>
          <w:tcPr>
            <w:tcW w:w="1075" w:type="dxa"/>
            <w:tcBorders>
              <w:top w:val="nil"/>
              <w:left w:val="nil"/>
              <w:bottom w:val="nil"/>
              <w:right w:val="nil"/>
            </w:tcBorders>
            <w:shd w:val="clear" w:color="auto" w:fill="auto"/>
            <w:noWrap/>
            <w:vAlign w:val="bottom"/>
            <w:hideMark/>
          </w:tcPr>
          <w:p w:rsidR="00EE1290" w:rsidRPr="00EE1290" w:rsidRDefault="00EE1290" w:rsidP="00EE1290">
            <w:pPr>
              <w:jc w:val="center"/>
              <w:rPr>
                <w:rFonts w:ascii="Calibri" w:hAnsi="Calibri"/>
                <w:color w:val="000000"/>
                <w:sz w:val="22"/>
                <w:szCs w:val="22"/>
                <w:lang w:val="en-GB" w:eastAsia="en-GB"/>
              </w:rPr>
            </w:pPr>
            <w:r w:rsidRPr="00EE1290">
              <w:rPr>
                <w:rFonts w:ascii="Calibri" w:hAnsi="Calibri"/>
                <w:color w:val="000000"/>
                <w:sz w:val="22"/>
                <w:szCs w:val="22"/>
                <w:lang w:val="en-GB" w:eastAsia="en-GB"/>
              </w:rPr>
              <w:t>3.3b</w:t>
            </w:r>
          </w:p>
        </w:tc>
        <w:tc>
          <w:tcPr>
            <w:tcW w:w="845" w:type="dxa"/>
            <w:tcBorders>
              <w:top w:val="nil"/>
              <w:left w:val="nil"/>
              <w:bottom w:val="nil"/>
              <w:right w:val="nil"/>
            </w:tcBorders>
            <w:shd w:val="clear" w:color="auto" w:fill="auto"/>
            <w:noWrap/>
            <w:vAlign w:val="bottom"/>
            <w:hideMark/>
          </w:tcPr>
          <w:p w:rsidR="00EE1290" w:rsidRPr="00EE1290" w:rsidRDefault="00EE1290" w:rsidP="00EE1290">
            <w:pPr>
              <w:jc w:val="center"/>
              <w:rPr>
                <w:rFonts w:ascii="Calibri" w:hAnsi="Calibri"/>
                <w:color w:val="808080"/>
                <w:sz w:val="22"/>
                <w:szCs w:val="22"/>
                <w:lang w:val="en-GB" w:eastAsia="en-GB"/>
              </w:rPr>
            </w:pPr>
            <w:r w:rsidRPr="00EE1290">
              <w:rPr>
                <w:rFonts w:ascii="Calibri" w:hAnsi="Calibri"/>
                <w:color w:val="808080"/>
                <w:sz w:val="22"/>
                <w:szCs w:val="22"/>
                <w:lang w:val="en-GB" w:eastAsia="en-GB"/>
              </w:rPr>
              <w:t>0.13</w:t>
            </w:r>
          </w:p>
        </w:tc>
        <w:tc>
          <w:tcPr>
            <w:tcW w:w="1615" w:type="dxa"/>
            <w:tcBorders>
              <w:top w:val="nil"/>
              <w:left w:val="nil"/>
              <w:bottom w:val="nil"/>
              <w:right w:val="nil"/>
            </w:tcBorders>
            <w:shd w:val="clear" w:color="auto" w:fill="auto"/>
            <w:noWrap/>
            <w:vAlign w:val="bottom"/>
            <w:hideMark/>
          </w:tcPr>
          <w:p w:rsidR="00EE1290" w:rsidRPr="00EE1290" w:rsidRDefault="00EE1290" w:rsidP="00EE1290">
            <w:pPr>
              <w:rPr>
                <w:rFonts w:ascii="Calibri" w:hAnsi="Calibri"/>
                <w:color w:val="000000"/>
                <w:sz w:val="22"/>
                <w:szCs w:val="22"/>
                <w:lang w:val="en-GB" w:eastAsia="en-GB"/>
              </w:rPr>
            </w:pPr>
            <w:r w:rsidRPr="00EE1290">
              <w:rPr>
                <w:rFonts w:ascii="Calibri" w:hAnsi="Calibri"/>
                <w:color w:val="000000"/>
                <w:sz w:val="22"/>
                <w:szCs w:val="22"/>
                <w:lang w:val="en-GB" w:eastAsia="en-GB"/>
              </w:rPr>
              <w:t>F</w:t>
            </w:r>
            <w:r w:rsidRPr="00EE1290">
              <w:rPr>
                <w:rFonts w:ascii="Calibri" w:hAnsi="Calibri"/>
                <w:color w:val="000000"/>
                <w:sz w:val="22"/>
                <w:szCs w:val="22"/>
                <w:vertAlign w:val="subscript"/>
                <w:lang w:val="en-GB" w:eastAsia="en-GB"/>
              </w:rPr>
              <w:t>df1</w:t>
            </w:r>
            <w:r w:rsidRPr="00EE1290">
              <w:rPr>
                <w:rFonts w:ascii="Calibri" w:hAnsi="Calibri"/>
                <w:color w:val="000000"/>
                <w:sz w:val="22"/>
                <w:szCs w:val="22"/>
                <w:lang w:val="en-GB" w:eastAsia="en-GB"/>
              </w:rPr>
              <w:t xml:space="preserve"> = 26**</w:t>
            </w:r>
          </w:p>
        </w:tc>
        <w:tc>
          <w:tcPr>
            <w:tcW w:w="685" w:type="dxa"/>
            <w:tcBorders>
              <w:top w:val="nil"/>
              <w:left w:val="nil"/>
              <w:bottom w:val="nil"/>
              <w:right w:val="nil"/>
            </w:tcBorders>
            <w:shd w:val="clear" w:color="auto" w:fill="auto"/>
            <w:noWrap/>
            <w:vAlign w:val="bottom"/>
            <w:hideMark/>
          </w:tcPr>
          <w:p w:rsidR="00EE1290" w:rsidRPr="00EE1290" w:rsidRDefault="00EE1290" w:rsidP="00EE1290">
            <w:pPr>
              <w:jc w:val="center"/>
              <w:rPr>
                <w:rFonts w:ascii="Calibri" w:hAnsi="Calibri"/>
                <w:color w:val="000000"/>
                <w:sz w:val="22"/>
                <w:szCs w:val="22"/>
                <w:lang w:val="en-GB" w:eastAsia="en-GB"/>
              </w:rPr>
            </w:pPr>
            <w:r w:rsidRPr="00EE1290">
              <w:rPr>
                <w:rFonts w:ascii="Calibri" w:hAnsi="Calibri"/>
                <w:color w:val="000000"/>
                <w:sz w:val="22"/>
                <w:szCs w:val="22"/>
                <w:lang w:val="en-GB" w:eastAsia="en-GB"/>
              </w:rPr>
              <w:t>ns</w:t>
            </w:r>
          </w:p>
        </w:tc>
      </w:tr>
      <w:tr w:rsidR="00EE1290" w:rsidRPr="00EE1290" w:rsidTr="00EE1290">
        <w:trPr>
          <w:trHeight w:val="360"/>
        </w:trPr>
        <w:tc>
          <w:tcPr>
            <w:tcW w:w="2080" w:type="dxa"/>
            <w:tcBorders>
              <w:top w:val="nil"/>
              <w:left w:val="nil"/>
              <w:bottom w:val="nil"/>
              <w:right w:val="nil"/>
            </w:tcBorders>
            <w:shd w:val="clear" w:color="auto" w:fill="auto"/>
            <w:noWrap/>
            <w:vAlign w:val="bottom"/>
            <w:hideMark/>
          </w:tcPr>
          <w:p w:rsidR="00EE1290" w:rsidRPr="00EE1290" w:rsidRDefault="00EE1290" w:rsidP="00EE1290">
            <w:pPr>
              <w:rPr>
                <w:rFonts w:ascii="Calibri" w:hAnsi="Calibri"/>
                <w:color w:val="000000"/>
                <w:sz w:val="22"/>
                <w:szCs w:val="22"/>
                <w:lang w:val="en-GB" w:eastAsia="en-GB"/>
              </w:rPr>
            </w:pPr>
            <w:r w:rsidRPr="00EE1290">
              <w:rPr>
                <w:rFonts w:ascii="Calibri" w:hAnsi="Calibri"/>
                <w:color w:val="000000"/>
                <w:sz w:val="22"/>
                <w:szCs w:val="22"/>
                <w:lang w:val="en-GB" w:eastAsia="en-GB"/>
              </w:rPr>
              <w:t>LAI (mesocosms)</w:t>
            </w:r>
          </w:p>
        </w:tc>
        <w:tc>
          <w:tcPr>
            <w:tcW w:w="960" w:type="dxa"/>
            <w:tcBorders>
              <w:top w:val="nil"/>
              <w:left w:val="nil"/>
              <w:bottom w:val="nil"/>
              <w:right w:val="nil"/>
            </w:tcBorders>
            <w:shd w:val="clear" w:color="auto" w:fill="auto"/>
            <w:noWrap/>
            <w:vAlign w:val="bottom"/>
            <w:hideMark/>
          </w:tcPr>
          <w:p w:rsidR="00EE1290" w:rsidRPr="00EE1290" w:rsidRDefault="00EE1290" w:rsidP="00EE1290">
            <w:pPr>
              <w:jc w:val="center"/>
              <w:rPr>
                <w:rFonts w:ascii="Calibri" w:hAnsi="Calibri"/>
                <w:color w:val="000000"/>
                <w:sz w:val="22"/>
                <w:szCs w:val="22"/>
                <w:lang w:val="en-GB" w:eastAsia="en-GB"/>
              </w:rPr>
            </w:pPr>
            <w:r w:rsidRPr="00EE1290">
              <w:rPr>
                <w:rFonts w:ascii="Calibri" w:hAnsi="Calibri"/>
                <w:color w:val="000000"/>
                <w:sz w:val="22"/>
                <w:szCs w:val="22"/>
                <w:lang w:val="en-GB" w:eastAsia="en-GB"/>
              </w:rPr>
              <w:t>2009</w:t>
            </w:r>
          </w:p>
        </w:tc>
        <w:tc>
          <w:tcPr>
            <w:tcW w:w="1075" w:type="dxa"/>
            <w:tcBorders>
              <w:top w:val="nil"/>
              <w:left w:val="nil"/>
              <w:bottom w:val="nil"/>
              <w:right w:val="nil"/>
            </w:tcBorders>
            <w:shd w:val="clear" w:color="auto" w:fill="auto"/>
            <w:noWrap/>
            <w:vAlign w:val="bottom"/>
            <w:hideMark/>
          </w:tcPr>
          <w:p w:rsidR="00EE1290" w:rsidRPr="00EE1290" w:rsidRDefault="00EE1290" w:rsidP="00EE1290">
            <w:pPr>
              <w:jc w:val="center"/>
              <w:rPr>
                <w:rFonts w:ascii="Calibri" w:hAnsi="Calibri"/>
                <w:color w:val="000000"/>
                <w:sz w:val="22"/>
                <w:szCs w:val="22"/>
                <w:lang w:val="en-GB" w:eastAsia="en-GB"/>
              </w:rPr>
            </w:pPr>
            <w:r w:rsidRPr="00EE1290">
              <w:rPr>
                <w:rFonts w:ascii="Calibri" w:hAnsi="Calibri"/>
                <w:color w:val="000000"/>
                <w:sz w:val="22"/>
                <w:szCs w:val="22"/>
                <w:lang w:val="en-GB" w:eastAsia="en-GB"/>
              </w:rPr>
              <w:t>0.5a</w:t>
            </w:r>
          </w:p>
        </w:tc>
        <w:tc>
          <w:tcPr>
            <w:tcW w:w="845" w:type="dxa"/>
            <w:tcBorders>
              <w:top w:val="nil"/>
              <w:left w:val="nil"/>
              <w:bottom w:val="nil"/>
              <w:right w:val="nil"/>
            </w:tcBorders>
            <w:shd w:val="clear" w:color="auto" w:fill="auto"/>
            <w:noWrap/>
            <w:vAlign w:val="bottom"/>
            <w:hideMark/>
          </w:tcPr>
          <w:p w:rsidR="00EE1290" w:rsidRPr="00EE1290" w:rsidRDefault="00EE1290" w:rsidP="00EE1290">
            <w:pPr>
              <w:jc w:val="center"/>
              <w:rPr>
                <w:rFonts w:ascii="Calibri" w:hAnsi="Calibri"/>
                <w:color w:val="808080"/>
                <w:sz w:val="22"/>
                <w:szCs w:val="22"/>
                <w:lang w:val="en-GB" w:eastAsia="en-GB"/>
              </w:rPr>
            </w:pPr>
            <w:r w:rsidRPr="00EE1290">
              <w:rPr>
                <w:rFonts w:ascii="Calibri" w:hAnsi="Calibri"/>
                <w:color w:val="808080"/>
                <w:sz w:val="22"/>
                <w:szCs w:val="22"/>
                <w:lang w:val="en-GB" w:eastAsia="en-GB"/>
              </w:rPr>
              <w:t>0.03</w:t>
            </w:r>
          </w:p>
        </w:tc>
        <w:tc>
          <w:tcPr>
            <w:tcW w:w="1075" w:type="dxa"/>
            <w:tcBorders>
              <w:top w:val="nil"/>
              <w:left w:val="nil"/>
              <w:bottom w:val="nil"/>
              <w:right w:val="nil"/>
            </w:tcBorders>
            <w:shd w:val="clear" w:color="auto" w:fill="auto"/>
            <w:noWrap/>
            <w:vAlign w:val="bottom"/>
            <w:hideMark/>
          </w:tcPr>
          <w:p w:rsidR="00EE1290" w:rsidRPr="00EE1290" w:rsidRDefault="00EE1290" w:rsidP="00EE1290">
            <w:pPr>
              <w:jc w:val="center"/>
              <w:rPr>
                <w:rFonts w:ascii="Calibri" w:hAnsi="Calibri"/>
                <w:color w:val="000000"/>
                <w:sz w:val="22"/>
                <w:szCs w:val="22"/>
                <w:lang w:val="en-GB" w:eastAsia="en-GB"/>
              </w:rPr>
            </w:pPr>
            <w:r w:rsidRPr="00EE1290">
              <w:rPr>
                <w:rFonts w:ascii="Calibri" w:hAnsi="Calibri"/>
                <w:color w:val="000000"/>
                <w:sz w:val="22"/>
                <w:szCs w:val="22"/>
                <w:lang w:val="en-GB" w:eastAsia="en-GB"/>
              </w:rPr>
              <w:t>1.2b</w:t>
            </w:r>
          </w:p>
        </w:tc>
        <w:tc>
          <w:tcPr>
            <w:tcW w:w="845" w:type="dxa"/>
            <w:tcBorders>
              <w:top w:val="nil"/>
              <w:left w:val="nil"/>
              <w:bottom w:val="nil"/>
              <w:right w:val="nil"/>
            </w:tcBorders>
            <w:shd w:val="clear" w:color="auto" w:fill="auto"/>
            <w:noWrap/>
            <w:vAlign w:val="bottom"/>
            <w:hideMark/>
          </w:tcPr>
          <w:p w:rsidR="00EE1290" w:rsidRPr="00EE1290" w:rsidRDefault="00EE1290" w:rsidP="00EE1290">
            <w:pPr>
              <w:jc w:val="center"/>
              <w:rPr>
                <w:rFonts w:ascii="Calibri" w:hAnsi="Calibri"/>
                <w:color w:val="808080"/>
                <w:sz w:val="22"/>
                <w:szCs w:val="22"/>
                <w:lang w:val="en-GB" w:eastAsia="en-GB"/>
              </w:rPr>
            </w:pPr>
            <w:r w:rsidRPr="00EE1290">
              <w:rPr>
                <w:rFonts w:ascii="Calibri" w:hAnsi="Calibri"/>
                <w:color w:val="808080"/>
                <w:sz w:val="22"/>
                <w:szCs w:val="22"/>
                <w:lang w:val="en-GB" w:eastAsia="en-GB"/>
              </w:rPr>
              <w:t>0.10</w:t>
            </w:r>
          </w:p>
        </w:tc>
        <w:tc>
          <w:tcPr>
            <w:tcW w:w="1615" w:type="dxa"/>
            <w:tcBorders>
              <w:top w:val="nil"/>
              <w:left w:val="nil"/>
              <w:bottom w:val="nil"/>
              <w:right w:val="nil"/>
            </w:tcBorders>
            <w:shd w:val="clear" w:color="auto" w:fill="auto"/>
            <w:noWrap/>
            <w:vAlign w:val="bottom"/>
            <w:hideMark/>
          </w:tcPr>
          <w:p w:rsidR="00EE1290" w:rsidRPr="00EE1290" w:rsidRDefault="00EE1290" w:rsidP="00EE1290">
            <w:pPr>
              <w:rPr>
                <w:rFonts w:ascii="Calibri" w:hAnsi="Calibri"/>
                <w:color w:val="000000"/>
                <w:sz w:val="22"/>
                <w:szCs w:val="22"/>
                <w:lang w:val="en-GB" w:eastAsia="en-GB"/>
              </w:rPr>
            </w:pPr>
            <w:r w:rsidRPr="00EE1290">
              <w:rPr>
                <w:rFonts w:ascii="Calibri" w:hAnsi="Calibri"/>
                <w:color w:val="000000"/>
                <w:sz w:val="22"/>
                <w:szCs w:val="22"/>
                <w:lang w:val="en-GB" w:eastAsia="en-GB"/>
              </w:rPr>
              <w:t>F</w:t>
            </w:r>
            <w:r w:rsidRPr="00EE1290">
              <w:rPr>
                <w:rFonts w:ascii="Calibri" w:hAnsi="Calibri"/>
                <w:color w:val="000000"/>
                <w:sz w:val="22"/>
                <w:szCs w:val="22"/>
                <w:vertAlign w:val="subscript"/>
                <w:lang w:val="en-GB" w:eastAsia="en-GB"/>
              </w:rPr>
              <w:t>df1</w:t>
            </w:r>
            <w:r w:rsidRPr="00EE1290">
              <w:rPr>
                <w:rFonts w:ascii="Calibri" w:hAnsi="Calibri"/>
                <w:color w:val="000000"/>
                <w:sz w:val="22"/>
                <w:szCs w:val="22"/>
                <w:lang w:val="en-GB" w:eastAsia="en-GB"/>
              </w:rPr>
              <w:t xml:space="preserve"> = 41**</w:t>
            </w:r>
          </w:p>
        </w:tc>
        <w:tc>
          <w:tcPr>
            <w:tcW w:w="685" w:type="dxa"/>
            <w:tcBorders>
              <w:top w:val="nil"/>
              <w:left w:val="nil"/>
              <w:bottom w:val="nil"/>
              <w:right w:val="nil"/>
            </w:tcBorders>
            <w:shd w:val="clear" w:color="auto" w:fill="auto"/>
            <w:noWrap/>
            <w:vAlign w:val="bottom"/>
            <w:hideMark/>
          </w:tcPr>
          <w:p w:rsidR="00EE1290" w:rsidRPr="00EE1290" w:rsidRDefault="00EE1290" w:rsidP="00EE1290">
            <w:pPr>
              <w:jc w:val="center"/>
              <w:rPr>
                <w:rFonts w:ascii="Calibri" w:hAnsi="Calibri"/>
                <w:color w:val="000000"/>
                <w:sz w:val="22"/>
                <w:szCs w:val="22"/>
                <w:lang w:val="en-GB" w:eastAsia="en-GB"/>
              </w:rPr>
            </w:pPr>
            <w:r w:rsidRPr="00EE1290">
              <w:rPr>
                <w:rFonts w:ascii="Calibri" w:hAnsi="Calibri"/>
                <w:color w:val="000000"/>
                <w:sz w:val="22"/>
                <w:szCs w:val="22"/>
                <w:lang w:val="en-GB" w:eastAsia="en-GB"/>
              </w:rPr>
              <w:t>ns</w:t>
            </w:r>
          </w:p>
        </w:tc>
      </w:tr>
      <w:tr w:rsidR="00EE1290" w:rsidRPr="00EE1290" w:rsidTr="00EE1290">
        <w:trPr>
          <w:trHeight w:val="360"/>
        </w:trPr>
        <w:tc>
          <w:tcPr>
            <w:tcW w:w="2080" w:type="dxa"/>
            <w:tcBorders>
              <w:top w:val="nil"/>
              <w:left w:val="nil"/>
              <w:bottom w:val="single" w:sz="4" w:space="0" w:color="auto"/>
              <w:right w:val="nil"/>
            </w:tcBorders>
            <w:shd w:val="clear" w:color="auto" w:fill="auto"/>
            <w:noWrap/>
            <w:vAlign w:val="bottom"/>
            <w:hideMark/>
          </w:tcPr>
          <w:p w:rsidR="00EE1290" w:rsidRPr="00EE1290" w:rsidRDefault="00EE1290" w:rsidP="00EE1290">
            <w:pPr>
              <w:rPr>
                <w:rFonts w:ascii="Calibri" w:hAnsi="Calibri"/>
                <w:color w:val="000000"/>
                <w:sz w:val="22"/>
                <w:szCs w:val="22"/>
                <w:lang w:val="en-GB" w:eastAsia="en-GB"/>
              </w:rPr>
            </w:pPr>
            <w:r w:rsidRPr="00EE1290">
              <w:rPr>
                <w:rFonts w:ascii="Calibri" w:hAnsi="Calibri"/>
                <w:color w:val="000000"/>
                <w:sz w:val="22"/>
                <w:szCs w:val="22"/>
                <w:lang w:val="en-GB" w:eastAsia="en-GB"/>
              </w:rPr>
              <w:t> </w:t>
            </w:r>
          </w:p>
        </w:tc>
        <w:tc>
          <w:tcPr>
            <w:tcW w:w="960" w:type="dxa"/>
            <w:tcBorders>
              <w:top w:val="nil"/>
              <w:left w:val="nil"/>
              <w:bottom w:val="single" w:sz="4" w:space="0" w:color="auto"/>
              <w:right w:val="nil"/>
            </w:tcBorders>
            <w:shd w:val="clear" w:color="auto" w:fill="auto"/>
            <w:noWrap/>
            <w:vAlign w:val="bottom"/>
            <w:hideMark/>
          </w:tcPr>
          <w:p w:rsidR="00EE1290" w:rsidRPr="00EE1290" w:rsidRDefault="00EE1290" w:rsidP="00EE1290">
            <w:pPr>
              <w:jc w:val="center"/>
              <w:rPr>
                <w:rFonts w:ascii="Calibri" w:hAnsi="Calibri"/>
                <w:color w:val="000000"/>
                <w:sz w:val="22"/>
                <w:szCs w:val="22"/>
                <w:lang w:val="en-GB" w:eastAsia="en-GB"/>
              </w:rPr>
            </w:pPr>
            <w:r w:rsidRPr="00EE1290">
              <w:rPr>
                <w:rFonts w:ascii="Calibri" w:hAnsi="Calibri"/>
                <w:color w:val="000000"/>
                <w:sz w:val="22"/>
                <w:szCs w:val="22"/>
                <w:lang w:val="en-GB" w:eastAsia="en-GB"/>
              </w:rPr>
              <w:t>2010</w:t>
            </w:r>
          </w:p>
        </w:tc>
        <w:tc>
          <w:tcPr>
            <w:tcW w:w="1075" w:type="dxa"/>
            <w:tcBorders>
              <w:top w:val="nil"/>
              <w:left w:val="nil"/>
              <w:bottom w:val="single" w:sz="4" w:space="0" w:color="auto"/>
              <w:right w:val="nil"/>
            </w:tcBorders>
            <w:shd w:val="clear" w:color="auto" w:fill="auto"/>
            <w:noWrap/>
            <w:vAlign w:val="bottom"/>
            <w:hideMark/>
          </w:tcPr>
          <w:p w:rsidR="00EE1290" w:rsidRPr="00EE1290" w:rsidRDefault="00EE1290" w:rsidP="00EE1290">
            <w:pPr>
              <w:jc w:val="center"/>
              <w:rPr>
                <w:rFonts w:ascii="Calibri" w:hAnsi="Calibri"/>
                <w:color w:val="000000"/>
                <w:sz w:val="22"/>
                <w:szCs w:val="22"/>
                <w:lang w:val="en-GB" w:eastAsia="en-GB"/>
              </w:rPr>
            </w:pPr>
            <w:r w:rsidRPr="00EE1290">
              <w:rPr>
                <w:rFonts w:ascii="Calibri" w:hAnsi="Calibri"/>
                <w:color w:val="000000"/>
                <w:sz w:val="22"/>
                <w:szCs w:val="22"/>
                <w:lang w:val="en-GB" w:eastAsia="en-GB"/>
              </w:rPr>
              <w:t>0.9a</w:t>
            </w:r>
          </w:p>
        </w:tc>
        <w:tc>
          <w:tcPr>
            <w:tcW w:w="845" w:type="dxa"/>
            <w:tcBorders>
              <w:top w:val="nil"/>
              <w:left w:val="nil"/>
              <w:bottom w:val="single" w:sz="4" w:space="0" w:color="auto"/>
              <w:right w:val="nil"/>
            </w:tcBorders>
            <w:shd w:val="clear" w:color="auto" w:fill="auto"/>
            <w:noWrap/>
            <w:vAlign w:val="bottom"/>
            <w:hideMark/>
          </w:tcPr>
          <w:p w:rsidR="00EE1290" w:rsidRPr="00EE1290" w:rsidRDefault="00EE1290" w:rsidP="00EE1290">
            <w:pPr>
              <w:jc w:val="center"/>
              <w:rPr>
                <w:rFonts w:ascii="Calibri" w:hAnsi="Calibri"/>
                <w:color w:val="808080"/>
                <w:sz w:val="22"/>
                <w:szCs w:val="22"/>
                <w:lang w:val="en-GB" w:eastAsia="en-GB"/>
              </w:rPr>
            </w:pPr>
            <w:r w:rsidRPr="00EE1290">
              <w:rPr>
                <w:rFonts w:ascii="Calibri" w:hAnsi="Calibri"/>
                <w:color w:val="808080"/>
                <w:sz w:val="22"/>
                <w:szCs w:val="22"/>
                <w:lang w:val="en-GB" w:eastAsia="en-GB"/>
              </w:rPr>
              <w:t>0.05</w:t>
            </w:r>
          </w:p>
        </w:tc>
        <w:tc>
          <w:tcPr>
            <w:tcW w:w="1075" w:type="dxa"/>
            <w:tcBorders>
              <w:top w:val="nil"/>
              <w:left w:val="nil"/>
              <w:bottom w:val="single" w:sz="4" w:space="0" w:color="auto"/>
              <w:right w:val="nil"/>
            </w:tcBorders>
            <w:shd w:val="clear" w:color="auto" w:fill="auto"/>
            <w:noWrap/>
            <w:vAlign w:val="bottom"/>
            <w:hideMark/>
          </w:tcPr>
          <w:p w:rsidR="00EE1290" w:rsidRPr="00EE1290" w:rsidRDefault="00EE1290" w:rsidP="00EE1290">
            <w:pPr>
              <w:jc w:val="center"/>
              <w:rPr>
                <w:rFonts w:ascii="Calibri" w:hAnsi="Calibri"/>
                <w:color w:val="000000"/>
                <w:sz w:val="22"/>
                <w:szCs w:val="22"/>
                <w:lang w:val="en-GB" w:eastAsia="en-GB"/>
              </w:rPr>
            </w:pPr>
            <w:r w:rsidRPr="00EE1290">
              <w:rPr>
                <w:rFonts w:ascii="Calibri" w:hAnsi="Calibri"/>
                <w:color w:val="000000"/>
                <w:sz w:val="22"/>
                <w:szCs w:val="22"/>
                <w:lang w:val="en-GB" w:eastAsia="en-GB"/>
              </w:rPr>
              <w:t>1.8b</w:t>
            </w:r>
          </w:p>
        </w:tc>
        <w:tc>
          <w:tcPr>
            <w:tcW w:w="845" w:type="dxa"/>
            <w:tcBorders>
              <w:top w:val="nil"/>
              <w:left w:val="nil"/>
              <w:bottom w:val="single" w:sz="4" w:space="0" w:color="auto"/>
              <w:right w:val="nil"/>
            </w:tcBorders>
            <w:shd w:val="clear" w:color="auto" w:fill="auto"/>
            <w:noWrap/>
            <w:vAlign w:val="bottom"/>
            <w:hideMark/>
          </w:tcPr>
          <w:p w:rsidR="00EE1290" w:rsidRPr="00EE1290" w:rsidRDefault="00EE1290" w:rsidP="00EE1290">
            <w:pPr>
              <w:jc w:val="center"/>
              <w:rPr>
                <w:rFonts w:ascii="Calibri" w:hAnsi="Calibri"/>
                <w:color w:val="808080"/>
                <w:sz w:val="22"/>
                <w:szCs w:val="22"/>
                <w:lang w:val="en-GB" w:eastAsia="en-GB"/>
              </w:rPr>
            </w:pPr>
            <w:r w:rsidRPr="00EE1290">
              <w:rPr>
                <w:rFonts w:ascii="Calibri" w:hAnsi="Calibri"/>
                <w:color w:val="808080"/>
                <w:sz w:val="22"/>
                <w:szCs w:val="22"/>
                <w:lang w:val="en-GB" w:eastAsia="en-GB"/>
              </w:rPr>
              <w:t>0.19</w:t>
            </w:r>
          </w:p>
        </w:tc>
        <w:tc>
          <w:tcPr>
            <w:tcW w:w="1615" w:type="dxa"/>
            <w:tcBorders>
              <w:top w:val="nil"/>
              <w:left w:val="nil"/>
              <w:bottom w:val="single" w:sz="4" w:space="0" w:color="auto"/>
              <w:right w:val="nil"/>
            </w:tcBorders>
            <w:shd w:val="clear" w:color="auto" w:fill="auto"/>
            <w:noWrap/>
            <w:vAlign w:val="bottom"/>
            <w:hideMark/>
          </w:tcPr>
          <w:p w:rsidR="00EE1290" w:rsidRPr="00EE1290" w:rsidRDefault="00EE1290" w:rsidP="00EE1290">
            <w:pPr>
              <w:rPr>
                <w:rFonts w:ascii="Calibri" w:hAnsi="Calibri"/>
                <w:color w:val="000000"/>
                <w:sz w:val="22"/>
                <w:szCs w:val="22"/>
                <w:lang w:val="en-GB" w:eastAsia="en-GB"/>
              </w:rPr>
            </w:pPr>
            <w:r w:rsidRPr="00EE1290">
              <w:rPr>
                <w:rFonts w:ascii="Calibri" w:hAnsi="Calibri"/>
                <w:color w:val="000000"/>
                <w:sz w:val="22"/>
                <w:szCs w:val="22"/>
                <w:lang w:val="en-GB" w:eastAsia="en-GB"/>
              </w:rPr>
              <w:t>F</w:t>
            </w:r>
            <w:r w:rsidRPr="00EE1290">
              <w:rPr>
                <w:rFonts w:ascii="Calibri" w:hAnsi="Calibri"/>
                <w:color w:val="000000"/>
                <w:sz w:val="22"/>
                <w:szCs w:val="22"/>
                <w:vertAlign w:val="subscript"/>
                <w:lang w:val="en-GB" w:eastAsia="en-GB"/>
              </w:rPr>
              <w:t>df1</w:t>
            </w:r>
            <w:r w:rsidRPr="00EE1290">
              <w:rPr>
                <w:rFonts w:ascii="Calibri" w:hAnsi="Calibri"/>
                <w:color w:val="000000"/>
                <w:sz w:val="22"/>
                <w:szCs w:val="22"/>
                <w:lang w:val="en-GB" w:eastAsia="en-GB"/>
              </w:rPr>
              <w:t xml:space="preserve"> = 42**</w:t>
            </w:r>
          </w:p>
        </w:tc>
        <w:tc>
          <w:tcPr>
            <w:tcW w:w="685" w:type="dxa"/>
            <w:tcBorders>
              <w:top w:val="nil"/>
              <w:left w:val="nil"/>
              <w:bottom w:val="single" w:sz="4" w:space="0" w:color="auto"/>
              <w:right w:val="nil"/>
            </w:tcBorders>
            <w:shd w:val="clear" w:color="auto" w:fill="auto"/>
            <w:noWrap/>
            <w:vAlign w:val="bottom"/>
            <w:hideMark/>
          </w:tcPr>
          <w:p w:rsidR="00EE1290" w:rsidRPr="00EE1290" w:rsidRDefault="00EE1290" w:rsidP="00EE1290">
            <w:pPr>
              <w:jc w:val="center"/>
              <w:rPr>
                <w:rFonts w:ascii="Calibri" w:hAnsi="Calibri"/>
                <w:color w:val="000000"/>
                <w:sz w:val="22"/>
                <w:szCs w:val="22"/>
                <w:lang w:val="en-GB" w:eastAsia="en-GB"/>
              </w:rPr>
            </w:pPr>
            <w:r w:rsidRPr="00EE1290">
              <w:rPr>
                <w:rFonts w:ascii="Calibri" w:hAnsi="Calibri"/>
                <w:color w:val="000000"/>
                <w:sz w:val="22"/>
                <w:szCs w:val="22"/>
                <w:lang w:val="en-GB" w:eastAsia="en-GB"/>
              </w:rPr>
              <w:t>ns</w:t>
            </w:r>
          </w:p>
        </w:tc>
      </w:tr>
    </w:tbl>
    <w:p w:rsidR="00DC4EEE" w:rsidRDefault="00DC4EEE" w:rsidP="00402DE0">
      <w:pPr>
        <w:contextualSpacing/>
      </w:pPr>
    </w:p>
    <w:p w:rsidR="00DC42E2" w:rsidRDefault="00DC4EEE" w:rsidP="00402DE0">
      <w:pPr>
        <w:contextualSpacing/>
        <w:rPr>
          <w:lang w:val="en-GB"/>
        </w:rPr>
      </w:pPr>
      <w:r>
        <w:rPr>
          <w:lang w:val="en-GB"/>
        </w:rPr>
        <w:t>V</w:t>
      </w:r>
      <w:r w:rsidR="00DC42E2">
        <w:rPr>
          <w:lang w:val="en-GB"/>
        </w:rPr>
        <w:t>alues represent mean and standard error (n = 5) for the experimental years. Plot-LAI in 2009 and 2010 was measured with an LAI 2000, plot-LAI in 2008 and mesocosm-LAI were derived from the total stem area of the birches (see below). Different letters denote statistically significant differences between birch density treatments for the same year (row-wise comparisons). Data were an</w:t>
      </w:r>
      <w:bookmarkStart w:id="0" w:name="_GoBack"/>
      <w:bookmarkEnd w:id="0"/>
      <w:r w:rsidR="00DC42E2">
        <w:rPr>
          <w:lang w:val="en-GB"/>
        </w:rPr>
        <w:t xml:space="preserve">alysed for each year separately, using 2-way ANOVAs with treatment as factor and block as random factor.  Ns = </w:t>
      </w:r>
      <w:r w:rsidR="00DC42E2">
        <w:rPr>
          <w:i/>
          <w:lang w:val="en-GB"/>
        </w:rPr>
        <w:t>P</w:t>
      </w:r>
      <w:r w:rsidR="00DC42E2">
        <w:rPr>
          <w:lang w:val="en-GB"/>
        </w:rPr>
        <w:t xml:space="preserve"> &lt; 0.10, ** = 0.05 &gt; </w:t>
      </w:r>
      <w:r w:rsidR="00DC42E2">
        <w:rPr>
          <w:i/>
          <w:lang w:val="en-GB"/>
        </w:rPr>
        <w:t>P</w:t>
      </w:r>
      <w:r w:rsidR="00DC42E2">
        <w:rPr>
          <w:lang w:val="en-GB"/>
        </w:rPr>
        <w:t xml:space="preserve"> ≤ 0.01, *** = </w:t>
      </w:r>
      <w:r w:rsidR="00DC42E2">
        <w:rPr>
          <w:i/>
          <w:lang w:val="en-GB"/>
        </w:rPr>
        <w:t>P</w:t>
      </w:r>
      <w:r w:rsidR="00DC42E2">
        <w:rPr>
          <w:lang w:val="en-GB"/>
        </w:rPr>
        <w:t xml:space="preserve"> &lt; 0.01.</w:t>
      </w:r>
    </w:p>
    <w:p w:rsidR="00F929F1" w:rsidRDefault="00F929F1" w:rsidP="00402DE0">
      <w:pPr>
        <w:contextualSpacing/>
        <w:rPr>
          <w:b/>
          <w:bCs/>
          <w:lang w:val="en-GB"/>
        </w:rPr>
      </w:pPr>
      <w:r>
        <w:rPr>
          <w:noProof/>
          <w:lang w:val="en-GB" w:eastAsia="en-GB"/>
        </w:rPr>
        <mc:AlternateContent>
          <mc:Choice Requires="wps">
            <w:drawing>
              <wp:anchor distT="0" distB="0" distL="114300" distR="114300" simplePos="0" relativeHeight="251659264" behindDoc="0" locked="0" layoutInCell="1" allowOverlap="1" wp14:anchorId="38924B5B" wp14:editId="5F61A0FF">
                <wp:simplePos x="0" y="0"/>
                <wp:positionH relativeFrom="column">
                  <wp:posOffset>-3429000</wp:posOffset>
                </wp:positionH>
                <wp:positionV relativeFrom="paragraph">
                  <wp:posOffset>-221615</wp:posOffset>
                </wp:positionV>
                <wp:extent cx="228600" cy="228600"/>
                <wp:effectExtent l="0" t="0" r="0" b="0"/>
                <wp:wrapNone/>
                <wp:docPr id="448"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509" w:rsidRDefault="00A41509" w:rsidP="00F929F1">
                            <w:pPr>
                              <w:rPr>
                                <w:b/>
                                <w:lang w:val="en-GB"/>
                              </w:rPr>
                            </w:pPr>
                            <w:r>
                              <w:rPr>
                                <w:b/>
                                <w:lang w:val="en-GB"/>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8" o:spid="_x0000_s1026" type="#_x0000_t202" style="position:absolute;margin-left:-270pt;margin-top:-17.4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dMfgIAABI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" stroked="f">
                <v:textbox>
                  <w:txbxContent>
                    <w:p w:rsidR="00FA5039" w:rsidRDefault="00FA5039" w:rsidP="00F929F1">
                      <w:pPr>
                        <w:rPr>
                          <w:b/>
                          <w:lang w:val="en-GB"/>
                        </w:rPr>
                      </w:pPr>
                      <w:r>
                        <w:rPr>
                          <w:b/>
                          <w:lang w:val="en-GB"/>
                        </w:rPr>
                        <w:t>A</w:t>
                      </w:r>
                    </w:p>
                  </w:txbxContent>
                </v:textbox>
              </v:shape>
            </w:pict>
          </mc:Fallback>
        </mc:AlternateContent>
      </w:r>
    </w:p>
    <w:p w:rsidR="00F929F1" w:rsidRDefault="00F929F1" w:rsidP="00402DE0">
      <w:pPr>
        <w:contextualSpacing/>
        <w:rPr>
          <w:b/>
          <w:bCs/>
          <w:lang w:val="en-GB"/>
        </w:rPr>
      </w:pPr>
      <w:r>
        <w:rPr>
          <w:b/>
          <w:bCs/>
          <w:lang w:val="en-GB"/>
        </w:rPr>
        <w:t>Plot-LAI in 2008 and mesocosm-LAI</w:t>
      </w:r>
    </w:p>
    <w:p w:rsidR="00F929F1" w:rsidRDefault="00F929F1" w:rsidP="00402DE0">
      <w:pPr>
        <w:contextualSpacing/>
        <w:rPr>
          <w:lang w:val="en-GB"/>
        </w:rPr>
      </w:pPr>
      <w:r>
        <w:rPr>
          <w:lang w:val="en-GB"/>
        </w:rPr>
        <w:t xml:space="preserve">Plot-LAI in 2008 and mesocosm-LAI were derived from the stem area of the trees, applying an empiric relationship between LAI and stem area:  </w:t>
      </w:r>
      <w:r w:rsidRPr="00C44DF6">
        <w:rPr>
          <w:lang w:val="en-GB"/>
        </w:rPr>
        <w:t>LAI = 144</w:t>
      </w:r>
      <w:r>
        <w:rPr>
          <w:lang w:val="en-GB"/>
        </w:rPr>
        <w:t xml:space="preserve">7 </w:t>
      </w:r>
      <m:oMath>
        <m:r>
          <w:rPr>
            <w:rFonts w:ascii="Cambria Math" w:eastAsia="Cambria Math" w:hAnsi="Cambria Math" w:hint="cs"/>
            <w:color w:val="000000"/>
            <w:sz w:val="22"/>
            <w:szCs w:val="22"/>
            <w:lang w:val="en-GB"/>
          </w:rPr>
          <m:t>×</m:t>
        </m:r>
      </m:oMath>
      <w:r w:rsidRPr="00C44DF6">
        <w:rPr>
          <w:lang w:val="en-GB"/>
        </w:rPr>
        <w:t xml:space="preserve"> (</w:t>
      </w:r>
      <w:r>
        <w:rPr>
          <w:lang w:val="en-GB"/>
        </w:rPr>
        <w:t>stem area/plot area</w:t>
      </w:r>
      <w:r w:rsidRPr="00C44DF6">
        <w:rPr>
          <w:lang w:val="en-GB"/>
        </w:rPr>
        <w:t xml:space="preserve">) + </w:t>
      </w:r>
      <w:r>
        <w:rPr>
          <w:lang w:val="en-GB"/>
        </w:rPr>
        <w:t>0</w:t>
      </w:r>
      <w:r w:rsidRPr="00C44DF6">
        <w:rPr>
          <w:lang w:val="en-GB"/>
        </w:rPr>
        <w:t>.1</w:t>
      </w:r>
      <w:r>
        <w:rPr>
          <w:lang w:val="en-GB"/>
        </w:rPr>
        <w:t>9 (R</w:t>
      </w:r>
      <w:r w:rsidRPr="00C44DF6">
        <w:rPr>
          <w:vertAlign w:val="superscript"/>
          <w:lang w:val="en-GB"/>
        </w:rPr>
        <w:t>2</w:t>
      </w:r>
      <w:r>
        <w:rPr>
          <w:lang w:val="en-GB"/>
        </w:rPr>
        <w:t xml:space="preserve"> = 0.90). This empiric relationship was derived from measurements on natural birch stands in the </w:t>
      </w:r>
      <w:proofErr w:type="spellStart"/>
      <w:r>
        <w:rPr>
          <w:lang w:val="en-GB"/>
        </w:rPr>
        <w:t>Haaksbergerveen</w:t>
      </w:r>
      <w:proofErr w:type="spellEnd"/>
      <w:r>
        <w:rPr>
          <w:lang w:val="en-GB"/>
        </w:rPr>
        <w:t xml:space="preserve"> bog reserve. </w:t>
      </w:r>
    </w:p>
    <w:p w:rsidR="00F929F1" w:rsidRDefault="00F929F1" w:rsidP="00402DE0">
      <w:pPr>
        <w:contextualSpacing/>
        <w:rPr>
          <w:lang w:val="en-GB"/>
        </w:rPr>
      </w:pPr>
      <w:r>
        <w:rPr>
          <w:lang w:val="en-GB"/>
        </w:rPr>
        <w:t xml:space="preserve">In the </w:t>
      </w:r>
      <w:proofErr w:type="spellStart"/>
      <w:r>
        <w:rPr>
          <w:lang w:val="en-GB"/>
        </w:rPr>
        <w:t>Haaksbergerveen</w:t>
      </w:r>
      <w:proofErr w:type="spellEnd"/>
      <w:r>
        <w:rPr>
          <w:lang w:val="en-GB"/>
        </w:rPr>
        <w:t xml:space="preserve"> bog reserve we derived a relationship between total stem area and LAI in 2009. Here we selected 12 plots of 10 x 10m differing in birch density. The stem area of all birches was measured just above the moss surface. The same year we measured LAI within the plots using an LAI-2000 (LI-COR) on an overcast day. Plot LAI was based on 12 measurements under the birch canopy and 4 outside the birch canopy at each plot corner. The measurements were taken along a cross through the centre of each plot at about 50 cm above the surface. With the plots we covered a range of LAI = 0.2 to LAI = 1.</w:t>
      </w:r>
      <w:r w:rsidR="00EE1290">
        <w:rPr>
          <w:lang w:val="en-GB"/>
        </w:rPr>
        <w:t>2 (see Table S</w:t>
      </w:r>
      <w:r w:rsidR="00A41509">
        <w:rPr>
          <w:lang w:val="en-GB"/>
        </w:rPr>
        <w:t>1</w:t>
      </w:r>
      <w:r w:rsidR="00EE1290">
        <w:rPr>
          <w:lang w:val="en-GB"/>
        </w:rPr>
        <w:t>)</w:t>
      </w:r>
      <w:r>
        <w:rPr>
          <w:lang w:val="en-GB"/>
        </w:rPr>
        <w:t>. The total area of the birch stems was divided by the plot area and related to LAI. A linear relationship (R</w:t>
      </w:r>
      <w:r w:rsidRPr="0089521C">
        <w:rPr>
          <w:vertAlign w:val="superscript"/>
          <w:lang w:val="en-GB"/>
        </w:rPr>
        <w:t>2</w:t>
      </w:r>
      <w:r>
        <w:rPr>
          <w:lang w:val="en-GB"/>
        </w:rPr>
        <w:t xml:space="preserve"> = 0.90) gave a better fit than a non-linear relationship (R</w:t>
      </w:r>
      <w:r w:rsidRPr="0089521C">
        <w:rPr>
          <w:vertAlign w:val="superscript"/>
          <w:lang w:val="en-GB"/>
        </w:rPr>
        <w:t>2</w:t>
      </w:r>
      <w:r>
        <w:rPr>
          <w:lang w:val="en-GB"/>
        </w:rPr>
        <w:t xml:space="preserve"> = 0.86). </w:t>
      </w:r>
    </w:p>
    <w:p w:rsidR="00F929F1" w:rsidRDefault="00F929F1" w:rsidP="00402DE0">
      <w:pPr>
        <w:contextualSpacing/>
        <w:rPr>
          <w:lang w:val="en-GB"/>
        </w:rPr>
      </w:pPr>
      <w:r>
        <w:rPr>
          <w:lang w:val="en-GB"/>
        </w:rPr>
        <w:t xml:space="preserve">In </w:t>
      </w:r>
      <w:proofErr w:type="spellStart"/>
      <w:r>
        <w:rPr>
          <w:lang w:val="en-GB"/>
        </w:rPr>
        <w:t>Wageningen</w:t>
      </w:r>
      <w:proofErr w:type="spellEnd"/>
      <w:r>
        <w:rPr>
          <w:lang w:val="en-GB"/>
        </w:rPr>
        <w:t xml:space="preserve"> we measured the stem area of all the birches in the plots, both inside (above moss surface) and outside (about 15 cm above surface) the mesocosms in 2008. In 2009 and 2010 we only measured stem area of the birches inside the mesocosms.</w:t>
      </w:r>
    </w:p>
    <w:p w:rsidR="00881F66" w:rsidRDefault="00881F66" w:rsidP="00402DE0">
      <w:pPr>
        <w:spacing w:after="200"/>
        <w:contextualSpacing/>
        <w:rPr>
          <w:b/>
          <w:lang w:val="en-GB"/>
        </w:rPr>
      </w:pPr>
    </w:p>
    <w:sectPr w:rsidR="00881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9F1"/>
    <w:rsid w:val="00023EAA"/>
    <w:rsid w:val="00111B21"/>
    <w:rsid w:val="001955A9"/>
    <w:rsid w:val="001B330A"/>
    <w:rsid w:val="00255079"/>
    <w:rsid w:val="00402DE0"/>
    <w:rsid w:val="00694E95"/>
    <w:rsid w:val="00793816"/>
    <w:rsid w:val="007B159C"/>
    <w:rsid w:val="007E3E58"/>
    <w:rsid w:val="00881F66"/>
    <w:rsid w:val="00922389"/>
    <w:rsid w:val="009A5C5E"/>
    <w:rsid w:val="00A41509"/>
    <w:rsid w:val="00A7242B"/>
    <w:rsid w:val="00AA6E2F"/>
    <w:rsid w:val="00B7173A"/>
    <w:rsid w:val="00B75006"/>
    <w:rsid w:val="00B92F2C"/>
    <w:rsid w:val="00C111B7"/>
    <w:rsid w:val="00C438B9"/>
    <w:rsid w:val="00C7563D"/>
    <w:rsid w:val="00DC42E2"/>
    <w:rsid w:val="00DC4EEE"/>
    <w:rsid w:val="00DD3C1B"/>
    <w:rsid w:val="00DD57D8"/>
    <w:rsid w:val="00EE1290"/>
    <w:rsid w:val="00F929F1"/>
    <w:rsid w:val="00FA5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9F1"/>
    <w:pPr>
      <w:spacing w:after="0" w:line="240" w:lineRule="auto"/>
    </w:pPr>
    <w:rPr>
      <w:rFonts w:ascii="Times New Roman" w:eastAsia="Times New Roman" w:hAnsi="Times New Roman" w:cs="Times New Roman"/>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9F1"/>
    <w:rPr>
      <w:rFonts w:ascii="Tahoma" w:hAnsi="Tahoma" w:cs="Tahoma"/>
      <w:sz w:val="16"/>
      <w:szCs w:val="16"/>
    </w:rPr>
  </w:style>
  <w:style w:type="character" w:customStyle="1" w:styleId="BalloonTextChar">
    <w:name w:val="Balloon Text Char"/>
    <w:basedOn w:val="DefaultParagraphFont"/>
    <w:link w:val="BalloonText"/>
    <w:uiPriority w:val="99"/>
    <w:semiHidden/>
    <w:rsid w:val="00F929F1"/>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9F1"/>
    <w:pPr>
      <w:spacing w:after="0" w:line="240" w:lineRule="auto"/>
    </w:pPr>
    <w:rPr>
      <w:rFonts w:ascii="Times New Roman" w:eastAsia="Times New Roman" w:hAnsi="Times New Roman" w:cs="Times New Roman"/>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9F1"/>
    <w:rPr>
      <w:rFonts w:ascii="Tahoma" w:hAnsi="Tahoma" w:cs="Tahoma"/>
      <w:sz w:val="16"/>
      <w:szCs w:val="16"/>
    </w:rPr>
  </w:style>
  <w:style w:type="character" w:customStyle="1" w:styleId="BalloonTextChar">
    <w:name w:val="Balloon Text Char"/>
    <w:basedOn w:val="DefaultParagraphFont"/>
    <w:link w:val="BalloonText"/>
    <w:uiPriority w:val="99"/>
    <w:semiHidden/>
    <w:rsid w:val="00F929F1"/>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3946">
      <w:bodyDiv w:val="1"/>
      <w:marLeft w:val="0"/>
      <w:marRight w:val="0"/>
      <w:marTop w:val="0"/>
      <w:marBottom w:val="0"/>
      <w:divBdr>
        <w:top w:val="none" w:sz="0" w:space="0" w:color="auto"/>
        <w:left w:val="none" w:sz="0" w:space="0" w:color="auto"/>
        <w:bottom w:val="none" w:sz="0" w:space="0" w:color="auto"/>
        <w:right w:val="none" w:sz="0" w:space="0" w:color="auto"/>
      </w:divBdr>
    </w:div>
    <w:div w:id="484471145">
      <w:bodyDiv w:val="1"/>
      <w:marLeft w:val="0"/>
      <w:marRight w:val="0"/>
      <w:marTop w:val="0"/>
      <w:marBottom w:val="0"/>
      <w:divBdr>
        <w:top w:val="none" w:sz="0" w:space="0" w:color="auto"/>
        <w:left w:val="none" w:sz="0" w:space="0" w:color="auto"/>
        <w:bottom w:val="none" w:sz="0" w:space="0" w:color="auto"/>
        <w:right w:val="none" w:sz="0" w:space="0" w:color="auto"/>
      </w:divBdr>
    </w:div>
    <w:div w:id="580258012">
      <w:bodyDiv w:val="1"/>
      <w:marLeft w:val="0"/>
      <w:marRight w:val="0"/>
      <w:marTop w:val="0"/>
      <w:marBottom w:val="0"/>
      <w:divBdr>
        <w:top w:val="none" w:sz="0" w:space="0" w:color="auto"/>
        <w:left w:val="none" w:sz="0" w:space="0" w:color="auto"/>
        <w:bottom w:val="none" w:sz="0" w:space="0" w:color="auto"/>
        <w:right w:val="none" w:sz="0" w:space="0" w:color="auto"/>
      </w:divBdr>
    </w:div>
    <w:div w:id="725570612">
      <w:bodyDiv w:val="1"/>
      <w:marLeft w:val="0"/>
      <w:marRight w:val="0"/>
      <w:marTop w:val="0"/>
      <w:marBottom w:val="0"/>
      <w:divBdr>
        <w:top w:val="none" w:sz="0" w:space="0" w:color="auto"/>
        <w:left w:val="none" w:sz="0" w:space="0" w:color="auto"/>
        <w:bottom w:val="none" w:sz="0" w:space="0" w:color="auto"/>
        <w:right w:val="none" w:sz="0" w:space="0" w:color="auto"/>
      </w:divBdr>
    </w:div>
    <w:div w:id="1329943072">
      <w:bodyDiv w:val="1"/>
      <w:marLeft w:val="0"/>
      <w:marRight w:val="0"/>
      <w:marTop w:val="0"/>
      <w:marBottom w:val="0"/>
      <w:divBdr>
        <w:top w:val="none" w:sz="0" w:space="0" w:color="auto"/>
        <w:left w:val="none" w:sz="0" w:space="0" w:color="auto"/>
        <w:bottom w:val="none" w:sz="0" w:space="0" w:color="auto"/>
        <w:right w:val="none" w:sz="0" w:space="0" w:color="auto"/>
      </w:divBdr>
    </w:div>
    <w:div w:id="1516075278">
      <w:bodyDiv w:val="1"/>
      <w:marLeft w:val="0"/>
      <w:marRight w:val="0"/>
      <w:marTop w:val="0"/>
      <w:marBottom w:val="0"/>
      <w:divBdr>
        <w:top w:val="none" w:sz="0" w:space="0" w:color="auto"/>
        <w:left w:val="none" w:sz="0" w:space="0" w:color="auto"/>
        <w:bottom w:val="none" w:sz="0" w:space="0" w:color="auto"/>
        <w:right w:val="none" w:sz="0" w:space="0" w:color="auto"/>
      </w:divBdr>
    </w:div>
    <w:div w:id="162727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Limpens, Juul</dc:creator>
  <cp:lastModifiedBy>Limpens, Juul</cp:lastModifiedBy>
  <cp:revision>4</cp:revision>
  <dcterms:created xsi:type="dcterms:W3CDTF">2014-02-17T10:09:00Z</dcterms:created>
  <dcterms:modified xsi:type="dcterms:W3CDTF">2014-02-17T11:23:00Z</dcterms:modified>
</cp:coreProperties>
</file>