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34D" w:rsidRPr="00363384" w:rsidRDefault="0022034D" w:rsidP="0022034D">
      <w:pPr>
        <w:rPr>
          <w:rFonts w:cs="Arial"/>
          <w:sz w:val="24"/>
          <w:szCs w:val="24"/>
        </w:rPr>
      </w:pPr>
    </w:p>
    <w:p w:rsidR="000777B1" w:rsidRPr="009B4941" w:rsidRDefault="000777B1" w:rsidP="000777B1">
      <w:pPr>
        <w:rPr>
          <w:rFonts w:ascii="Arial" w:eastAsia="Times New Roman" w:hAnsi="Arial" w:cs="Arial"/>
          <w:b/>
          <w:i/>
          <w:color w:val="000000"/>
          <w:sz w:val="24"/>
          <w:szCs w:val="24"/>
          <w:lang w:eastAsia="en-GB"/>
        </w:rPr>
      </w:pPr>
      <w:r w:rsidRPr="009B4941">
        <w:rPr>
          <w:rFonts w:ascii="Arial" w:eastAsia="Calibri" w:hAnsi="Arial" w:cs="Arial"/>
          <w:b/>
          <w:i/>
          <w:color w:val="000000"/>
          <w:sz w:val="24"/>
          <w:szCs w:val="24"/>
        </w:rPr>
        <w:t xml:space="preserve">Table </w:t>
      </w:r>
      <w:r w:rsidR="006118B2">
        <w:rPr>
          <w:rFonts w:ascii="Arial" w:eastAsia="Calibri" w:hAnsi="Arial" w:cs="Arial"/>
          <w:b/>
          <w:i/>
          <w:color w:val="000000"/>
          <w:sz w:val="24"/>
          <w:szCs w:val="24"/>
        </w:rPr>
        <w:t>S</w:t>
      </w:r>
      <w:r w:rsidR="006808F0">
        <w:rPr>
          <w:rFonts w:ascii="Arial" w:eastAsia="Calibri" w:hAnsi="Arial" w:cs="Arial"/>
          <w:b/>
          <w:i/>
          <w:color w:val="000000"/>
          <w:sz w:val="24"/>
          <w:szCs w:val="24"/>
        </w:rPr>
        <w:t>4</w:t>
      </w:r>
      <w:r w:rsidR="006118B2">
        <w:rPr>
          <w:rFonts w:ascii="Arial" w:eastAsia="Calibri" w:hAnsi="Arial" w:cs="Arial"/>
          <w:b/>
          <w:i/>
          <w:color w:val="000000"/>
          <w:sz w:val="24"/>
          <w:szCs w:val="24"/>
        </w:rPr>
        <w:t>:</w:t>
      </w:r>
      <w:bookmarkStart w:id="0" w:name="_GoBack"/>
      <w:bookmarkEnd w:id="0"/>
      <w:r w:rsidRPr="009B4941">
        <w:rPr>
          <w:rFonts w:ascii="Arial" w:eastAsia="Calibri" w:hAnsi="Arial" w:cs="Arial"/>
          <w:b/>
          <w:i/>
          <w:color w:val="000000"/>
          <w:sz w:val="24"/>
          <w:szCs w:val="24"/>
        </w:rPr>
        <w:t xml:space="preserve"> Pathway analysis of genes differen</w:t>
      </w:r>
      <w:r w:rsidR="006808F0">
        <w:rPr>
          <w:rFonts w:ascii="Arial" w:eastAsia="Calibri" w:hAnsi="Arial" w:cs="Arial"/>
          <w:b/>
          <w:i/>
          <w:color w:val="000000"/>
          <w:sz w:val="24"/>
          <w:szCs w:val="24"/>
        </w:rPr>
        <w:t>tially expressed in between PCV</w:t>
      </w:r>
      <w:r w:rsidRPr="009B4941">
        <w:rPr>
          <w:rFonts w:ascii="Arial" w:eastAsia="Calibri" w:hAnsi="Arial" w:cs="Arial"/>
          <w:b/>
          <w:i/>
          <w:color w:val="000000"/>
          <w:sz w:val="24"/>
          <w:szCs w:val="24"/>
        </w:rPr>
        <w:t>2b-challenged and non-challenged immune cell subsets.</w:t>
      </w:r>
      <w:r w:rsidRPr="009B4941">
        <w:rPr>
          <w:rFonts w:ascii="Arial" w:eastAsia="Times New Roman" w:hAnsi="Arial" w:cs="Arial"/>
          <w:b/>
          <w:i/>
          <w:color w:val="000000"/>
          <w:sz w:val="24"/>
          <w:szCs w:val="24"/>
          <w:lang w:eastAsia="en-GB"/>
        </w:rPr>
        <w:t xml:space="preserve"> </w:t>
      </w:r>
    </w:p>
    <w:p w:rsidR="000777B1" w:rsidRPr="009B4941" w:rsidRDefault="000777B1" w:rsidP="000777B1">
      <w:pPr>
        <w:rPr>
          <w:rFonts w:ascii="Arial" w:eastAsia="Calibri" w:hAnsi="Arial" w:cs="Arial"/>
          <w:color w:val="000000"/>
          <w:sz w:val="24"/>
          <w:szCs w:val="24"/>
        </w:rPr>
      </w:pPr>
      <w:r w:rsidRPr="009B4941">
        <w:rPr>
          <w:rFonts w:ascii="Arial" w:eastAsia="Times New Roman" w:hAnsi="Arial" w:cs="Arial"/>
          <w:color w:val="000000"/>
          <w:sz w:val="24"/>
          <w:szCs w:val="24"/>
          <w:lang w:eastAsia="en-GB"/>
        </w:rPr>
        <w:t>Differentially expressed genes (P&lt;0.05) were imported into the Ingenuity Pathways Analysis (IPA) software. Canonical pathways analysis identified the pathways from the IPA library of canonical pathways that were most significant to the data set. Molecules from the data set that met the -1.5 ≤ fold change ≥ 1.5 and a FDR-adjusted P&lt;0.05 cutoff and were associated with a canonical pathway in the Ingenuity Knowledge Base were considered for the analysis.</w:t>
      </w:r>
    </w:p>
    <w:tbl>
      <w:tblPr>
        <w:tblStyle w:val="TableGrid"/>
        <w:tblW w:w="5050" w:type="pct"/>
        <w:jc w:val="center"/>
        <w:tblLayout w:type="fixed"/>
        <w:tblLook w:val="04A0" w:firstRow="1" w:lastRow="0" w:firstColumn="1" w:lastColumn="0" w:noHBand="0" w:noVBand="1"/>
      </w:tblPr>
      <w:tblGrid>
        <w:gridCol w:w="11094"/>
        <w:gridCol w:w="1205"/>
        <w:gridCol w:w="992"/>
        <w:gridCol w:w="1025"/>
      </w:tblGrid>
      <w:tr w:rsidR="009A4877" w:rsidRPr="009B4941" w:rsidTr="009A4877">
        <w:trPr>
          <w:trHeight w:val="255"/>
          <w:jc w:val="center"/>
        </w:trPr>
        <w:tc>
          <w:tcPr>
            <w:tcW w:w="11094" w:type="dxa"/>
            <w:noWrap/>
            <w:hideMark/>
          </w:tcPr>
          <w:p w:rsidR="000777B1" w:rsidRPr="009B4941" w:rsidRDefault="000777B1" w:rsidP="00AF12DD">
            <w:pPr>
              <w:rPr>
                <w:rFonts w:ascii="Arial" w:eastAsia="Times New Roman" w:hAnsi="Arial" w:cs="Arial"/>
                <w:b/>
                <w:bCs/>
                <w:color w:val="000000"/>
                <w:sz w:val="24"/>
                <w:szCs w:val="24"/>
                <w:lang w:eastAsia="en-GB"/>
              </w:rPr>
            </w:pPr>
            <w:r w:rsidRPr="009B4941">
              <w:rPr>
                <w:rFonts w:ascii="Arial" w:eastAsia="Times New Roman" w:hAnsi="Arial" w:cs="Arial"/>
                <w:b/>
                <w:bCs/>
                <w:color w:val="000000"/>
                <w:sz w:val="24"/>
                <w:szCs w:val="24"/>
                <w:lang w:eastAsia="en-GB"/>
              </w:rPr>
              <w:t>Pathway</w:t>
            </w:r>
          </w:p>
        </w:tc>
        <w:tc>
          <w:tcPr>
            <w:tcW w:w="1205" w:type="dxa"/>
            <w:noWrap/>
            <w:hideMark/>
          </w:tcPr>
          <w:p w:rsidR="000777B1" w:rsidRPr="009B4941" w:rsidRDefault="000777B1" w:rsidP="00AF12DD">
            <w:pPr>
              <w:jc w:val="center"/>
              <w:rPr>
                <w:rFonts w:ascii="Arial" w:eastAsia="Times New Roman" w:hAnsi="Arial" w:cs="Arial"/>
                <w:b/>
                <w:bCs/>
                <w:color w:val="000000"/>
                <w:sz w:val="24"/>
                <w:szCs w:val="24"/>
                <w:lang w:eastAsia="en-GB"/>
              </w:rPr>
            </w:pPr>
            <w:r w:rsidRPr="009B4941">
              <w:rPr>
                <w:rFonts w:ascii="Arial" w:eastAsia="Times New Roman" w:hAnsi="Arial" w:cs="Arial"/>
                <w:b/>
                <w:bCs/>
                <w:color w:val="000000"/>
                <w:sz w:val="24"/>
                <w:szCs w:val="24"/>
                <w:lang w:eastAsia="en-GB"/>
              </w:rPr>
              <w:t>P-value</w:t>
            </w:r>
          </w:p>
        </w:tc>
        <w:tc>
          <w:tcPr>
            <w:tcW w:w="992" w:type="dxa"/>
            <w:noWrap/>
            <w:hideMark/>
          </w:tcPr>
          <w:p w:rsidR="000777B1" w:rsidRPr="009B4941" w:rsidRDefault="000777B1" w:rsidP="00AF12DD">
            <w:pPr>
              <w:rPr>
                <w:rFonts w:ascii="Arial" w:eastAsia="Times New Roman" w:hAnsi="Arial" w:cs="Arial"/>
                <w:b/>
                <w:bCs/>
                <w:color w:val="000000"/>
                <w:sz w:val="24"/>
                <w:szCs w:val="24"/>
                <w:lang w:eastAsia="en-GB"/>
              </w:rPr>
            </w:pPr>
            <w:r w:rsidRPr="009B4941">
              <w:rPr>
                <w:rFonts w:ascii="Arial" w:eastAsia="Times New Roman" w:hAnsi="Arial" w:cs="Arial"/>
                <w:b/>
                <w:bCs/>
                <w:color w:val="000000"/>
                <w:sz w:val="24"/>
                <w:szCs w:val="24"/>
                <w:lang w:eastAsia="en-GB"/>
              </w:rPr>
              <w:t>Sign.*</w:t>
            </w:r>
          </w:p>
        </w:tc>
        <w:tc>
          <w:tcPr>
            <w:tcW w:w="1025" w:type="dxa"/>
            <w:noWrap/>
            <w:hideMark/>
          </w:tcPr>
          <w:p w:rsidR="000777B1" w:rsidRPr="009B4941" w:rsidRDefault="000777B1" w:rsidP="00AF12DD">
            <w:pPr>
              <w:rPr>
                <w:rFonts w:ascii="Arial" w:eastAsia="Times New Roman" w:hAnsi="Arial" w:cs="Arial"/>
                <w:b/>
                <w:bCs/>
                <w:color w:val="000000"/>
                <w:sz w:val="24"/>
                <w:szCs w:val="24"/>
                <w:lang w:eastAsia="en-GB"/>
              </w:rPr>
            </w:pPr>
            <w:r w:rsidRPr="009B4941">
              <w:rPr>
                <w:rFonts w:ascii="Arial" w:eastAsia="Times New Roman" w:hAnsi="Arial" w:cs="Arial"/>
                <w:b/>
                <w:bCs/>
                <w:color w:val="000000"/>
                <w:sz w:val="24"/>
                <w:szCs w:val="24"/>
                <w:lang w:eastAsia="en-GB"/>
              </w:rPr>
              <w:t>Total**</w:t>
            </w:r>
          </w:p>
        </w:tc>
      </w:tr>
      <w:tr w:rsidR="009A4877" w:rsidRPr="009B4941" w:rsidTr="00AE35EE">
        <w:trPr>
          <w:trHeight w:val="255"/>
          <w:jc w:val="center"/>
        </w:trPr>
        <w:tc>
          <w:tcPr>
            <w:tcW w:w="14316" w:type="dxa"/>
            <w:gridSpan w:val="4"/>
            <w:noWrap/>
            <w:hideMark/>
          </w:tcPr>
          <w:p w:rsidR="009A4877" w:rsidRPr="009B4941" w:rsidRDefault="009A4877" w:rsidP="009A4877">
            <w:pPr>
              <w:rPr>
                <w:rFonts w:ascii="Arial" w:eastAsia="Times New Roman" w:hAnsi="Arial" w:cs="Arial"/>
                <w:color w:val="000000"/>
                <w:sz w:val="24"/>
                <w:szCs w:val="24"/>
                <w:lang w:eastAsia="en-GB"/>
              </w:rPr>
            </w:pPr>
            <w:r w:rsidRPr="009B4941">
              <w:rPr>
                <w:rFonts w:ascii="Arial" w:eastAsia="Times New Roman" w:hAnsi="Arial" w:cs="Arial"/>
                <w:b/>
                <w:bCs/>
                <w:color w:val="000000"/>
                <w:sz w:val="24"/>
                <w:szCs w:val="24"/>
                <w:lang w:eastAsia="en-GB"/>
              </w:rPr>
              <w:t>AMΦs 0 h p.i.</w:t>
            </w:r>
          </w:p>
        </w:tc>
      </w:tr>
      <w:tr w:rsidR="009A4877" w:rsidRPr="009B4941" w:rsidTr="009A4877">
        <w:trPr>
          <w:trHeight w:val="255"/>
          <w:jc w:val="center"/>
        </w:trPr>
        <w:tc>
          <w:tcPr>
            <w:tcW w:w="11094" w:type="dxa"/>
            <w:noWrap/>
            <w:hideMark/>
          </w:tcPr>
          <w:p w:rsidR="000777B1" w:rsidRPr="009B4941" w:rsidRDefault="000777B1" w:rsidP="00AF12DD">
            <w:pPr>
              <w:rPr>
                <w:rFonts w:ascii="Arial" w:eastAsia="Times New Roman" w:hAnsi="Arial" w:cs="Arial"/>
                <w:bCs/>
                <w:color w:val="000000"/>
                <w:sz w:val="24"/>
                <w:szCs w:val="24"/>
                <w:lang w:eastAsia="en-GB"/>
              </w:rPr>
            </w:pPr>
            <w:r w:rsidRPr="009B4941">
              <w:rPr>
                <w:rFonts w:ascii="Arial" w:eastAsia="Times New Roman" w:hAnsi="Arial" w:cs="Arial"/>
                <w:bCs/>
                <w:color w:val="000000"/>
                <w:sz w:val="24"/>
                <w:szCs w:val="24"/>
                <w:lang w:eastAsia="en-GB"/>
              </w:rPr>
              <w:t>Methane Metabolism</w:t>
            </w:r>
          </w:p>
        </w:tc>
        <w:tc>
          <w:tcPr>
            <w:tcW w:w="1205"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1.12E-03</w:t>
            </w:r>
          </w:p>
        </w:tc>
        <w:tc>
          <w:tcPr>
            <w:tcW w:w="992"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1</w:t>
            </w:r>
          </w:p>
        </w:tc>
        <w:tc>
          <w:tcPr>
            <w:tcW w:w="1025"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67</w:t>
            </w:r>
          </w:p>
        </w:tc>
      </w:tr>
      <w:tr w:rsidR="009A4877" w:rsidRPr="009B4941" w:rsidTr="009A4877">
        <w:trPr>
          <w:trHeight w:val="255"/>
          <w:jc w:val="center"/>
        </w:trPr>
        <w:tc>
          <w:tcPr>
            <w:tcW w:w="11094" w:type="dxa"/>
            <w:noWrap/>
            <w:hideMark/>
          </w:tcPr>
          <w:p w:rsidR="000777B1" w:rsidRPr="009B4941" w:rsidRDefault="000777B1" w:rsidP="00AF12DD">
            <w:pPr>
              <w:rPr>
                <w:rFonts w:ascii="Arial" w:eastAsia="Times New Roman" w:hAnsi="Arial" w:cs="Arial"/>
                <w:bCs/>
                <w:color w:val="000000"/>
                <w:sz w:val="24"/>
                <w:szCs w:val="24"/>
                <w:lang w:eastAsia="en-GB"/>
              </w:rPr>
            </w:pPr>
            <w:r w:rsidRPr="009B4941">
              <w:rPr>
                <w:rFonts w:ascii="Arial" w:eastAsia="Times New Roman" w:hAnsi="Arial" w:cs="Arial"/>
                <w:bCs/>
                <w:color w:val="000000"/>
                <w:sz w:val="24"/>
                <w:szCs w:val="24"/>
                <w:lang w:eastAsia="en-GB"/>
              </w:rPr>
              <w:t>Stilbene, Coumarine and Lignin Biosynthesis</w:t>
            </w:r>
          </w:p>
        </w:tc>
        <w:tc>
          <w:tcPr>
            <w:tcW w:w="1205"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1.23E-03</w:t>
            </w:r>
          </w:p>
        </w:tc>
        <w:tc>
          <w:tcPr>
            <w:tcW w:w="992"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1</w:t>
            </w:r>
          </w:p>
        </w:tc>
        <w:tc>
          <w:tcPr>
            <w:tcW w:w="1025"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75</w:t>
            </w:r>
          </w:p>
        </w:tc>
      </w:tr>
      <w:tr w:rsidR="009A4877" w:rsidRPr="009B4941" w:rsidTr="009A4877">
        <w:trPr>
          <w:trHeight w:val="255"/>
          <w:jc w:val="center"/>
        </w:trPr>
        <w:tc>
          <w:tcPr>
            <w:tcW w:w="11094" w:type="dxa"/>
            <w:noWrap/>
            <w:hideMark/>
          </w:tcPr>
          <w:p w:rsidR="000777B1" w:rsidRPr="009B4941" w:rsidRDefault="000777B1" w:rsidP="00AF12DD">
            <w:pPr>
              <w:rPr>
                <w:rFonts w:ascii="Arial" w:eastAsia="Times New Roman" w:hAnsi="Arial" w:cs="Arial"/>
                <w:bCs/>
                <w:color w:val="000000"/>
                <w:sz w:val="24"/>
                <w:szCs w:val="24"/>
                <w:lang w:eastAsia="en-GB"/>
              </w:rPr>
            </w:pPr>
            <w:r w:rsidRPr="009B4941">
              <w:rPr>
                <w:rFonts w:ascii="Arial" w:eastAsia="Times New Roman" w:hAnsi="Arial" w:cs="Arial"/>
                <w:bCs/>
                <w:color w:val="000000"/>
                <w:sz w:val="24"/>
                <w:szCs w:val="24"/>
                <w:lang w:eastAsia="en-GB"/>
              </w:rPr>
              <w:t>Phenylalanine Metabolism</w:t>
            </w:r>
          </w:p>
        </w:tc>
        <w:tc>
          <w:tcPr>
            <w:tcW w:w="1205"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2.50E-03</w:t>
            </w:r>
          </w:p>
        </w:tc>
        <w:tc>
          <w:tcPr>
            <w:tcW w:w="992"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1</w:t>
            </w:r>
          </w:p>
        </w:tc>
        <w:tc>
          <w:tcPr>
            <w:tcW w:w="1025"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111</w:t>
            </w:r>
          </w:p>
        </w:tc>
      </w:tr>
      <w:tr w:rsidR="009A4877" w:rsidRPr="009B4941" w:rsidTr="00AB7F0F">
        <w:trPr>
          <w:trHeight w:val="255"/>
          <w:jc w:val="center"/>
        </w:trPr>
        <w:tc>
          <w:tcPr>
            <w:tcW w:w="14316" w:type="dxa"/>
            <w:gridSpan w:val="4"/>
            <w:noWrap/>
            <w:hideMark/>
          </w:tcPr>
          <w:p w:rsidR="009A4877" w:rsidRPr="009B4941" w:rsidRDefault="009A4877" w:rsidP="009A4877">
            <w:pPr>
              <w:rPr>
                <w:rFonts w:ascii="Arial" w:eastAsia="Times New Roman" w:hAnsi="Arial" w:cs="Arial"/>
                <w:color w:val="000000"/>
                <w:sz w:val="24"/>
                <w:szCs w:val="24"/>
                <w:lang w:eastAsia="en-GB"/>
              </w:rPr>
            </w:pPr>
            <w:r w:rsidRPr="009B4941">
              <w:rPr>
                <w:rFonts w:ascii="Arial" w:eastAsia="Times New Roman" w:hAnsi="Arial" w:cs="Arial"/>
                <w:b/>
                <w:bCs/>
                <w:color w:val="000000"/>
                <w:sz w:val="24"/>
                <w:szCs w:val="24"/>
                <w:lang w:eastAsia="en-GB"/>
              </w:rPr>
              <w:t>AMΦs 1 h p.i.</w:t>
            </w:r>
          </w:p>
        </w:tc>
      </w:tr>
      <w:tr w:rsidR="009A4877" w:rsidRPr="009B4941" w:rsidTr="009A4877">
        <w:trPr>
          <w:trHeight w:val="255"/>
          <w:jc w:val="center"/>
        </w:trPr>
        <w:tc>
          <w:tcPr>
            <w:tcW w:w="11094" w:type="dxa"/>
            <w:noWrap/>
            <w:hideMark/>
          </w:tcPr>
          <w:p w:rsidR="000777B1" w:rsidRPr="009B4941" w:rsidRDefault="000777B1" w:rsidP="00AF12DD">
            <w:pPr>
              <w:rPr>
                <w:rFonts w:ascii="Arial" w:eastAsia="Times New Roman" w:hAnsi="Arial" w:cs="Arial"/>
                <w:bCs/>
                <w:color w:val="000000"/>
                <w:sz w:val="24"/>
                <w:szCs w:val="24"/>
                <w:lang w:eastAsia="en-GB"/>
              </w:rPr>
            </w:pPr>
            <w:r w:rsidRPr="009B4941">
              <w:rPr>
                <w:rFonts w:ascii="Arial" w:eastAsia="Times New Roman" w:hAnsi="Arial" w:cs="Arial"/>
                <w:bCs/>
                <w:color w:val="000000"/>
                <w:sz w:val="24"/>
                <w:szCs w:val="24"/>
                <w:lang w:eastAsia="en-GB"/>
              </w:rPr>
              <w:t xml:space="preserve">Airway Inflammation in Asthma </w:t>
            </w:r>
          </w:p>
        </w:tc>
        <w:tc>
          <w:tcPr>
            <w:tcW w:w="1205"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2.63E-04</w:t>
            </w:r>
          </w:p>
        </w:tc>
        <w:tc>
          <w:tcPr>
            <w:tcW w:w="992"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1</w:t>
            </w:r>
          </w:p>
        </w:tc>
        <w:tc>
          <w:tcPr>
            <w:tcW w:w="1025"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6</w:t>
            </w:r>
          </w:p>
        </w:tc>
      </w:tr>
      <w:tr w:rsidR="009A4877" w:rsidRPr="009B4941" w:rsidTr="009A4877">
        <w:trPr>
          <w:trHeight w:val="255"/>
          <w:jc w:val="center"/>
        </w:trPr>
        <w:tc>
          <w:tcPr>
            <w:tcW w:w="11094" w:type="dxa"/>
            <w:noWrap/>
            <w:hideMark/>
          </w:tcPr>
          <w:p w:rsidR="000777B1" w:rsidRPr="009B4941" w:rsidRDefault="000777B1" w:rsidP="00AF12DD">
            <w:pPr>
              <w:rPr>
                <w:rFonts w:ascii="Arial" w:eastAsia="Times New Roman" w:hAnsi="Arial" w:cs="Arial"/>
                <w:bCs/>
                <w:color w:val="000000"/>
                <w:sz w:val="24"/>
                <w:szCs w:val="24"/>
                <w:lang w:eastAsia="en-GB"/>
              </w:rPr>
            </w:pPr>
            <w:r w:rsidRPr="009B4941">
              <w:rPr>
                <w:rFonts w:ascii="Arial" w:eastAsia="Times New Roman" w:hAnsi="Arial" w:cs="Arial"/>
                <w:bCs/>
                <w:color w:val="000000"/>
                <w:sz w:val="24"/>
                <w:szCs w:val="24"/>
                <w:lang w:eastAsia="en-GB"/>
              </w:rPr>
              <w:t xml:space="preserve">Airway Pathology in Chronic Obstructive Pulmonary Disease </w:t>
            </w:r>
          </w:p>
        </w:tc>
        <w:tc>
          <w:tcPr>
            <w:tcW w:w="1205"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5.26E-04</w:t>
            </w:r>
          </w:p>
        </w:tc>
        <w:tc>
          <w:tcPr>
            <w:tcW w:w="992"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1</w:t>
            </w:r>
          </w:p>
        </w:tc>
        <w:tc>
          <w:tcPr>
            <w:tcW w:w="1025"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9</w:t>
            </w:r>
          </w:p>
        </w:tc>
      </w:tr>
      <w:tr w:rsidR="009A4877" w:rsidRPr="009B4941" w:rsidTr="009A4877">
        <w:trPr>
          <w:trHeight w:val="255"/>
          <w:jc w:val="center"/>
        </w:trPr>
        <w:tc>
          <w:tcPr>
            <w:tcW w:w="11094" w:type="dxa"/>
            <w:noWrap/>
            <w:hideMark/>
          </w:tcPr>
          <w:p w:rsidR="000777B1" w:rsidRPr="009B4941" w:rsidRDefault="000777B1" w:rsidP="009B4941">
            <w:pPr>
              <w:rPr>
                <w:rFonts w:ascii="Arial" w:eastAsia="Times New Roman" w:hAnsi="Arial" w:cs="Arial"/>
                <w:bCs/>
                <w:color w:val="000000"/>
                <w:sz w:val="24"/>
                <w:szCs w:val="24"/>
                <w:lang w:eastAsia="en-GB"/>
              </w:rPr>
            </w:pPr>
            <w:r w:rsidRPr="009B4941">
              <w:rPr>
                <w:rFonts w:ascii="Arial" w:eastAsia="Times New Roman" w:hAnsi="Arial" w:cs="Arial"/>
                <w:bCs/>
                <w:color w:val="000000"/>
                <w:sz w:val="24"/>
                <w:szCs w:val="24"/>
                <w:lang w:eastAsia="en-GB"/>
              </w:rPr>
              <w:t xml:space="preserve">Differential Regulation of Cytokine Production in Macrophages and T Helper Cells by IL-17A </w:t>
            </w:r>
            <w:r w:rsidR="009B4941">
              <w:rPr>
                <w:rFonts w:ascii="Arial" w:eastAsia="Times New Roman" w:hAnsi="Arial" w:cs="Arial"/>
                <w:bCs/>
                <w:color w:val="000000"/>
                <w:sz w:val="24"/>
                <w:szCs w:val="24"/>
                <w:lang w:eastAsia="en-GB"/>
              </w:rPr>
              <w:t>&amp;</w:t>
            </w:r>
            <w:r w:rsidRPr="009B4941">
              <w:rPr>
                <w:rFonts w:ascii="Arial" w:eastAsia="Times New Roman" w:hAnsi="Arial" w:cs="Arial"/>
                <w:bCs/>
                <w:color w:val="000000"/>
                <w:sz w:val="24"/>
                <w:szCs w:val="24"/>
                <w:lang w:eastAsia="en-GB"/>
              </w:rPr>
              <w:t xml:space="preserve"> IL-</w:t>
            </w:r>
            <w:r w:rsidR="009B4941">
              <w:rPr>
                <w:rFonts w:ascii="Arial" w:eastAsia="Times New Roman" w:hAnsi="Arial" w:cs="Arial"/>
                <w:bCs/>
                <w:color w:val="000000"/>
                <w:sz w:val="24"/>
                <w:szCs w:val="24"/>
                <w:lang w:eastAsia="en-GB"/>
              </w:rPr>
              <w:t>1</w:t>
            </w:r>
            <w:r w:rsidRPr="009B4941">
              <w:rPr>
                <w:rFonts w:ascii="Arial" w:eastAsia="Times New Roman" w:hAnsi="Arial" w:cs="Arial"/>
                <w:bCs/>
                <w:color w:val="000000"/>
                <w:sz w:val="24"/>
                <w:szCs w:val="24"/>
                <w:lang w:eastAsia="en-GB"/>
              </w:rPr>
              <w:t>7F</w:t>
            </w:r>
          </w:p>
        </w:tc>
        <w:tc>
          <w:tcPr>
            <w:tcW w:w="1205"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1.18E-03</w:t>
            </w:r>
          </w:p>
        </w:tc>
        <w:tc>
          <w:tcPr>
            <w:tcW w:w="992"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1</w:t>
            </w:r>
          </w:p>
        </w:tc>
        <w:tc>
          <w:tcPr>
            <w:tcW w:w="1025"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18</w:t>
            </w:r>
          </w:p>
        </w:tc>
      </w:tr>
      <w:tr w:rsidR="009A4877" w:rsidRPr="009B4941" w:rsidTr="00CE1077">
        <w:trPr>
          <w:trHeight w:val="255"/>
          <w:jc w:val="center"/>
        </w:trPr>
        <w:tc>
          <w:tcPr>
            <w:tcW w:w="14316" w:type="dxa"/>
            <w:gridSpan w:val="4"/>
            <w:noWrap/>
            <w:hideMark/>
          </w:tcPr>
          <w:p w:rsidR="009A4877" w:rsidRPr="009B4941" w:rsidRDefault="009A4877" w:rsidP="009A4877">
            <w:pPr>
              <w:rPr>
                <w:rFonts w:ascii="Arial" w:eastAsia="Times New Roman" w:hAnsi="Arial" w:cs="Arial"/>
                <w:color w:val="000000"/>
                <w:sz w:val="24"/>
                <w:szCs w:val="24"/>
                <w:lang w:eastAsia="en-GB"/>
              </w:rPr>
            </w:pPr>
            <w:r w:rsidRPr="009B4941">
              <w:rPr>
                <w:rFonts w:ascii="Arial" w:eastAsia="Times New Roman" w:hAnsi="Arial" w:cs="Arial"/>
                <w:b/>
                <w:bCs/>
                <w:color w:val="000000"/>
                <w:sz w:val="24"/>
                <w:szCs w:val="24"/>
                <w:lang w:eastAsia="en-GB"/>
              </w:rPr>
              <w:t>MoDCs 1 h p.i.</w:t>
            </w:r>
          </w:p>
        </w:tc>
      </w:tr>
      <w:tr w:rsidR="009A4877" w:rsidRPr="009B4941" w:rsidTr="009A4877">
        <w:trPr>
          <w:trHeight w:val="255"/>
          <w:jc w:val="center"/>
        </w:trPr>
        <w:tc>
          <w:tcPr>
            <w:tcW w:w="11094" w:type="dxa"/>
            <w:noWrap/>
            <w:hideMark/>
          </w:tcPr>
          <w:p w:rsidR="000777B1" w:rsidRPr="009B4941" w:rsidRDefault="000777B1" w:rsidP="00AF12DD">
            <w:pPr>
              <w:rPr>
                <w:rFonts w:ascii="Arial" w:eastAsia="Times New Roman" w:hAnsi="Arial" w:cs="Arial"/>
                <w:bCs/>
                <w:color w:val="000000"/>
                <w:sz w:val="24"/>
                <w:szCs w:val="24"/>
                <w:lang w:eastAsia="en-GB"/>
              </w:rPr>
            </w:pPr>
            <w:r w:rsidRPr="009B4941">
              <w:rPr>
                <w:rFonts w:ascii="Arial" w:eastAsia="Times New Roman" w:hAnsi="Arial" w:cs="Arial"/>
                <w:bCs/>
                <w:color w:val="000000"/>
                <w:sz w:val="24"/>
                <w:szCs w:val="24"/>
                <w:lang w:eastAsia="en-GB"/>
              </w:rPr>
              <w:t xml:space="preserve">NF-kB Signaling </w:t>
            </w:r>
          </w:p>
        </w:tc>
        <w:tc>
          <w:tcPr>
            <w:tcW w:w="1205"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3.61E-09</w:t>
            </w:r>
          </w:p>
        </w:tc>
        <w:tc>
          <w:tcPr>
            <w:tcW w:w="992"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7</w:t>
            </w:r>
          </w:p>
        </w:tc>
        <w:tc>
          <w:tcPr>
            <w:tcW w:w="1025"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175</w:t>
            </w:r>
          </w:p>
        </w:tc>
      </w:tr>
      <w:tr w:rsidR="009A4877" w:rsidRPr="009B4941" w:rsidTr="009A4877">
        <w:trPr>
          <w:trHeight w:val="255"/>
          <w:jc w:val="center"/>
        </w:trPr>
        <w:tc>
          <w:tcPr>
            <w:tcW w:w="11094" w:type="dxa"/>
            <w:noWrap/>
            <w:hideMark/>
          </w:tcPr>
          <w:p w:rsidR="000777B1" w:rsidRPr="009B4941" w:rsidRDefault="000777B1" w:rsidP="00AF12DD">
            <w:pPr>
              <w:rPr>
                <w:rFonts w:ascii="Arial" w:eastAsia="Times New Roman" w:hAnsi="Arial" w:cs="Arial"/>
                <w:bCs/>
                <w:color w:val="000000"/>
                <w:sz w:val="24"/>
                <w:szCs w:val="24"/>
                <w:lang w:eastAsia="en-GB"/>
              </w:rPr>
            </w:pPr>
            <w:r w:rsidRPr="009B4941">
              <w:rPr>
                <w:rFonts w:ascii="Arial" w:eastAsia="Times New Roman" w:hAnsi="Arial" w:cs="Arial"/>
                <w:bCs/>
                <w:color w:val="000000"/>
                <w:sz w:val="24"/>
                <w:szCs w:val="24"/>
                <w:lang w:eastAsia="en-GB"/>
              </w:rPr>
              <w:t>Role of Hypercytokinemia/hyperchemokinemia in the Pathogenesis of Influenza</w:t>
            </w:r>
          </w:p>
        </w:tc>
        <w:tc>
          <w:tcPr>
            <w:tcW w:w="1205"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5.21E-09</w:t>
            </w:r>
          </w:p>
        </w:tc>
        <w:tc>
          <w:tcPr>
            <w:tcW w:w="992"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5</w:t>
            </w:r>
          </w:p>
        </w:tc>
        <w:tc>
          <w:tcPr>
            <w:tcW w:w="1025"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44</w:t>
            </w:r>
          </w:p>
        </w:tc>
      </w:tr>
      <w:tr w:rsidR="009A4877" w:rsidRPr="009B4941" w:rsidTr="009A4877">
        <w:trPr>
          <w:trHeight w:val="255"/>
          <w:jc w:val="center"/>
        </w:trPr>
        <w:tc>
          <w:tcPr>
            <w:tcW w:w="11094" w:type="dxa"/>
            <w:noWrap/>
            <w:hideMark/>
          </w:tcPr>
          <w:p w:rsidR="000777B1" w:rsidRPr="009B4941" w:rsidRDefault="000777B1" w:rsidP="00AF12DD">
            <w:pPr>
              <w:rPr>
                <w:rFonts w:ascii="Arial" w:eastAsia="Times New Roman" w:hAnsi="Arial" w:cs="Arial"/>
                <w:bCs/>
                <w:color w:val="000000"/>
                <w:sz w:val="24"/>
                <w:szCs w:val="24"/>
                <w:lang w:eastAsia="en-GB"/>
              </w:rPr>
            </w:pPr>
            <w:r w:rsidRPr="009B4941">
              <w:rPr>
                <w:rFonts w:ascii="Arial" w:eastAsia="Times New Roman" w:hAnsi="Arial" w:cs="Arial"/>
                <w:bCs/>
                <w:color w:val="000000"/>
                <w:sz w:val="24"/>
                <w:szCs w:val="24"/>
                <w:lang w:eastAsia="en-GB"/>
              </w:rPr>
              <w:t>Communication between Innate and Adaptive Immune Cells</w:t>
            </w:r>
          </w:p>
        </w:tc>
        <w:tc>
          <w:tcPr>
            <w:tcW w:w="1205"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2.25E-07</w:t>
            </w:r>
          </w:p>
        </w:tc>
        <w:tc>
          <w:tcPr>
            <w:tcW w:w="992"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5</w:t>
            </w:r>
          </w:p>
        </w:tc>
        <w:tc>
          <w:tcPr>
            <w:tcW w:w="1025"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110</w:t>
            </w:r>
          </w:p>
        </w:tc>
      </w:tr>
      <w:tr w:rsidR="009A4877" w:rsidRPr="009B4941" w:rsidTr="009A4877">
        <w:trPr>
          <w:trHeight w:val="255"/>
          <w:jc w:val="center"/>
        </w:trPr>
        <w:tc>
          <w:tcPr>
            <w:tcW w:w="11094" w:type="dxa"/>
            <w:noWrap/>
            <w:hideMark/>
          </w:tcPr>
          <w:p w:rsidR="000777B1" w:rsidRPr="009B4941" w:rsidRDefault="000777B1" w:rsidP="00AF12DD">
            <w:pPr>
              <w:rPr>
                <w:rFonts w:ascii="Arial" w:eastAsia="Times New Roman" w:hAnsi="Arial" w:cs="Arial"/>
                <w:bCs/>
                <w:color w:val="000000"/>
                <w:sz w:val="24"/>
                <w:szCs w:val="24"/>
                <w:lang w:eastAsia="en-GB"/>
              </w:rPr>
            </w:pPr>
            <w:r w:rsidRPr="009B4941">
              <w:rPr>
                <w:rFonts w:ascii="Arial" w:eastAsia="Times New Roman" w:hAnsi="Arial" w:cs="Arial"/>
                <w:bCs/>
                <w:color w:val="000000"/>
                <w:sz w:val="24"/>
                <w:szCs w:val="24"/>
                <w:lang w:eastAsia="en-GB"/>
              </w:rPr>
              <w:t>PPAR Signaling</w:t>
            </w:r>
          </w:p>
        </w:tc>
        <w:tc>
          <w:tcPr>
            <w:tcW w:w="1205"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2.64E-07</w:t>
            </w:r>
          </w:p>
        </w:tc>
        <w:tc>
          <w:tcPr>
            <w:tcW w:w="992"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5</w:t>
            </w:r>
          </w:p>
        </w:tc>
        <w:tc>
          <w:tcPr>
            <w:tcW w:w="1025"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106</w:t>
            </w:r>
          </w:p>
        </w:tc>
      </w:tr>
      <w:tr w:rsidR="009A4877" w:rsidRPr="009B4941" w:rsidTr="009A4877">
        <w:trPr>
          <w:trHeight w:val="255"/>
          <w:jc w:val="center"/>
        </w:trPr>
        <w:tc>
          <w:tcPr>
            <w:tcW w:w="11094" w:type="dxa"/>
            <w:noWrap/>
            <w:hideMark/>
          </w:tcPr>
          <w:p w:rsidR="000777B1" w:rsidRPr="009B4941" w:rsidRDefault="000777B1" w:rsidP="00AF12DD">
            <w:pPr>
              <w:rPr>
                <w:rFonts w:ascii="Arial" w:eastAsia="Times New Roman" w:hAnsi="Arial" w:cs="Arial"/>
                <w:bCs/>
                <w:color w:val="000000"/>
                <w:sz w:val="24"/>
                <w:szCs w:val="24"/>
                <w:lang w:eastAsia="en-GB"/>
              </w:rPr>
            </w:pPr>
            <w:r w:rsidRPr="009B4941">
              <w:rPr>
                <w:rFonts w:ascii="Arial" w:eastAsia="Times New Roman" w:hAnsi="Arial" w:cs="Arial"/>
                <w:bCs/>
                <w:color w:val="000000"/>
                <w:sz w:val="24"/>
                <w:szCs w:val="24"/>
                <w:lang w:eastAsia="en-GB"/>
              </w:rPr>
              <w:t>IL-6 Signaling</w:t>
            </w:r>
          </w:p>
        </w:tc>
        <w:tc>
          <w:tcPr>
            <w:tcW w:w="1205"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7.16E-07</w:t>
            </w:r>
          </w:p>
        </w:tc>
        <w:tc>
          <w:tcPr>
            <w:tcW w:w="992"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5</w:t>
            </w:r>
          </w:p>
        </w:tc>
        <w:tc>
          <w:tcPr>
            <w:tcW w:w="1025"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124</w:t>
            </w:r>
          </w:p>
        </w:tc>
      </w:tr>
      <w:tr w:rsidR="009A4877" w:rsidRPr="009B4941" w:rsidTr="009A4877">
        <w:trPr>
          <w:trHeight w:val="255"/>
          <w:jc w:val="center"/>
        </w:trPr>
        <w:tc>
          <w:tcPr>
            <w:tcW w:w="11094" w:type="dxa"/>
            <w:noWrap/>
            <w:hideMark/>
          </w:tcPr>
          <w:p w:rsidR="000777B1" w:rsidRPr="009B4941" w:rsidRDefault="000777B1" w:rsidP="00AF12DD">
            <w:pPr>
              <w:rPr>
                <w:rFonts w:ascii="Arial" w:eastAsia="Times New Roman" w:hAnsi="Arial" w:cs="Arial"/>
                <w:bCs/>
                <w:color w:val="000000"/>
                <w:sz w:val="24"/>
                <w:szCs w:val="24"/>
                <w:lang w:eastAsia="en-GB"/>
              </w:rPr>
            </w:pPr>
            <w:r w:rsidRPr="009B4941">
              <w:rPr>
                <w:rFonts w:ascii="Arial" w:eastAsia="Times New Roman" w:hAnsi="Arial" w:cs="Arial"/>
                <w:bCs/>
                <w:color w:val="000000"/>
                <w:sz w:val="24"/>
                <w:szCs w:val="24"/>
                <w:lang w:eastAsia="en-GB"/>
              </w:rPr>
              <w:t>Role of Cytokines in Mediating Communication between  Immune Cells</w:t>
            </w:r>
          </w:p>
        </w:tc>
        <w:tc>
          <w:tcPr>
            <w:tcW w:w="1205"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1.29E-06</w:t>
            </w:r>
          </w:p>
        </w:tc>
        <w:tc>
          <w:tcPr>
            <w:tcW w:w="992"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4</w:t>
            </w:r>
          </w:p>
        </w:tc>
        <w:tc>
          <w:tcPr>
            <w:tcW w:w="1025"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55</w:t>
            </w:r>
          </w:p>
        </w:tc>
      </w:tr>
      <w:tr w:rsidR="009A4877" w:rsidRPr="009B4941" w:rsidTr="009A4877">
        <w:trPr>
          <w:trHeight w:val="255"/>
          <w:jc w:val="center"/>
        </w:trPr>
        <w:tc>
          <w:tcPr>
            <w:tcW w:w="11094" w:type="dxa"/>
            <w:noWrap/>
            <w:hideMark/>
          </w:tcPr>
          <w:p w:rsidR="000777B1" w:rsidRPr="009B4941" w:rsidRDefault="000777B1" w:rsidP="00AF12DD">
            <w:pPr>
              <w:rPr>
                <w:rFonts w:ascii="Arial" w:eastAsia="Times New Roman" w:hAnsi="Arial" w:cs="Arial"/>
                <w:bCs/>
                <w:color w:val="000000"/>
                <w:sz w:val="24"/>
                <w:szCs w:val="24"/>
                <w:lang w:eastAsia="en-GB"/>
              </w:rPr>
            </w:pPr>
            <w:r w:rsidRPr="009B4941">
              <w:rPr>
                <w:rFonts w:ascii="Arial" w:eastAsia="Times New Roman" w:hAnsi="Arial" w:cs="Arial"/>
                <w:bCs/>
                <w:color w:val="000000"/>
                <w:sz w:val="24"/>
                <w:szCs w:val="24"/>
                <w:lang w:eastAsia="en-GB"/>
              </w:rPr>
              <w:t>IL-10 Signaling</w:t>
            </w:r>
          </w:p>
        </w:tc>
        <w:tc>
          <w:tcPr>
            <w:tcW w:w="1205"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3.04E-06</w:t>
            </w:r>
          </w:p>
        </w:tc>
        <w:tc>
          <w:tcPr>
            <w:tcW w:w="992"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4</w:t>
            </w:r>
          </w:p>
        </w:tc>
        <w:tc>
          <w:tcPr>
            <w:tcW w:w="1025"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78</w:t>
            </w:r>
          </w:p>
        </w:tc>
      </w:tr>
      <w:tr w:rsidR="009A4877" w:rsidRPr="009B4941" w:rsidTr="00DF06DC">
        <w:trPr>
          <w:trHeight w:val="255"/>
          <w:jc w:val="center"/>
        </w:trPr>
        <w:tc>
          <w:tcPr>
            <w:tcW w:w="14316" w:type="dxa"/>
            <w:gridSpan w:val="4"/>
            <w:noWrap/>
            <w:hideMark/>
          </w:tcPr>
          <w:p w:rsidR="009A4877" w:rsidRPr="009B4941" w:rsidRDefault="009A4877" w:rsidP="009A4877">
            <w:pPr>
              <w:rPr>
                <w:rFonts w:ascii="Arial" w:eastAsia="Times New Roman" w:hAnsi="Arial" w:cs="Arial"/>
                <w:color w:val="000000"/>
                <w:sz w:val="24"/>
                <w:szCs w:val="24"/>
                <w:lang w:eastAsia="en-GB"/>
              </w:rPr>
            </w:pPr>
            <w:r w:rsidRPr="009B4941">
              <w:rPr>
                <w:rFonts w:ascii="Arial" w:eastAsia="Times New Roman" w:hAnsi="Arial" w:cs="Arial"/>
                <w:b/>
                <w:bCs/>
                <w:color w:val="000000"/>
                <w:sz w:val="24"/>
                <w:szCs w:val="24"/>
                <w:lang w:eastAsia="en-GB"/>
              </w:rPr>
              <w:t>MoDCs 24 h p.i.</w:t>
            </w:r>
          </w:p>
        </w:tc>
      </w:tr>
      <w:tr w:rsidR="009A4877" w:rsidRPr="009B4941" w:rsidTr="009A4877">
        <w:trPr>
          <w:trHeight w:val="255"/>
          <w:jc w:val="center"/>
        </w:trPr>
        <w:tc>
          <w:tcPr>
            <w:tcW w:w="11094" w:type="dxa"/>
            <w:noWrap/>
            <w:hideMark/>
          </w:tcPr>
          <w:p w:rsidR="000777B1" w:rsidRPr="009B4941" w:rsidRDefault="000777B1" w:rsidP="00AF12DD">
            <w:pPr>
              <w:rPr>
                <w:rFonts w:ascii="Arial" w:eastAsia="Times New Roman" w:hAnsi="Arial" w:cs="Arial"/>
                <w:bCs/>
                <w:color w:val="000000"/>
                <w:sz w:val="24"/>
                <w:szCs w:val="24"/>
                <w:lang w:eastAsia="en-GB"/>
              </w:rPr>
            </w:pPr>
            <w:r w:rsidRPr="009B4941">
              <w:rPr>
                <w:rFonts w:ascii="Arial" w:eastAsia="Times New Roman" w:hAnsi="Arial" w:cs="Arial"/>
                <w:bCs/>
                <w:color w:val="000000"/>
                <w:sz w:val="24"/>
                <w:szCs w:val="24"/>
                <w:lang w:eastAsia="en-GB"/>
              </w:rPr>
              <w:t>Role of IL-17A in Psoriais</w:t>
            </w:r>
          </w:p>
        </w:tc>
        <w:tc>
          <w:tcPr>
            <w:tcW w:w="1205"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0.0136</w:t>
            </w:r>
          </w:p>
        </w:tc>
        <w:tc>
          <w:tcPr>
            <w:tcW w:w="992"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1</w:t>
            </w:r>
          </w:p>
        </w:tc>
        <w:tc>
          <w:tcPr>
            <w:tcW w:w="1025"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13</w:t>
            </w:r>
          </w:p>
        </w:tc>
      </w:tr>
      <w:tr w:rsidR="009A4877" w:rsidRPr="009B4941" w:rsidTr="009A4877">
        <w:trPr>
          <w:trHeight w:val="255"/>
          <w:jc w:val="center"/>
        </w:trPr>
        <w:tc>
          <w:tcPr>
            <w:tcW w:w="11094" w:type="dxa"/>
            <w:noWrap/>
            <w:hideMark/>
          </w:tcPr>
          <w:p w:rsidR="000777B1" w:rsidRPr="009B4941" w:rsidRDefault="000777B1" w:rsidP="00AF12DD">
            <w:pPr>
              <w:rPr>
                <w:rFonts w:ascii="Arial" w:eastAsia="Times New Roman" w:hAnsi="Arial" w:cs="Arial"/>
                <w:bCs/>
                <w:color w:val="000000"/>
                <w:sz w:val="24"/>
                <w:szCs w:val="24"/>
                <w:lang w:eastAsia="en-GB"/>
              </w:rPr>
            </w:pPr>
            <w:r w:rsidRPr="009B4941">
              <w:rPr>
                <w:rFonts w:ascii="Arial" w:eastAsia="Times New Roman" w:hAnsi="Arial" w:cs="Arial"/>
                <w:bCs/>
                <w:color w:val="000000"/>
                <w:sz w:val="24"/>
                <w:szCs w:val="24"/>
                <w:lang w:eastAsia="en-GB"/>
              </w:rPr>
              <w:t>RAN Signalling</w:t>
            </w:r>
          </w:p>
        </w:tc>
        <w:tc>
          <w:tcPr>
            <w:tcW w:w="1205"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0.0178</w:t>
            </w:r>
          </w:p>
        </w:tc>
        <w:tc>
          <w:tcPr>
            <w:tcW w:w="992"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1</w:t>
            </w:r>
          </w:p>
        </w:tc>
        <w:tc>
          <w:tcPr>
            <w:tcW w:w="1025"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24</w:t>
            </w:r>
          </w:p>
        </w:tc>
      </w:tr>
      <w:tr w:rsidR="009A4877" w:rsidRPr="009B4941" w:rsidTr="009A4877">
        <w:trPr>
          <w:trHeight w:val="255"/>
          <w:jc w:val="center"/>
        </w:trPr>
        <w:tc>
          <w:tcPr>
            <w:tcW w:w="11094" w:type="dxa"/>
            <w:noWrap/>
            <w:hideMark/>
          </w:tcPr>
          <w:p w:rsidR="000777B1" w:rsidRPr="009B4941" w:rsidRDefault="000777B1" w:rsidP="00AF12DD">
            <w:pPr>
              <w:rPr>
                <w:rFonts w:ascii="Arial" w:eastAsia="Times New Roman" w:hAnsi="Arial" w:cs="Arial"/>
                <w:bCs/>
                <w:color w:val="000000"/>
                <w:sz w:val="24"/>
                <w:szCs w:val="24"/>
                <w:lang w:eastAsia="en-GB"/>
              </w:rPr>
            </w:pPr>
            <w:r w:rsidRPr="009B4941">
              <w:rPr>
                <w:rFonts w:ascii="Arial" w:eastAsia="Times New Roman" w:hAnsi="Arial" w:cs="Arial"/>
                <w:bCs/>
                <w:color w:val="000000"/>
                <w:sz w:val="24"/>
                <w:szCs w:val="24"/>
                <w:lang w:eastAsia="en-GB"/>
              </w:rPr>
              <w:t>Role of RIG1-like Receptors in Antiviral Innate Immunity</w:t>
            </w:r>
          </w:p>
        </w:tc>
        <w:tc>
          <w:tcPr>
            <w:tcW w:w="1205"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0.0454</w:t>
            </w:r>
          </w:p>
        </w:tc>
        <w:tc>
          <w:tcPr>
            <w:tcW w:w="992"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1</w:t>
            </w:r>
          </w:p>
        </w:tc>
        <w:tc>
          <w:tcPr>
            <w:tcW w:w="1025"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49</w:t>
            </w:r>
          </w:p>
        </w:tc>
      </w:tr>
      <w:tr w:rsidR="009A4877" w:rsidRPr="009B4941" w:rsidTr="001616E9">
        <w:trPr>
          <w:trHeight w:val="255"/>
          <w:jc w:val="center"/>
        </w:trPr>
        <w:tc>
          <w:tcPr>
            <w:tcW w:w="14316" w:type="dxa"/>
            <w:gridSpan w:val="4"/>
            <w:noWrap/>
            <w:hideMark/>
          </w:tcPr>
          <w:p w:rsidR="009A4877" w:rsidRPr="009B4941" w:rsidRDefault="009A4877" w:rsidP="009A4877">
            <w:pPr>
              <w:rPr>
                <w:rFonts w:ascii="Arial" w:eastAsia="Times New Roman" w:hAnsi="Arial" w:cs="Arial"/>
                <w:color w:val="000000"/>
                <w:sz w:val="24"/>
                <w:szCs w:val="24"/>
                <w:lang w:eastAsia="en-GB"/>
              </w:rPr>
            </w:pPr>
            <w:r w:rsidRPr="009B4941">
              <w:rPr>
                <w:rFonts w:ascii="Arial" w:eastAsia="Times New Roman" w:hAnsi="Arial" w:cs="Arial"/>
                <w:b/>
                <w:bCs/>
                <w:color w:val="000000"/>
                <w:sz w:val="24"/>
                <w:szCs w:val="24"/>
                <w:lang w:eastAsia="en-GB"/>
              </w:rPr>
              <w:lastRenderedPageBreak/>
              <w:t>BMCs 24 h p.i.</w:t>
            </w:r>
          </w:p>
        </w:tc>
      </w:tr>
      <w:tr w:rsidR="009A4877" w:rsidRPr="009B4941" w:rsidTr="009A4877">
        <w:trPr>
          <w:trHeight w:val="255"/>
          <w:jc w:val="center"/>
        </w:trPr>
        <w:tc>
          <w:tcPr>
            <w:tcW w:w="11094" w:type="dxa"/>
            <w:noWrap/>
            <w:hideMark/>
          </w:tcPr>
          <w:p w:rsidR="000777B1" w:rsidRPr="009B4941" w:rsidRDefault="000777B1" w:rsidP="00AF12DD">
            <w:pPr>
              <w:rPr>
                <w:rFonts w:ascii="Arial" w:eastAsia="Times New Roman" w:hAnsi="Arial" w:cs="Arial"/>
                <w:bCs/>
                <w:color w:val="000000"/>
                <w:sz w:val="24"/>
                <w:szCs w:val="24"/>
                <w:lang w:eastAsia="en-GB"/>
              </w:rPr>
            </w:pPr>
            <w:r w:rsidRPr="009B4941">
              <w:rPr>
                <w:rFonts w:ascii="Arial" w:eastAsia="Times New Roman" w:hAnsi="Arial" w:cs="Arial"/>
                <w:bCs/>
                <w:color w:val="000000"/>
                <w:sz w:val="24"/>
                <w:szCs w:val="24"/>
                <w:lang w:eastAsia="en-GB"/>
              </w:rPr>
              <w:t xml:space="preserve">Eicosanoid Signaling </w:t>
            </w:r>
          </w:p>
        </w:tc>
        <w:tc>
          <w:tcPr>
            <w:tcW w:w="1205"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0.0157</w:t>
            </w:r>
          </w:p>
        </w:tc>
        <w:tc>
          <w:tcPr>
            <w:tcW w:w="992"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1</w:t>
            </w:r>
          </w:p>
        </w:tc>
        <w:tc>
          <w:tcPr>
            <w:tcW w:w="1025"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79</w:t>
            </w:r>
          </w:p>
        </w:tc>
      </w:tr>
      <w:tr w:rsidR="009A4877" w:rsidRPr="009B4941" w:rsidTr="009A4877">
        <w:trPr>
          <w:trHeight w:val="255"/>
          <w:jc w:val="center"/>
        </w:trPr>
        <w:tc>
          <w:tcPr>
            <w:tcW w:w="11094" w:type="dxa"/>
            <w:noWrap/>
            <w:hideMark/>
          </w:tcPr>
          <w:p w:rsidR="000777B1" w:rsidRPr="009B4941" w:rsidRDefault="000777B1" w:rsidP="00AF12DD">
            <w:pPr>
              <w:rPr>
                <w:rFonts w:ascii="Arial" w:eastAsia="Times New Roman" w:hAnsi="Arial" w:cs="Arial"/>
                <w:bCs/>
                <w:color w:val="000000"/>
                <w:sz w:val="24"/>
                <w:szCs w:val="24"/>
                <w:lang w:eastAsia="en-GB"/>
              </w:rPr>
            </w:pPr>
            <w:r w:rsidRPr="009B4941">
              <w:rPr>
                <w:rFonts w:ascii="Arial" w:eastAsia="Times New Roman" w:hAnsi="Arial" w:cs="Arial"/>
                <w:bCs/>
                <w:color w:val="000000"/>
                <w:sz w:val="24"/>
                <w:szCs w:val="24"/>
                <w:lang w:eastAsia="en-GB"/>
              </w:rPr>
              <w:t xml:space="preserve">Regulation of Actin-based Motility by Rho </w:t>
            </w:r>
          </w:p>
        </w:tc>
        <w:tc>
          <w:tcPr>
            <w:tcW w:w="1205"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0.0219</w:t>
            </w:r>
          </w:p>
        </w:tc>
        <w:tc>
          <w:tcPr>
            <w:tcW w:w="992"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1</w:t>
            </w:r>
          </w:p>
        </w:tc>
        <w:tc>
          <w:tcPr>
            <w:tcW w:w="1025"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91</w:t>
            </w:r>
          </w:p>
        </w:tc>
      </w:tr>
      <w:tr w:rsidR="009A4877" w:rsidRPr="009B4941" w:rsidTr="009A4877">
        <w:trPr>
          <w:trHeight w:val="255"/>
          <w:jc w:val="center"/>
        </w:trPr>
        <w:tc>
          <w:tcPr>
            <w:tcW w:w="11094" w:type="dxa"/>
            <w:noWrap/>
            <w:hideMark/>
          </w:tcPr>
          <w:p w:rsidR="000777B1" w:rsidRPr="009B4941" w:rsidRDefault="000777B1" w:rsidP="00AF12DD">
            <w:pPr>
              <w:rPr>
                <w:rFonts w:ascii="Arial" w:eastAsia="Times New Roman" w:hAnsi="Arial" w:cs="Arial"/>
                <w:bCs/>
                <w:color w:val="000000"/>
                <w:sz w:val="24"/>
                <w:szCs w:val="24"/>
                <w:lang w:eastAsia="en-GB"/>
              </w:rPr>
            </w:pPr>
            <w:r w:rsidRPr="009B4941">
              <w:rPr>
                <w:rFonts w:ascii="Arial" w:eastAsia="Times New Roman" w:hAnsi="Arial" w:cs="Arial"/>
                <w:bCs/>
                <w:color w:val="000000"/>
                <w:sz w:val="24"/>
                <w:szCs w:val="24"/>
                <w:lang w:eastAsia="en-GB"/>
              </w:rPr>
              <w:t xml:space="preserve">PAK Signaling </w:t>
            </w:r>
          </w:p>
        </w:tc>
        <w:tc>
          <w:tcPr>
            <w:tcW w:w="1205"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0.0232</w:t>
            </w:r>
          </w:p>
        </w:tc>
        <w:tc>
          <w:tcPr>
            <w:tcW w:w="992"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1</w:t>
            </w:r>
          </w:p>
        </w:tc>
        <w:tc>
          <w:tcPr>
            <w:tcW w:w="1025" w:type="dxa"/>
            <w:noWrap/>
            <w:hideMark/>
          </w:tcPr>
          <w:p w:rsidR="000777B1" w:rsidRPr="009B4941" w:rsidRDefault="000777B1" w:rsidP="00AF12DD">
            <w:pPr>
              <w:jc w:val="center"/>
              <w:rPr>
                <w:rFonts w:ascii="Arial" w:eastAsia="Times New Roman" w:hAnsi="Arial" w:cs="Arial"/>
                <w:color w:val="000000"/>
                <w:sz w:val="24"/>
                <w:szCs w:val="24"/>
                <w:lang w:eastAsia="en-GB"/>
              </w:rPr>
            </w:pPr>
            <w:r w:rsidRPr="009B4941">
              <w:rPr>
                <w:rFonts w:ascii="Arial" w:eastAsia="Times New Roman" w:hAnsi="Arial" w:cs="Arial"/>
                <w:color w:val="000000"/>
                <w:sz w:val="24"/>
                <w:szCs w:val="24"/>
                <w:lang w:eastAsia="en-GB"/>
              </w:rPr>
              <w:t>107</w:t>
            </w:r>
          </w:p>
        </w:tc>
      </w:tr>
    </w:tbl>
    <w:p w:rsidR="000777B1" w:rsidRPr="00363384" w:rsidRDefault="000777B1" w:rsidP="000777B1">
      <w:pPr>
        <w:spacing w:after="0"/>
        <w:rPr>
          <w:rFonts w:eastAsia="Calibri" w:cs="Arial"/>
          <w:vanish/>
          <w:sz w:val="24"/>
          <w:szCs w:val="24"/>
          <w:lang w:val="en-US"/>
        </w:rPr>
      </w:pPr>
    </w:p>
    <w:tbl>
      <w:tblPr>
        <w:tblW w:w="9214" w:type="dxa"/>
        <w:tblInd w:w="-34" w:type="dxa"/>
        <w:tblLook w:val="04A0" w:firstRow="1" w:lastRow="0" w:firstColumn="1" w:lastColumn="0" w:noHBand="0" w:noVBand="1"/>
      </w:tblPr>
      <w:tblGrid>
        <w:gridCol w:w="9214"/>
      </w:tblGrid>
      <w:tr w:rsidR="000777B1" w:rsidRPr="00363384" w:rsidTr="00AF12DD">
        <w:trPr>
          <w:trHeight w:val="255"/>
        </w:trPr>
        <w:tc>
          <w:tcPr>
            <w:tcW w:w="9214" w:type="dxa"/>
            <w:tcBorders>
              <w:top w:val="nil"/>
              <w:left w:val="nil"/>
              <w:bottom w:val="nil"/>
              <w:right w:val="nil"/>
            </w:tcBorders>
            <w:shd w:val="clear" w:color="auto" w:fill="auto"/>
            <w:noWrap/>
            <w:vAlign w:val="bottom"/>
            <w:hideMark/>
          </w:tcPr>
          <w:p w:rsidR="000777B1" w:rsidRPr="00363384" w:rsidRDefault="000777B1" w:rsidP="00AF12DD">
            <w:pPr>
              <w:spacing w:after="0" w:line="360" w:lineRule="auto"/>
              <w:jc w:val="both"/>
              <w:rPr>
                <w:rFonts w:eastAsia="Times New Roman" w:cs="Arial"/>
                <w:color w:val="000000"/>
                <w:sz w:val="24"/>
                <w:szCs w:val="24"/>
                <w:lang w:eastAsia="en-GB"/>
              </w:rPr>
            </w:pPr>
          </w:p>
        </w:tc>
      </w:tr>
      <w:tr w:rsidR="000777B1" w:rsidRPr="009A4877" w:rsidTr="00AF12DD">
        <w:trPr>
          <w:trHeight w:val="255"/>
        </w:trPr>
        <w:tc>
          <w:tcPr>
            <w:tcW w:w="9214" w:type="dxa"/>
            <w:tcBorders>
              <w:top w:val="nil"/>
              <w:left w:val="nil"/>
              <w:bottom w:val="nil"/>
              <w:right w:val="nil"/>
            </w:tcBorders>
            <w:shd w:val="clear" w:color="auto" w:fill="auto"/>
            <w:noWrap/>
            <w:vAlign w:val="bottom"/>
            <w:hideMark/>
          </w:tcPr>
          <w:p w:rsidR="000777B1" w:rsidRPr="009A4877" w:rsidRDefault="000777B1" w:rsidP="00AF12DD">
            <w:pPr>
              <w:spacing w:after="0" w:line="360" w:lineRule="auto"/>
              <w:jc w:val="both"/>
              <w:rPr>
                <w:rFonts w:ascii="Arial" w:eastAsia="Times New Roman" w:hAnsi="Arial" w:cs="Arial"/>
                <w:sz w:val="24"/>
                <w:szCs w:val="24"/>
                <w:lang w:eastAsia="en-GB"/>
              </w:rPr>
            </w:pPr>
            <w:r w:rsidRPr="009A4877">
              <w:rPr>
                <w:rFonts w:ascii="Arial" w:eastAsia="Times New Roman" w:hAnsi="Arial" w:cs="Arial"/>
                <w:sz w:val="24"/>
                <w:szCs w:val="24"/>
                <w:lang w:eastAsia="en-GB"/>
              </w:rPr>
              <w:t>* The number of genes in each pathway that are differentially expressed</w:t>
            </w:r>
          </w:p>
        </w:tc>
      </w:tr>
      <w:tr w:rsidR="000777B1" w:rsidRPr="009A4877" w:rsidTr="00AF12DD">
        <w:trPr>
          <w:trHeight w:val="255"/>
        </w:trPr>
        <w:tc>
          <w:tcPr>
            <w:tcW w:w="9214" w:type="dxa"/>
            <w:tcBorders>
              <w:top w:val="nil"/>
              <w:left w:val="nil"/>
              <w:bottom w:val="nil"/>
              <w:right w:val="nil"/>
            </w:tcBorders>
            <w:shd w:val="clear" w:color="auto" w:fill="auto"/>
            <w:noWrap/>
            <w:vAlign w:val="bottom"/>
            <w:hideMark/>
          </w:tcPr>
          <w:p w:rsidR="000777B1" w:rsidRPr="009A4877" w:rsidRDefault="000777B1" w:rsidP="00AF12DD">
            <w:pPr>
              <w:spacing w:after="0" w:line="360" w:lineRule="auto"/>
              <w:jc w:val="both"/>
              <w:rPr>
                <w:rFonts w:ascii="Arial" w:eastAsia="Times New Roman" w:hAnsi="Arial" w:cs="Arial"/>
                <w:sz w:val="24"/>
                <w:szCs w:val="24"/>
                <w:lang w:eastAsia="en-GB"/>
              </w:rPr>
            </w:pPr>
            <w:r w:rsidRPr="009A4877">
              <w:rPr>
                <w:rFonts w:ascii="Arial" w:eastAsia="Times New Roman" w:hAnsi="Arial" w:cs="Arial"/>
                <w:sz w:val="24"/>
                <w:szCs w:val="24"/>
                <w:lang w:eastAsia="en-GB"/>
              </w:rPr>
              <w:t>** Total number of genes associated with pathway</w:t>
            </w:r>
          </w:p>
        </w:tc>
      </w:tr>
    </w:tbl>
    <w:p w:rsidR="000777B1" w:rsidRPr="00363384" w:rsidRDefault="000777B1" w:rsidP="000777B1">
      <w:pPr>
        <w:rPr>
          <w:rFonts w:cs="Arial"/>
          <w:sz w:val="24"/>
          <w:szCs w:val="24"/>
        </w:rPr>
      </w:pPr>
    </w:p>
    <w:p w:rsidR="0022034D" w:rsidRDefault="0022034D" w:rsidP="0022034D">
      <w:pPr>
        <w:rPr>
          <w:rFonts w:cs="Arial"/>
          <w:sz w:val="24"/>
          <w:szCs w:val="24"/>
        </w:rPr>
      </w:pPr>
    </w:p>
    <w:p w:rsidR="0022034D" w:rsidRPr="00363384" w:rsidRDefault="0022034D" w:rsidP="0022034D">
      <w:pPr>
        <w:rPr>
          <w:rFonts w:cs="Arial"/>
          <w:sz w:val="24"/>
          <w:szCs w:val="24"/>
        </w:rPr>
      </w:pPr>
    </w:p>
    <w:p w:rsidR="0022034D" w:rsidRPr="00363384" w:rsidRDefault="0022034D" w:rsidP="0022034D">
      <w:pPr>
        <w:rPr>
          <w:rFonts w:cs="Arial"/>
          <w:sz w:val="24"/>
          <w:szCs w:val="24"/>
        </w:rPr>
      </w:pPr>
    </w:p>
    <w:p w:rsidR="00B27C37" w:rsidRDefault="00B27C37"/>
    <w:sectPr w:rsidR="00B27C37" w:rsidSect="009B494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22034D"/>
    <w:rsid w:val="000777B1"/>
    <w:rsid w:val="000D5339"/>
    <w:rsid w:val="001F02C5"/>
    <w:rsid w:val="0022034D"/>
    <w:rsid w:val="00257F30"/>
    <w:rsid w:val="006118B2"/>
    <w:rsid w:val="006808F0"/>
    <w:rsid w:val="009A4877"/>
    <w:rsid w:val="009B4941"/>
    <w:rsid w:val="00B27C37"/>
    <w:rsid w:val="00B8106F"/>
    <w:rsid w:val="00E91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Mavrommatis</dc:creator>
  <cp:lastModifiedBy>dwerling</cp:lastModifiedBy>
  <cp:revision>5</cp:revision>
  <dcterms:created xsi:type="dcterms:W3CDTF">2013-06-04T09:51:00Z</dcterms:created>
  <dcterms:modified xsi:type="dcterms:W3CDTF">2014-02-14T12:19:00Z</dcterms:modified>
</cp:coreProperties>
</file>