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79" w:rsidRPr="00750A79" w:rsidRDefault="00750A79" w:rsidP="0075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79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A0305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50A7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50A79">
        <w:rPr>
          <w:rFonts w:ascii="Times New Roman" w:eastAsia="Times New Roman" w:hAnsi="Times New Roman" w:cs="Times New Roman"/>
          <w:sz w:val="24"/>
          <w:szCs w:val="24"/>
        </w:rPr>
        <w:t xml:space="preserve"> Association of sociodemographic and lifestyle factors with &lt;weekly and weekly GERD symptoms </w:t>
      </w:r>
    </w:p>
    <w:tbl>
      <w:tblPr>
        <w:tblW w:w="8270" w:type="dxa"/>
        <w:tblLook w:val="00A0" w:firstRow="1" w:lastRow="0" w:firstColumn="1" w:lastColumn="0" w:noHBand="0" w:noVBand="0"/>
      </w:tblPr>
      <w:tblGrid>
        <w:gridCol w:w="2238"/>
        <w:gridCol w:w="1450"/>
        <w:gridCol w:w="1616"/>
        <w:gridCol w:w="1350"/>
        <w:gridCol w:w="1616"/>
      </w:tblGrid>
      <w:tr w:rsidR="00750A79" w:rsidRPr="00750A79" w:rsidTr="001A230D">
        <w:tc>
          <w:tcPr>
            <w:tcW w:w="2238" w:type="dxa"/>
            <w:tcBorders>
              <w:top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&lt;Weekly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Weekly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4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  <w:tcBorders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OR (95% CI)</w:t>
            </w:r>
          </w:p>
        </w:tc>
      </w:tr>
      <w:tr w:rsidR="00750A79" w:rsidRPr="00750A79" w:rsidTr="001A230D">
        <w:tc>
          <w:tcPr>
            <w:tcW w:w="2238" w:type="dxa"/>
            <w:tcBorders>
              <w:top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20,471 (100)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4029</w:t>
            </w:r>
          </w:p>
        </w:tc>
        <w:tc>
          <w:tcPr>
            <w:tcW w:w="1616" w:type="dxa"/>
            <w:tcBorders>
              <w:top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</w:t>
            </w: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52.0 (8.9)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1.02 (1.00-1.05)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52.1 (9.1)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0.98 (0.94-1.02)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450" w:type="dxa"/>
            <w:vAlign w:val="bottom"/>
          </w:tcPr>
          <w:p w:rsidR="00750A79" w:rsidRPr="00750A79" w:rsidRDefault="00750A79" w:rsidP="0075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750A79" w:rsidRPr="00750A79" w:rsidRDefault="00750A79" w:rsidP="0075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11,983 (58.54)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2603 (64.61)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8488 (41.46)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0.61 (0.58-0.65)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 (35.39)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0.51 (0.46-0.56)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Ethnicity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Non-Turkmen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4548 </w:t>
            </w: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(22.22)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1318</w:t>
            </w: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(32.71)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Turkmen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15923 (</w:t>
            </w: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77.78)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1.27 (1.21-1.34)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2711 (</w:t>
            </w:r>
            <w:r w:rsidRPr="007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67.29)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0.75 (0.69-0.82)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Residence </w:t>
            </w:r>
          </w:p>
        </w:tc>
        <w:tc>
          <w:tcPr>
            <w:tcW w:w="1450" w:type="dxa"/>
            <w:vAlign w:val="bottom"/>
          </w:tcPr>
          <w:p w:rsidR="00750A79" w:rsidRPr="00750A79" w:rsidRDefault="00750A79" w:rsidP="0075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15,549 (75.96)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3031 (75.23)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4921 (24.04)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1.39 (1.31-1.47)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998 (24.77)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1.46 (1.33-1.61)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14,086 (68.81)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2994 (74.31)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 – 8</w:t>
            </w: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4454 (21.76)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1.02 (0.97-1.08)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773 (19.19)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0.89 (0.80-0.98)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1426 (6.97)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1.05 (0.95-1.15)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184 (4.57)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0.74 (0.62-0.89)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Higher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505 (2.47)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1.22 (1.05-1.41)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78 (1.94)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1.12 (0.86-1.47)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Wealth score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Quintile 1-lowest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5106 (24.94)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1308 (32.70)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Quintile 2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3457 (16.89)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1.03 (0.96-1.09)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635 (32.46)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0.81 (0.73-0.90)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Quintile 3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3999 (19.53)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0.98 (0.92-1.04)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760 (18.86)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0.81 (0.73-0.90)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Quintile 4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3445 (16.83)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0.95 (0.89-1.01)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619 (15.36)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0.74 (0.66-0.82)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Quintile 5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4464 (21.81)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0.98 (0.92-1.05)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707 (17.55)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0.67 (0.60-0.76)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Body mass index 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&lt;18.5 kg/m</w:t>
            </w: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854 (4.17)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0.88 (0.80-0.97)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240 (5.96)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1.08 (0.93-1.26)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18.5 – 24.9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6944 (33.93)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1425 (35.37)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25 – 29.9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7148 (34.92)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1.14 (1.09-1.20)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1281 (31.79)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1.05 (0.96-1.14)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≥30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5522 (26.98)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1.20 (1.13-1.26)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1083 (26.88)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1.17 (1.07-1.29)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Physical activity 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Irregular non-intense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12,184 (59.8)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2606 (64.87)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Regular non-intense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6034 (29.6)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1.17 (1.11-1.23)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984 (24.50)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1.05 (0.96-1.15)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Regular or irregular intense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2172 (10.6)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1.08 (1.01-1.16)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427 (10.63)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0.99 (0.87-1.12)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Alcohol drinking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19,724 (96.35)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3869 (96.03)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Ever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747 (3.65)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0.98 (0.87-1.10)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160 (3.97)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1.39 (1.14-1.69)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Cigarette smoking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16,783 (82.02)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3355 (83.31)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0.1 – 5 pack-years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1167 (5.7)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1.21 (1.10-1.32)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207 (5.14)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1.15 (0.98-1.36)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– 10 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539 (2.63)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1.28 (1.12-1.46)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109 (2.71)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1.43 (1.14-1.79)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 – 20 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808 (3.95)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1.36 (1.22-1.52)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144 (3.58)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1.28 (1.05-1.57)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≥20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1166 (5.70)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1.28 (1.16-1.41)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212 (5.26)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1.19 (1.00-1.42)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Hookah smoking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20,264 (99.04)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3964 (98.44)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Ever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197 (0.96)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1.18 (0.96-1.45)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63 (1.56)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1.25 (0.93-1.68)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Nass chewing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18,969 (92.68)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3714 (92.18)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Ever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1499 (7.32)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1.00 (0.92-1.08)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315 (7.82)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1.02 (0.88-1.18)</w:t>
            </w: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Opium use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A79" w:rsidRPr="00750A79" w:rsidTr="001A230D">
        <w:tc>
          <w:tcPr>
            <w:tcW w:w="2238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14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16,958 (82.85)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350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3250 (80.69)</w:t>
            </w:r>
          </w:p>
        </w:tc>
        <w:tc>
          <w:tcPr>
            <w:tcW w:w="1616" w:type="dxa"/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</w:tr>
      <w:tr w:rsidR="00750A79" w:rsidRPr="00750A79" w:rsidTr="001A230D">
        <w:tc>
          <w:tcPr>
            <w:tcW w:w="2238" w:type="dxa"/>
            <w:tcBorders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Ever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3510 (17.15)</w:t>
            </w: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1.30 (1.22-1.39)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778 (19.31)</w:t>
            </w: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:rsidR="00750A79" w:rsidRPr="00750A79" w:rsidRDefault="00750A79" w:rsidP="0075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A79">
              <w:rPr>
                <w:rFonts w:ascii="Times New Roman" w:eastAsia="Times New Roman" w:hAnsi="Times New Roman" w:cs="Times New Roman"/>
                <w:sz w:val="20"/>
                <w:szCs w:val="20"/>
              </w:rPr>
              <w:t>1.56 (1.40-1.73)</w:t>
            </w:r>
          </w:p>
        </w:tc>
      </w:tr>
    </w:tbl>
    <w:p w:rsidR="00750A79" w:rsidRPr="00750A79" w:rsidRDefault="00750A79" w:rsidP="0075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79">
        <w:rPr>
          <w:rFonts w:ascii="Times New Roman" w:eastAsia="Times New Roman" w:hAnsi="Times New Roman" w:cs="Times New Roman"/>
          <w:sz w:val="24"/>
          <w:szCs w:val="24"/>
        </w:rPr>
        <w:t xml:space="preserve">Numbers may not add up to the total numbers due to missing data. The ORs (95% CIs) were calculated using multinomial logistic regression models, in which &lt;weekly, weekly, and daily symptoms, as separate categories were compared with never having GERD symptoms. Results for daily symptoms are shown in Table 2. The ORs (95% CIs) are from multivariate models in which all the variables shown in this table were included. </w:t>
      </w:r>
    </w:p>
    <w:p w:rsidR="00750A79" w:rsidRPr="00750A79" w:rsidRDefault="00750A79" w:rsidP="0075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A79">
        <w:rPr>
          <w:rFonts w:ascii="Times New Roman" w:eastAsia="Times New Roman" w:hAnsi="Times New Roman" w:cs="Times New Roman"/>
          <w:sz w:val="24"/>
          <w:szCs w:val="24"/>
        </w:rPr>
        <w:t xml:space="preserve">* For age, the values are mean (standard deviation) years. Age was included in the models as a continuous variable, but the ORs (95% CIs) are shown here on a 10-year scale. </w:t>
      </w:r>
    </w:p>
    <w:sectPr w:rsidR="00750A79" w:rsidRPr="00750A79" w:rsidSect="00515AE0">
      <w:pgSz w:w="12240" w:h="15840" w:code="1"/>
      <w:pgMar w:top="1440" w:right="1440" w:bottom="1440" w:left="1440" w:header="720" w:footer="619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3B8"/>
    <w:multiLevelType w:val="hybridMultilevel"/>
    <w:tmpl w:val="35E2656E"/>
    <w:lvl w:ilvl="0" w:tplc="5B704DA6">
      <w:start w:val="1"/>
      <w:numFmt w:val="decimal"/>
      <w:lvlText w:val="%1)"/>
      <w:lvlJc w:val="left"/>
      <w:pPr>
        <w:ind w:left="720" w:hanging="360"/>
      </w:pPr>
      <w:rPr>
        <w:rFonts w:ascii="AdvPTimes" w:hAnsi="AdvPTimes" w:cs="AdvPTimes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D31A9"/>
    <w:multiLevelType w:val="hybridMultilevel"/>
    <w:tmpl w:val="35E2656E"/>
    <w:lvl w:ilvl="0" w:tplc="5B704DA6">
      <w:start w:val="1"/>
      <w:numFmt w:val="decimal"/>
      <w:lvlText w:val="%1)"/>
      <w:lvlJc w:val="left"/>
      <w:pPr>
        <w:ind w:left="720" w:hanging="360"/>
      </w:pPr>
      <w:rPr>
        <w:rFonts w:ascii="AdvPTimes" w:hAnsi="AdvPTimes" w:cs="AdvPTimes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1471CC"/>
    <w:multiLevelType w:val="hybridMultilevel"/>
    <w:tmpl w:val="1DB281B4"/>
    <w:lvl w:ilvl="0" w:tplc="1C484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7C17"/>
    <w:multiLevelType w:val="hybridMultilevel"/>
    <w:tmpl w:val="86E2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C462A"/>
    <w:multiLevelType w:val="hybridMultilevel"/>
    <w:tmpl w:val="35E2656E"/>
    <w:lvl w:ilvl="0" w:tplc="5B704DA6">
      <w:start w:val="1"/>
      <w:numFmt w:val="decimal"/>
      <w:lvlText w:val="%1)"/>
      <w:lvlJc w:val="left"/>
      <w:pPr>
        <w:ind w:left="720" w:hanging="360"/>
      </w:pPr>
      <w:rPr>
        <w:rFonts w:ascii="AdvPTimes" w:hAnsi="AdvPTimes" w:cs="AdvPTimes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9"/>
    <w:rsid w:val="00181D46"/>
    <w:rsid w:val="00331A23"/>
    <w:rsid w:val="00515AE0"/>
    <w:rsid w:val="00750A79"/>
    <w:rsid w:val="007A15A6"/>
    <w:rsid w:val="008B7297"/>
    <w:rsid w:val="00A03053"/>
    <w:rsid w:val="00B81159"/>
    <w:rsid w:val="00DF5047"/>
    <w:rsid w:val="00E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750A79"/>
  </w:style>
  <w:style w:type="paragraph" w:styleId="ListParagraph">
    <w:name w:val="List Paragraph"/>
    <w:basedOn w:val="Normal"/>
    <w:qFormat/>
    <w:rsid w:val="00750A79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semiHidden/>
    <w:rsid w:val="00750A79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50A79"/>
    <w:rPr>
      <w:rFonts w:ascii="Tahoma" w:eastAsia="Times New Roman" w:hAnsi="Tahoma" w:cs="Times New Roman"/>
      <w:sz w:val="16"/>
      <w:szCs w:val="20"/>
    </w:rPr>
  </w:style>
  <w:style w:type="paragraph" w:customStyle="1" w:styleId="Title1">
    <w:name w:val="Title1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750A79"/>
    <w:rPr>
      <w:color w:val="0000FF"/>
      <w:u w:val="single"/>
    </w:rPr>
  </w:style>
  <w:style w:type="paragraph" w:customStyle="1" w:styleId="desc">
    <w:name w:val="desc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jrnl">
    <w:name w:val="jrnl"/>
    <w:rsid w:val="00750A79"/>
  </w:style>
  <w:style w:type="character" w:styleId="Emphasis">
    <w:name w:val="Emphasis"/>
    <w:qFormat/>
    <w:rsid w:val="00750A79"/>
    <w:rPr>
      <w:i/>
    </w:rPr>
  </w:style>
  <w:style w:type="paragraph" w:styleId="Footer">
    <w:name w:val="footer"/>
    <w:basedOn w:val="Normal"/>
    <w:link w:val="FooterChar"/>
    <w:rsid w:val="00750A79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0A79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750A79"/>
  </w:style>
  <w:style w:type="paragraph" w:styleId="CommentText">
    <w:name w:val="annotation text"/>
    <w:basedOn w:val="Normal"/>
    <w:link w:val="CommentTextChar"/>
    <w:semiHidden/>
    <w:rsid w:val="00750A79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A7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0A79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750A79"/>
    <w:rPr>
      <w:rFonts w:ascii="Calibri" w:eastAsia="Times New Roman" w:hAnsi="Calibri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50A7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0A79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5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750A79"/>
  </w:style>
  <w:style w:type="paragraph" w:styleId="ListParagraph">
    <w:name w:val="List Paragraph"/>
    <w:basedOn w:val="Normal"/>
    <w:qFormat/>
    <w:rsid w:val="00750A79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semiHidden/>
    <w:rsid w:val="00750A79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50A79"/>
    <w:rPr>
      <w:rFonts w:ascii="Tahoma" w:eastAsia="Times New Roman" w:hAnsi="Tahoma" w:cs="Times New Roman"/>
      <w:sz w:val="16"/>
      <w:szCs w:val="20"/>
    </w:rPr>
  </w:style>
  <w:style w:type="paragraph" w:customStyle="1" w:styleId="Title1">
    <w:name w:val="Title1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750A79"/>
    <w:rPr>
      <w:color w:val="0000FF"/>
      <w:u w:val="single"/>
    </w:rPr>
  </w:style>
  <w:style w:type="paragraph" w:customStyle="1" w:styleId="desc">
    <w:name w:val="desc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50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jrnl">
    <w:name w:val="jrnl"/>
    <w:rsid w:val="00750A79"/>
  </w:style>
  <w:style w:type="character" w:styleId="Emphasis">
    <w:name w:val="Emphasis"/>
    <w:qFormat/>
    <w:rsid w:val="00750A79"/>
    <w:rPr>
      <w:i/>
    </w:rPr>
  </w:style>
  <w:style w:type="paragraph" w:styleId="Footer">
    <w:name w:val="footer"/>
    <w:basedOn w:val="Normal"/>
    <w:link w:val="FooterChar"/>
    <w:rsid w:val="00750A79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0A79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750A79"/>
  </w:style>
  <w:style w:type="paragraph" w:styleId="CommentText">
    <w:name w:val="annotation text"/>
    <w:basedOn w:val="Normal"/>
    <w:link w:val="CommentTextChar"/>
    <w:semiHidden/>
    <w:rsid w:val="00750A79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A7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0A79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750A79"/>
    <w:rPr>
      <w:rFonts w:ascii="Calibri" w:eastAsia="Times New Roman" w:hAnsi="Calibri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50A7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0A79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5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Islami, Farhad</dc:creator>
  <cp:lastModifiedBy>Islami, Farhad</cp:lastModifiedBy>
  <cp:revision>4</cp:revision>
  <dcterms:created xsi:type="dcterms:W3CDTF">2014-01-13T16:42:00Z</dcterms:created>
  <dcterms:modified xsi:type="dcterms:W3CDTF">2014-01-13T16:51:00Z</dcterms:modified>
</cp:coreProperties>
</file>